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sz w:val="32"/>
          <w:szCs w:val="32"/>
        </w:rPr>
      </w:pPr>
    </w:p>
    <w:p>
      <w:pPr>
        <w:widowControl/>
        <w:jc w:val="center"/>
        <w:rPr>
          <w:sz w:val="84"/>
          <w:szCs w:val="84"/>
        </w:rPr>
      </w:pPr>
    </w:p>
    <w:p>
      <w:pPr>
        <w:widowControl/>
        <w:jc w:val="center"/>
        <w:rPr>
          <w:rFonts w:ascii="方正小标宋简体" w:eastAsia="方正小标宋简体"/>
          <w:sz w:val="84"/>
          <w:szCs w:val="84"/>
        </w:rPr>
      </w:pPr>
      <w:bookmarkStart w:id="2" w:name="_GoBack"/>
      <w:r>
        <w:rPr>
          <w:rFonts w:hint="eastAsia" w:ascii="方正小标宋简体" w:eastAsia="方正小标宋简体"/>
          <w:sz w:val="84"/>
          <w:szCs w:val="84"/>
          <w:lang w:val="en-US" w:eastAsia="zh-CN"/>
        </w:rPr>
        <w:t>2020</w:t>
      </w:r>
      <w:r>
        <w:rPr>
          <w:rFonts w:hint="eastAsia" w:ascii="方正小标宋简体" w:eastAsia="方正小标宋简体"/>
          <w:sz w:val="84"/>
          <w:szCs w:val="84"/>
        </w:rPr>
        <w:t>年度</w:t>
      </w:r>
      <w:r>
        <w:rPr>
          <w:rFonts w:hint="eastAsia" w:ascii="方正小标宋简体" w:eastAsia="方正小标宋简体"/>
          <w:sz w:val="84"/>
          <w:szCs w:val="84"/>
          <w:lang w:val="en-US" w:eastAsia="zh-CN"/>
        </w:rPr>
        <w:t xml:space="preserve">                                                                                                                                                                                                                                                                                             </w:t>
      </w: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福建省</w:t>
      </w:r>
      <w:r>
        <w:rPr>
          <w:rFonts w:hint="eastAsia" w:ascii="方正小标宋简体" w:eastAsia="方正小标宋简体"/>
          <w:sz w:val="84"/>
          <w:szCs w:val="84"/>
          <w:lang w:eastAsia="zh-CN"/>
        </w:rPr>
        <w:t>罗源县政协</w:t>
      </w:r>
      <w:r>
        <w:rPr>
          <w:rFonts w:hint="eastAsia" w:ascii="方正小标宋简体" w:eastAsia="方正小标宋简体"/>
          <w:sz w:val="84"/>
          <w:szCs w:val="84"/>
        </w:rPr>
        <w:t>预算</w:t>
      </w:r>
    </w:p>
    <w:p>
      <w:pPr>
        <w:widowControl/>
        <w:rPr>
          <w:sz w:val="84"/>
          <w:szCs w:val="84"/>
        </w:rPr>
      </w:pPr>
      <w:r>
        <w:rPr>
          <w:sz w:val="84"/>
          <w:szCs w:val="84"/>
        </w:rPr>
        <w:br w:type="page"/>
      </w:r>
    </w:p>
    <w:p>
      <w:pPr>
        <w:pStyle w:val="3"/>
        <w:jc w:val="center"/>
        <w:rPr>
          <w:rFonts w:ascii="宋体" w:hAnsi="宋体" w:eastAsia="宋体"/>
          <w:b/>
          <w:sz w:val="36"/>
          <w:lang w:eastAsia="zh-CN"/>
        </w:rPr>
      </w:pPr>
      <w:r>
        <w:rPr>
          <w:rFonts w:hint="eastAsia" w:ascii="宋体" w:hAnsi="宋体" w:eastAsia="宋体"/>
          <w:b/>
          <w:sz w:val="36"/>
          <w:lang w:eastAsia="zh-CN"/>
        </w:rPr>
        <w:t>目  录</w:t>
      </w:r>
    </w:p>
    <w:p>
      <w:pPr>
        <w:pStyle w:val="3"/>
        <w:rPr>
          <w:rFonts w:ascii="宋体" w:hAnsi="宋体" w:eastAsia="宋体"/>
          <w:sz w:val="36"/>
          <w:lang w:eastAsia="zh-CN"/>
        </w:rPr>
      </w:pPr>
    </w:p>
    <w:p>
      <w:pPr>
        <w:pStyle w:val="3"/>
        <w:rPr>
          <w:rFonts w:ascii="宋体" w:hAnsi="宋体" w:eastAsia="宋体"/>
          <w:b/>
          <w:sz w:val="36"/>
          <w:lang w:eastAsia="zh-CN"/>
        </w:rPr>
      </w:pPr>
      <w:r>
        <w:rPr>
          <w:rFonts w:hint="eastAsia" w:ascii="宋体" w:hAnsi="宋体" w:eastAsia="宋体"/>
          <w:b/>
          <w:sz w:val="36"/>
          <w:lang w:eastAsia="zh-CN"/>
        </w:rPr>
        <w:t>第一部分 部门概况</w:t>
      </w:r>
      <w:r>
        <w:rPr>
          <w:rFonts w:ascii="宋体" w:hAnsi="宋体" w:eastAsia="宋体"/>
          <w:b/>
          <w:sz w:val="36"/>
          <w:lang w:eastAsia="zh-CN"/>
        </w:rPr>
        <w:t>…………………………………</w:t>
      </w:r>
    </w:p>
    <w:p>
      <w:pPr>
        <w:pStyle w:val="3"/>
        <w:rPr>
          <w:rFonts w:ascii="宋体" w:hAnsi="宋体" w:eastAsia="宋体"/>
          <w:sz w:val="36"/>
          <w:lang w:eastAsia="zh-CN"/>
        </w:rPr>
      </w:pPr>
      <w:r>
        <w:rPr>
          <w:rFonts w:hint="eastAsia" w:ascii="宋体" w:hAnsi="宋体" w:eastAsia="宋体"/>
          <w:sz w:val="36"/>
          <w:lang w:eastAsia="zh-CN"/>
        </w:rPr>
        <w:t>一、部门主要职责</w:t>
      </w:r>
      <w:r>
        <w:rPr>
          <w:rFonts w:ascii="宋体" w:hAnsi="宋体" w:eastAsia="宋体"/>
          <w:sz w:val="36"/>
          <w:lang w:eastAsia="zh-CN"/>
        </w:rPr>
        <w:t>……………………………………</w:t>
      </w:r>
    </w:p>
    <w:p>
      <w:pPr>
        <w:pStyle w:val="3"/>
        <w:rPr>
          <w:rFonts w:ascii="宋体" w:hAnsi="宋体" w:eastAsia="宋体"/>
          <w:sz w:val="36"/>
          <w:lang w:eastAsia="zh-CN"/>
        </w:rPr>
      </w:pPr>
      <w:r>
        <w:rPr>
          <w:rFonts w:hint="eastAsia" w:ascii="宋体" w:hAnsi="宋体" w:eastAsia="宋体"/>
          <w:sz w:val="36"/>
          <w:lang w:eastAsia="zh-CN"/>
        </w:rPr>
        <w:t>二、部门预算单位构成</w:t>
      </w:r>
      <w:r>
        <w:rPr>
          <w:rFonts w:ascii="宋体" w:hAnsi="宋体" w:eastAsia="宋体"/>
          <w:sz w:val="36"/>
          <w:lang w:eastAsia="zh-CN"/>
        </w:rPr>
        <w:t>………………………………</w:t>
      </w:r>
    </w:p>
    <w:p>
      <w:pPr>
        <w:pStyle w:val="3"/>
        <w:rPr>
          <w:rFonts w:ascii="宋体" w:hAnsi="宋体" w:eastAsia="宋体"/>
          <w:sz w:val="36"/>
          <w:lang w:eastAsia="zh-CN"/>
        </w:rPr>
      </w:pPr>
      <w:r>
        <w:rPr>
          <w:rFonts w:hint="eastAsia" w:ascii="宋体" w:hAnsi="宋体" w:eastAsia="宋体"/>
          <w:sz w:val="36"/>
          <w:lang w:eastAsia="zh-CN"/>
        </w:rPr>
        <w:t>三、部门主要工作任务</w:t>
      </w:r>
      <w:r>
        <w:rPr>
          <w:rFonts w:ascii="宋体" w:hAnsi="宋体" w:eastAsia="宋体"/>
          <w:sz w:val="36"/>
          <w:lang w:eastAsia="zh-CN"/>
        </w:rPr>
        <w:t>………………………………</w:t>
      </w:r>
    </w:p>
    <w:p>
      <w:pPr>
        <w:pStyle w:val="3"/>
        <w:rPr>
          <w:rFonts w:ascii="宋体" w:hAnsi="宋体" w:eastAsia="宋体"/>
          <w:b/>
          <w:sz w:val="36"/>
          <w:lang w:eastAsia="zh-CN"/>
        </w:rPr>
      </w:pPr>
      <w:r>
        <w:rPr>
          <w:rFonts w:hint="eastAsia" w:ascii="宋体" w:hAnsi="宋体" w:eastAsia="宋体"/>
          <w:b/>
          <w:sz w:val="36"/>
          <w:lang w:eastAsia="zh-CN"/>
        </w:rPr>
        <w:t xml:space="preserve">第二部分 </w:t>
      </w:r>
      <w:r>
        <w:rPr>
          <w:rFonts w:hint="eastAsia" w:ascii="仿宋" w:hAnsi="仿宋" w:eastAsia="仿宋" w:cs="仿宋_GB2312"/>
          <w:sz w:val="32"/>
          <w:szCs w:val="32"/>
          <w:lang w:val="en-US" w:eastAsia="zh-CN"/>
        </w:rPr>
        <w:t>2020</w:t>
      </w:r>
      <w:r>
        <w:rPr>
          <w:rFonts w:hint="eastAsia" w:ascii="宋体" w:hAnsi="宋体" w:eastAsia="宋体"/>
          <w:b/>
          <w:sz w:val="36"/>
          <w:lang w:eastAsia="zh-CN"/>
        </w:rPr>
        <w:t>年度部门预算表</w:t>
      </w:r>
      <w:r>
        <w:rPr>
          <w:rFonts w:ascii="宋体" w:hAnsi="宋体" w:eastAsia="宋体"/>
          <w:sz w:val="36"/>
          <w:lang w:eastAsia="zh-CN"/>
        </w:rPr>
        <w:t>………………………</w:t>
      </w:r>
    </w:p>
    <w:p>
      <w:pPr>
        <w:pStyle w:val="3"/>
        <w:rPr>
          <w:rFonts w:ascii="宋体" w:hAnsi="宋体" w:eastAsia="宋体"/>
          <w:sz w:val="36"/>
          <w:lang w:eastAsia="zh-CN"/>
        </w:rPr>
      </w:pPr>
      <w:r>
        <w:rPr>
          <w:rFonts w:hint="eastAsia" w:ascii="宋体" w:hAnsi="宋体" w:eastAsia="宋体"/>
          <w:sz w:val="36"/>
          <w:lang w:eastAsia="zh-CN"/>
        </w:rPr>
        <w:t>一、收支预算总表</w:t>
      </w:r>
      <w:r>
        <w:rPr>
          <w:rFonts w:ascii="宋体" w:hAnsi="宋体" w:eastAsia="宋体"/>
          <w:sz w:val="36"/>
          <w:lang w:eastAsia="zh-CN"/>
        </w:rPr>
        <w:t>……………………………………</w:t>
      </w:r>
    </w:p>
    <w:p>
      <w:pPr>
        <w:pStyle w:val="3"/>
        <w:rPr>
          <w:rFonts w:ascii="宋体" w:hAnsi="宋体" w:eastAsia="宋体"/>
          <w:sz w:val="36"/>
          <w:lang w:eastAsia="zh-CN"/>
        </w:rPr>
      </w:pPr>
      <w:r>
        <w:rPr>
          <w:rFonts w:hint="eastAsia" w:ascii="宋体" w:hAnsi="宋体" w:eastAsia="宋体"/>
          <w:sz w:val="36"/>
          <w:lang w:eastAsia="zh-CN"/>
        </w:rPr>
        <w:t>二、收入预算总表</w:t>
      </w:r>
      <w:r>
        <w:rPr>
          <w:rFonts w:ascii="宋体" w:hAnsi="宋体" w:eastAsia="宋体"/>
          <w:sz w:val="36"/>
          <w:lang w:eastAsia="zh-CN"/>
        </w:rPr>
        <w:t>……………………………………</w:t>
      </w:r>
    </w:p>
    <w:p>
      <w:pPr>
        <w:pStyle w:val="3"/>
        <w:rPr>
          <w:rFonts w:ascii="宋体" w:hAnsi="宋体" w:eastAsia="宋体"/>
          <w:sz w:val="36"/>
          <w:lang w:eastAsia="zh-CN"/>
        </w:rPr>
      </w:pPr>
      <w:r>
        <w:rPr>
          <w:rFonts w:hint="eastAsia" w:ascii="宋体" w:hAnsi="宋体" w:eastAsia="宋体"/>
          <w:sz w:val="36"/>
          <w:lang w:eastAsia="zh-CN"/>
        </w:rPr>
        <w:t>三、支出预算总表</w:t>
      </w:r>
      <w:r>
        <w:rPr>
          <w:rFonts w:ascii="宋体" w:hAnsi="宋体" w:eastAsia="宋体"/>
          <w:sz w:val="36"/>
          <w:lang w:eastAsia="zh-CN"/>
        </w:rPr>
        <w:t>……………………………………</w:t>
      </w:r>
    </w:p>
    <w:p>
      <w:pPr>
        <w:pStyle w:val="3"/>
        <w:rPr>
          <w:rFonts w:ascii="宋体" w:hAnsi="宋体" w:eastAsia="宋体"/>
          <w:sz w:val="36"/>
          <w:lang w:eastAsia="zh-CN"/>
        </w:rPr>
      </w:pPr>
      <w:r>
        <w:rPr>
          <w:rFonts w:hint="eastAsia" w:ascii="宋体" w:hAnsi="宋体" w:eastAsia="宋体"/>
          <w:sz w:val="36"/>
          <w:lang w:eastAsia="zh-CN"/>
        </w:rPr>
        <w:t>四、财政拨款收支预算总表</w:t>
      </w:r>
      <w:r>
        <w:rPr>
          <w:rFonts w:ascii="宋体" w:hAnsi="宋体" w:eastAsia="宋体"/>
          <w:sz w:val="36"/>
          <w:lang w:eastAsia="zh-CN"/>
        </w:rPr>
        <w:t>…………………………</w:t>
      </w:r>
    </w:p>
    <w:p>
      <w:pPr>
        <w:pStyle w:val="3"/>
        <w:rPr>
          <w:rFonts w:ascii="宋体" w:hAnsi="宋体" w:eastAsia="宋体"/>
          <w:sz w:val="36"/>
          <w:lang w:eastAsia="zh-CN"/>
        </w:rPr>
      </w:pPr>
      <w:r>
        <w:rPr>
          <w:rFonts w:hint="eastAsia" w:ascii="宋体" w:hAnsi="宋体" w:eastAsia="宋体"/>
          <w:sz w:val="36"/>
          <w:lang w:eastAsia="zh-CN"/>
        </w:rPr>
        <w:t>五、一般公共预算拨款支出预算表</w:t>
      </w:r>
      <w:r>
        <w:rPr>
          <w:rFonts w:ascii="宋体" w:hAnsi="宋体" w:eastAsia="宋体"/>
          <w:sz w:val="36"/>
          <w:lang w:eastAsia="zh-CN"/>
        </w:rPr>
        <w:t>…………………</w:t>
      </w:r>
    </w:p>
    <w:p>
      <w:pPr>
        <w:pStyle w:val="3"/>
        <w:rPr>
          <w:rFonts w:ascii="宋体" w:hAnsi="宋体" w:eastAsia="宋体"/>
          <w:sz w:val="36"/>
          <w:lang w:eastAsia="zh-CN"/>
        </w:rPr>
      </w:pPr>
      <w:r>
        <w:rPr>
          <w:rFonts w:hint="eastAsia" w:ascii="宋体" w:hAnsi="宋体" w:eastAsia="宋体"/>
          <w:sz w:val="36"/>
          <w:lang w:eastAsia="zh-CN"/>
        </w:rPr>
        <w:t>六、政府性基金拨款支出预算表</w:t>
      </w:r>
      <w:r>
        <w:rPr>
          <w:rFonts w:ascii="宋体" w:hAnsi="宋体" w:eastAsia="宋体"/>
          <w:sz w:val="36"/>
          <w:lang w:eastAsia="zh-CN"/>
        </w:rPr>
        <w:t>……………………</w:t>
      </w:r>
    </w:p>
    <w:p>
      <w:pPr>
        <w:pStyle w:val="3"/>
        <w:rPr>
          <w:rFonts w:ascii="宋体" w:hAnsi="宋体" w:eastAsia="宋体"/>
          <w:sz w:val="36"/>
          <w:lang w:eastAsia="zh-CN"/>
        </w:rPr>
      </w:pPr>
      <w:r>
        <w:rPr>
          <w:rFonts w:hint="eastAsia" w:ascii="宋体" w:hAnsi="宋体" w:eastAsia="宋体"/>
          <w:sz w:val="36"/>
          <w:lang w:eastAsia="zh-CN"/>
        </w:rPr>
        <w:t>七、一般公共预算支出经济分类情况表</w:t>
      </w:r>
      <w:r>
        <w:rPr>
          <w:rFonts w:ascii="宋体" w:hAnsi="宋体" w:eastAsia="宋体"/>
          <w:sz w:val="36"/>
          <w:lang w:eastAsia="zh-CN"/>
        </w:rPr>
        <w:t>……………</w:t>
      </w:r>
    </w:p>
    <w:p>
      <w:pPr>
        <w:pStyle w:val="3"/>
        <w:rPr>
          <w:rFonts w:ascii="宋体" w:hAnsi="宋体" w:eastAsia="宋体"/>
          <w:sz w:val="36"/>
          <w:lang w:eastAsia="zh-CN"/>
        </w:rPr>
      </w:pPr>
      <w:r>
        <w:rPr>
          <w:rFonts w:hint="eastAsia" w:ascii="宋体" w:hAnsi="宋体" w:eastAsia="宋体"/>
          <w:sz w:val="36"/>
          <w:lang w:eastAsia="zh-CN"/>
        </w:rPr>
        <w:t>八、一般公共预算基本支出经济分类情况表</w:t>
      </w:r>
      <w:r>
        <w:rPr>
          <w:rFonts w:ascii="宋体" w:hAnsi="宋体" w:eastAsia="宋体"/>
          <w:sz w:val="36"/>
          <w:lang w:eastAsia="zh-CN"/>
        </w:rPr>
        <w:t>………</w:t>
      </w:r>
    </w:p>
    <w:p>
      <w:pPr>
        <w:pStyle w:val="3"/>
        <w:rPr>
          <w:rFonts w:ascii="宋体" w:hAnsi="宋体" w:eastAsia="宋体"/>
          <w:sz w:val="36"/>
          <w:lang w:eastAsia="zh-CN"/>
        </w:rPr>
      </w:pPr>
      <w:r>
        <w:rPr>
          <w:rFonts w:hint="eastAsia" w:ascii="宋体" w:hAnsi="宋体" w:eastAsia="宋体"/>
          <w:sz w:val="36"/>
          <w:lang w:eastAsia="zh-CN"/>
        </w:rPr>
        <w:t>九、一般公共预算“三公”经费支出预算表</w:t>
      </w:r>
      <w:r>
        <w:rPr>
          <w:rFonts w:ascii="宋体" w:hAnsi="宋体" w:eastAsia="宋体"/>
          <w:sz w:val="36"/>
          <w:lang w:eastAsia="zh-CN"/>
        </w:rPr>
        <w:t>………</w:t>
      </w:r>
    </w:p>
    <w:p>
      <w:pPr>
        <w:pStyle w:val="3"/>
        <w:rPr>
          <w:rFonts w:ascii="宋体" w:hAnsi="宋体" w:eastAsia="宋体"/>
          <w:sz w:val="36"/>
          <w:lang w:eastAsia="zh-CN"/>
        </w:rPr>
      </w:pPr>
      <w:r>
        <w:rPr>
          <w:rFonts w:hint="eastAsia" w:ascii="宋体" w:hAnsi="宋体" w:eastAsia="宋体"/>
          <w:sz w:val="36"/>
          <w:lang w:eastAsia="zh-CN"/>
        </w:rPr>
        <w:t>十、部门专项资金管理清单目录</w:t>
      </w:r>
      <w:r>
        <w:rPr>
          <w:rFonts w:ascii="宋体" w:hAnsi="宋体" w:eastAsia="宋体"/>
          <w:sz w:val="36"/>
          <w:lang w:eastAsia="zh-CN"/>
        </w:rPr>
        <w:t>……………………</w:t>
      </w:r>
    </w:p>
    <w:p>
      <w:pPr>
        <w:widowControl/>
        <w:rPr>
          <w:rFonts w:ascii="宋体" w:hAnsi="宋体" w:eastAsia="宋体"/>
          <w:b/>
          <w:sz w:val="40"/>
        </w:rPr>
      </w:pPr>
      <w:r>
        <w:rPr>
          <w:rFonts w:hint="eastAsia" w:ascii="宋体" w:hAnsi="宋体" w:eastAsia="宋体"/>
          <w:b/>
          <w:sz w:val="40"/>
        </w:rPr>
        <w:t xml:space="preserve">第三部分 </w:t>
      </w:r>
      <w:r>
        <w:rPr>
          <w:rFonts w:hint="eastAsia" w:ascii="仿宋" w:hAnsi="仿宋" w:eastAsia="仿宋" w:cs="仿宋_GB2312"/>
          <w:kern w:val="0"/>
          <w:sz w:val="32"/>
          <w:szCs w:val="32"/>
          <w:lang w:val="en-US" w:eastAsia="zh-CN"/>
        </w:rPr>
        <w:t>2020</w:t>
      </w:r>
      <w:r>
        <w:rPr>
          <w:rFonts w:hint="eastAsia" w:ascii="宋体" w:hAnsi="宋体" w:eastAsia="宋体"/>
          <w:b/>
          <w:sz w:val="40"/>
        </w:rPr>
        <w:t>年度部门预算情况说明</w:t>
      </w:r>
      <w:r>
        <w:rPr>
          <w:rFonts w:ascii="宋体" w:hAnsi="宋体" w:eastAsia="宋体"/>
          <w:sz w:val="36"/>
        </w:rPr>
        <w:t>…………</w:t>
      </w:r>
    </w:p>
    <w:p>
      <w:pPr>
        <w:widowControl/>
        <w:rPr>
          <w:rFonts w:ascii="宋体" w:hAnsi="宋体" w:eastAsia="宋体" w:cs="Times New Roman"/>
          <w:kern w:val="0"/>
          <w:sz w:val="36"/>
          <w:szCs w:val="20"/>
        </w:rPr>
      </w:pPr>
      <w:r>
        <w:rPr>
          <w:rFonts w:hint="eastAsia" w:ascii="宋体" w:hAnsi="宋体" w:eastAsia="宋体" w:cs="Times New Roman"/>
          <w:kern w:val="0"/>
          <w:sz w:val="36"/>
          <w:szCs w:val="20"/>
        </w:rPr>
        <w:t>一、预算收支总体情况</w:t>
      </w:r>
      <w:r>
        <w:rPr>
          <w:rFonts w:ascii="宋体" w:hAnsi="宋体" w:eastAsia="宋体"/>
          <w:sz w:val="36"/>
        </w:rPr>
        <w:t>………………………………</w:t>
      </w:r>
    </w:p>
    <w:p>
      <w:pPr>
        <w:widowControl/>
        <w:rPr>
          <w:rFonts w:ascii="宋体" w:hAnsi="宋体" w:eastAsia="宋体" w:cs="Times New Roman"/>
          <w:kern w:val="0"/>
          <w:sz w:val="36"/>
          <w:szCs w:val="20"/>
        </w:rPr>
      </w:pPr>
      <w:r>
        <w:rPr>
          <w:rFonts w:hint="eastAsia" w:ascii="宋体" w:hAnsi="宋体" w:eastAsia="宋体" w:cs="Times New Roman"/>
          <w:kern w:val="0"/>
          <w:sz w:val="36"/>
          <w:szCs w:val="20"/>
        </w:rPr>
        <w:t>二、一般公共预算拨款支出情况</w:t>
      </w:r>
      <w:r>
        <w:rPr>
          <w:rFonts w:ascii="宋体" w:hAnsi="宋体" w:eastAsia="宋体" w:cs="Times New Roman"/>
          <w:kern w:val="0"/>
          <w:sz w:val="36"/>
          <w:szCs w:val="20"/>
        </w:rPr>
        <w:t>………………………</w:t>
      </w:r>
    </w:p>
    <w:p>
      <w:pPr>
        <w:widowControl/>
        <w:rPr>
          <w:rFonts w:ascii="宋体" w:hAnsi="宋体" w:eastAsia="宋体" w:cs="Times New Roman"/>
          <w:kern w:val="0"/>
          <w:sz w:val="36"/>
          <w:szCs w:val="20"/>
        </w:rPr>
      </w:pPr>
      <w:r>
        <w:rPr>
          <w:rFonts w:hint="eastAsia" w:ascii="宋体" w:hAnsi="宋体" w:eastAsia="宋体" w:cs="Times New Roman"/>
          <w:kern w:val="0"/>
          <w:sz w:val="36"/>
          <w:szCs w:val="20"/>
        </w:rPr>
        <w:t>三、政府性基金预算拨款支出情况</w:t>
      </w:r>
      <w:r>
        <w:rPr>
          <w:rFonts w:ascii="宋体" w:hAnsi="宋体" w:eastAsia="宋体" w:cs="Times New Roman"/>
          <w:kern w:val="0"/>
          <w:sz w:val="36"/>
          <w:szCs w:val="20"/>
        </w:rPr>
        <w:t>……………………</w:t>
      </w:r>
    </w:p>
    <w:p>
      <w:pPr>
        <w:widowControl/>
        <w:rPr>
          <w:rFonts w:ascii="宋体" w:hAnsi="宋体" w:eastAsia="宋体" w:cs="Times New Roman"/>
          <w:kern w:val="0"/>
          <w:sz w:val="36"/>
          <w:szCs w:val="20"/>
        </w:rPr>
      </w:pPr>
      <w:r>
        <w:rPr>
          <w:rFonts w:hint="eastAsia" w:ascii="宋体" w:hAnsi="宋体" w:eastAsia="宋体" w:cs="Times New Roman"/>
          <w:kern w:val="0"/>
          <w:sz w:val="36"/>
          <w:szCs w:val="20"/>
        </w:rPr>
        <w:t>四、财政拨款预算基本支出情况</w:t>
      </w:r>
      <w:r>
        <w:rPr>
          <w:rFonts w:ascii="宋体" w:hAnsi="宋体" w:eastAsia="宋体" w:cs="Times New Roman"/>
          <w:kern w:val="0"/>
          <w:sz w:val="36"/>
          <w:szCs w:val="20"/>
        </w:rPr>
        <w:t>………………………</w:t>
      </w:r>
    </w:p>
    <w:p>
      <w:pPr>
        <w:widowControl/>
        <w:rPr>
          <w:rFonts w:ascii="宋体" w:hAnsi="宋体" w:eastAsia="宋体" w:cs="Times New Roman"/>
          <w:kern w:val="0"/>
          <w:sz w:val="36"/>
          <w:szCs w:val="20"/>
        </w:rPr>
      </w:pPr>
      <w:r>
        <w:rPr>
          <w:rFonts w:hint="eastAsia" w:ascii="宋体" w:hAnsi="宋体" w:eastAsia="宋体" w:cs="Times New Roman"/>
          <w:kern w:val="0"/>
          <w:sz w:val="36"/>
          <w:szCs w:val="20"/>
        </w:rPr>
        <w:t>五、一般公共预算“三公”经费支出情况</w:t>
      </w:r>
      <w:r>
        <w:rPr>
          <w:rFonts w:ascii="宋体" w:hAnsi="宋体" w:eastAsia="宋体" w:cs="Times New Roman"/>
          <w:kern w:val="0"/>
          <w:sz w:val="36"/>
          <w:szCs w:val="20"/>
        </w:rPr>
        <w:t>………………</w:t>
      </w:r>
    </w:p>
    <w:p>
      <w:pPr>
        <w:widowControl/>
        <w:rPr>
          <w:rFonts w:ascii="宋体" w:hAnsi="宋体" w:eastAsia="宋体" w:cs="Times New Roman"/>
          <w:kern w:val="0"/>
          <w:sz w:val="36"/>
          <w:szCs w:val="20"/>
        </w:rPr>
      </w:pPr>
      <w:r>
        <w:rPr>
          <w:rFonts w:hint="eastAsia" w:ascii="宋体" w:hAnsi="宋体" w:eastAsia="宋体" w:cs="Times New Roman"/>
          <w:kern w:val="0"/>
          <w:sz w:val="36"/>
          <w:szCs w:val="20"/>
        </w:rPr>
        <w:t>六、预算绩效目标情况</w:t>
      </w:r>
      <w:r>
        <w:rPr>
          <w:rFonts w:ascii="宋体" w:hAnsi="宋体" w:eastAsia="宋体" w:cs="Times New Roman"/>
          <w:kern w:val="0"/>
          <w:sz w:val="36"/>
          <w:szCs w:val="20"/>
        </w:rPr>
        <w:t>…………………………………</w:t>
      </w:r>
    </w:p>
    <w:p>
      <w:pPr>
        <w:widowControl/>
        <w:rPr>
          <w:rFonts w:ascii="宋体" w:hAnsi="宋体" w:eastAsia="宋体" w:cs="Times New Roman"/>
          <w:kern w:val="0"/>
          <w:sz w:val="36"/>
          <w:szCs w:val="20"/>
        </w:rPr>
      </w:pPr>
      <w:r>
        <w:rPr>
          <w:rFonts w:hint="eastAsia" w:ascii="宋体" w:hAnsi="宋体" w:eastAsia="宋体" w:cs="Times New Roman"/>
          <w:kern w:val="0"/>
          <w:sz w:val="36"/>
          <w:szCs w:val="20"/>
        </w:rPr>
        <w:t>七、其他重要事项说明</w:t>
      </w:r>
      <w:r>
        <w:rPr>
          <w:rFonts w:ascii="宋体" w:hAnsi="宋体" w:eastAsia="宋体" w:cs="Times New Roman"/>
          <w:kern w:val="0"/>
          <w:sz w:val="36"/>
          <w:szCs w:val="20"/>
        </w:rPr>
        <w:t>…………………………………</w:t>
      </w:r>
    </w:p>
    <w:p>
      <w:pPr>
        <w:pStyle w:val="3"/>
        <w:spacing w:before="3"/>
        <w:rPr>
          <w:rFonts w:eastAsia="宋体"/>
          <w:sz w:val="26"/>
          <w:lang w:eastAsia="zh-CN"/>
        </w:rPr>
      </w:pPr>
      <w:r>
        <w:rPr>
          <w:rFonts w:hint="eastAsia" w:ascii="宋体" w:hAnsi="宋体" w:eastAsia="宋体"/>
          <w:b/>
          <w:sz w:val="40"/>
          <w:lang w:eastAsia="zh-CN"/>
        </w:rPr>
        <w:t>第四部分 名词解释</w:t>
      </w:r>
      <w:r>
        <w:rPr>
          <w:rFonts w:ascii="宋体" w:hAnsi="宋体" w:eastAsia="宋体"/>
          <w:sz w:val="36"/>
          <w:lang w:eastAsia="zh-CN"/>
        </w:rPr>
        <w:t>…………………………………</w:t>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3"/>
        <w:jc w:val="center"/>
        <w:rPr>
          <w:rFonts w:ascii="黑体" w:hAnsi="黑体" w:eastAsia="黑体"/>
          <w:sz w:val="36"/>
          <w:szCs w:val="36"/>
          <w:lang w:eastAsia="zh-CN"/>
        </w:rPr>
      </w:pPr>
      <w:r>
        <w:rPr>
          <w:rFonts w:hint="eastAsia" w:ascii="黑体" w:hAnsi="黑体" w:eastAsia="黑体"/>
          <w:sz w:val="36"/>
          <w:szCs w:val="36"/>
          <w:lang w:eastAsia="zh-CN"/>
        </w:rPr>
        <w:t>第一部分 部门概况</w:t>
      </w:r>
    </w:p>
    <w:p>
      <w:pPr>
        <w:pStyle w:val="3"/>
        <w:rPr>
          <w:rFonts w:ascii="黑体" w:hAnsi="黑体" w:eastAsia="黑体"/>
          <w:sz w:val="36"/>
          <w:szCs w:val="36"/>
          <w:lang w:eastAsia="zh-CN"/>
        </w:rPr>
      </w:pPr>
    </w:p>
    <w:p>
      <w:pPr>
        <w:pStyle w:val="3"/>
        <w:rPr>
          <w:rFonts w:ascii="仿宋" w:hAnsi="仿宋" w:eastAsia="仿宋" w:cs="黑体"/>
          <w:b/>
          <w:kern w:val="2"/>
          <w:sz w:val="32"/>
          <w:szCs w:val="32"/>
          <w:lang w:eastAsia="zh-CN"/>
        </w:rPr>
      </w:pPr>
      <w:r>
        <w:rPr>
          <w:rFonts w:hint="eastAsia" w:ascii="仿宋" w:hAnsi="仿宋" w:eastAsia="仿宋" w:cs="黑体"/>
          <w:b/>
          <w:kern w:val="2"/>
          <w:sz w:val="32"/>
          <w:szCs w:val="32"/>
          <w:lang w:eastAsia="zh-CN"/>
        </w:rPr>
        <w:t>一、部门主要职责</w:t>
      </w:r>
    </w:p>
    <w:p>
      <w:pPr>
        <w:pStyle w:val="3"/>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县政协主要职责是：履行政治协商、民主监督、参政 议政职能。 </w:t>
      </w:r>
    </w:p>
    <w:p>
      <w:pPr>
        <w:pStyle w:val="3"/>
        <w:ind w:firstLine="640" w:firstLineChars="200"/>
        <w:rPr>
          <w:rFonts w:hint="eastAsia" w:ascii="仿宋" w:hAnsi="仿宋" w:eastAsia="仿宋" w:cs="仿宋"/>
          <w:sz w:val="32"/>
          <w:szCs w:val="32"/>
        </w:rPr>
      </w:pPr>
    </w:p>
    <w:p>
      <w:pPr>
        <w:pStyle w:val="3"/>
        <w:numPr>
          <w:ilvl w:val="0"/>
          <w:numId w:val="1"/>
        </w:numPr>
        <w:rPr>
          <w:rFonts w:hint="eastAsia" w:ascii="仿宋" w:hAnsi="仿宋" w:eastAsia="仿宋" w:cs="仿宋"/>
          <w:sz w:val="32"/>
          <w:szCs w:val="32"/>
        </w:rPr>
      </w:pPr>
    </w:p>
    <w:p>
      <w:pPr>
        <w:pStyle w:val="3"/>
        <w:numPr>
          <w:numId w:val="0"/>
        </w:numPr>
        <w:rPr>
          <w:rFonts w:hint="eastAsia" w:ascii="仿宋" w:hAnsi="仿宋" w:eastAsia="仿宋" w:cs="仿宋"/>
          <w:sz w:val="32"/>
          <w:szCs w:val="32"/>
        </w:rPr>
      </w:pPr>
      <w:r>
        <w:rPr>
          <w:rFonts w:hint="eastAsia" w:ascii="仿宋" w:hAnsi="仿宋" w:eastAsia="仿宋" w:cs="仿宋"/>
          <w:sz w:val="32"/>
          <w:szCs w:val="32"/>
        </w:rPr>
        <w:t xml:space="preserve">政治协商：是对国家和地方的大政方针以及政 治、经济、文化和社会生活中的重要问题在决策之前进行 协商和就决策执行过程中的重要问题进行协商。 </w:t>
      </w:r>
    </w:p>
    <w:p>
      <w:pPr>
        <w:pStyle w:val="3"/>
        <w:numPr>
          <w:ilvl w:val="0"/>
          <w:numId w:val="1"/>
        </w:numPr>
        <w:rPr>
          <w:rFonts w:hint="eastAsia" w:ascii="仿宋" w:hAnsi="仿宋" w:eastAsia="仿宋" w:cs="仿宋"/>
          <w:sz w:val="32"/>
          <w:szCs w:val="32"/>
        </w:rPr>
      </w:pPr>
    </w:p>
    <w:p>
      <w:pPr>
        <w:pStyle w:val="3"/>
        <w:numPr>
          <w:numId w:val="0"/>
        </w:numPr>
        <w:ind w:leftChars="0"/>
        <w:rPr>
          <w:rFonts w:hint="eastAsia" w:ascii="仿宋" w:hAnsi="仿宋" w:eastAsia="仿宋" w:cs="仿宋"/>
          <w:sz w:val="32"/>
          <w:szCs w:val="32"/>
        </w:rPr>
      </w:pPr>
      <w:r>
        <w:rPr>
          <w:rFonts w:hint="eastAsia" w:ascii="仿宋" w:hAnsi="仿宋" w:eastAsia="仿宋" w:cs="仿宋"/>
          <w:sz w:val="32"/>
          <w:szCs w:val="32"/>
        </w:rPr>
        <w:t>民主监督：是对国家宪法、法律和法规的实 施，重大方针政策的贯彻执行、国家机关及其工作人员的 工作，通过建议和批评进行监督。</w:t>
      </w:r>
    </w:p>
    <w:p>
      <w:pPr>
        <w:pStyle w:val="3"/>
        <w:numPr>
          <w:numId w:val="0"/>
        </w:numPr>
        <w:ind w:leftChars="0"/>
        <w:rPr>
          <w:rFonts w:hint="eastAsia" w:ascii="仿宋" w:hAnsi="仿宋" w:eastAsia="仿宋" w:cs="仿宋"/>
          <w:sz w:val="32"/>
          <w:szCs w:val="32"/>
        </w:rPr>
      </w:pPr>
      <w:r>
        <w:rPr>
          <w:rFonts w:hint="eastAsia" w:ascii="仿宋" w:hAnsi="仿宋" w:eastAsia="仿宋" w:cs="仿宋"/>
          <w:sz w:val="32"/>
          <w:szCs w:val="32"/>
        </w:rPr>
        <w:t xml:space="preserve"> </w:t>
      </w:r>
    </w:p>
    <w:p>
      <w:pPr>
        <w:pStyle w:val="3"/>
        <w:numPr>
          <w:numId w:val="0"/>
        </w:numPr>
        <w:ind w:leftChars="0"/>
        <w:rPr>
          <w:rFonts w:hint="eastAsia" w:ascii="仿宋" w:hAnsi="仿宋" w:eastAsia="仿宋" w:cs="仿宋"/>
          <w:sz w:val="32"/>
          <w:szCs w:val="32"/>
        </w:rPr>
      </w:pPr>
      <w:r>
        <w:rPr>
          <w:rFonts w:hint="eastAsia" w:ascii="仿宋" w:hAnsi="仿宋" w:eastAsia="仿宋" w:cs="仿宋"/>
          <w:sz w:val="32"/>
          <w:szCs w:val="32"/>
        </w:rPr>
        <w:t>（三）</w:t>
      </w:r>
    </w:p>
    <w:p>
      <w:pPr>
        <w:pStyle w:val="3"/>
        <w:numPr>
          <w:numId w:val="0"/>
        </w:numPr>
        <w:ind w:leftChars="0"/>
        <w:rPr>
          <w:rFonts w:hint="eastAsia"/>
          <w:b/>
        </w:rPr>
      </w:pPr>
      <w:r>
        <w:rPr>
          <w:rFonts w:hint="eastAsia" w:ascii="仿宋" w:hAnsi="仿宋" w:eastAsia="仿宋" w:cs="仿宋"/>
          <w:sz w:val="32"/>
          <w:szCs w:val="32"/>
        </w:rPr>
        <w:t>参政议政：是对政治、经济、文化和社会生活 中的重要问题以及人民群众普遍关心的问题，开展调查研 究，反映社情民意，进行协商讨论。通过调研报告、提 案、建议案或其他形式，向中国共产党和国家机关提出意 见和建议</w:t>
      </w:r>
      <w:r>
        <w:rPr>
          <w:rFonts w:ascii="宋体" w:hAnsi="宋体" w:eastAsia="宋体" w:cs="宋体"/>
          <w:sz w:val="24"/>
          <w:szCs w:val="24"/>
        </w:rPr>
        <w:t>。</w:t>
      </w:r>
      <w:bookmarkStart w:id="0" w:name="_Toc32398_WPSOffice_Level2"/>
    </w:p>
    <w:p>
      <w:pPr>
        <w:pStyle w:val="2"/>
        <w:shd w:val="clear"/>
        <w:rPr>
          <w:rFonts w:hint="eastAsia"/>
          <w:b/>
        </w:rPr>
      </w:pPr>
      <w:r>
        <w:rPr>
          <w:rFonts w:hint="eastAsia"/>
          <w:b/>
        </w:rPr>
        <w:t>二、部门决算单位基本情况</w:t>
      </w:r>
      <w:bookmarkEnd w:id="0"/>
    </w:p>
    <w:p>
      <w:pPr>
        <w:shd w:val="clear"/>
        <w:tabs>
          <w:tab w:val="left" w:pos="7513"/>
        </w:tabs>
        <w:spacing w:line="360" w:lineRule="auto"/>
        <w:ind w:firstLine="640"/>
        <w:rPr>
          <w:rFonts w:hint="eastAsia" w:ascii="仿宋" w:hAnsi="仿宋" w:eastAsia="仿宋" w:cs="仿宋"/>
          <w:kern w:val="1"/>
          <w:sz w:val="32"/>
          <w:szCs w:val="32"/>
        </w:rPr>
      </w:pPr>
      <w:r>
        <w:rPr>
          <w:rFonts w:hint="eastAsia" w:ascii="仿宋" w:hAnsi="仿宋" w:eastAsia="仿宋" w:cs="仿宋"/>
          <w:kern w:val="1"/>
          <w:sz w:val="32"/>
          <w:szCs w:val="32"/>
        </w:rPr>
        <w:t>从决算单位构成看，</w:t>
      </w:r>
      <w:r>
        <w:rPr>
          <w:rFonts w:hint="eastAsia" w:ascii="仿宋" w:hAnsi="仿宋" w:eastAsia="仿宋" w:cs="仿宋"/>
          <w:kern w:val="1"/>
          <w:sz w:val="32"/>
          <w:szCs w:val="32"/>
          <w:lang w:eastAsia="zh-CN"/>
        </w:rPr>
        <w:t>罗源县政协</w:t>
      </w:r>
      <w:r>
        <w:rPr>
          <w:rFonts w:hint="eastAsia" w:ascii="仿宋" w:hAnsi="仿宋" w:eastAsia="仿宋" w:cs="仿宋"/>
          <w:kern w:val="1"/>
          <w:sz w:val="32"/>
          <w:szCs w:val="32"/>
        </w:rPr>
        <w:t>包括4个机关行政处（科）室及1个下属单位，其中：列入2018年部门决算编制范围的单位详细情况见下表:</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shd w:val="clear"/>
              <w:spacing w:before="100" w:beforeAutospacing="1" w:after="100" w:afterAutospacing="1" w:line="600" w:lineRule="exact"/>
              <w:jc w:val="center"/>
            </w:pPr>
            <w:r>
              <w:rPr>
                <w:rFonts w:hint="eastAsia"/>
              </w:rPr>
              <w:t>单位名称</w:t>
            </w:r>
          </w:p>
        </w:tc>
        <w:tc>
          <w:tcPr>
            <w:tcW w:w="2130" w:type="dxa"/>
            <w:tcBorders>
              <w:top w:val="single" w:color="auto" w:sz="4" w:space="0"/>
              <w:left w:val="single" w:color="auto" w:sz="4" w:space="0"/>
              <w:bottom w:val="single" w:color="auto" w:sz="4" w:space="0"/>
              <w:right w:val="single" w:color="auto" w:sz="4" w:space="0"/>
            </w:tcBorders>
            <w:vAlign w:val="center"/>
          </w:tcPr>
          <w:p>
            <w:pPr>
              <w:shd w:val="clear"/>
              <w:spacing w:before="100" w:beforeAutospacing="1" w:after="100" w:afterAutospacing="1" w:line="600" w:lineRule="exact"/>
              <w:jc w:val="center"/>
              <w:rPr>
                <w:rFonts w:ascii="仿宋" w:hAnsi="仿宋" w:eastAsia="仿宋" w:cs="仿宋_GB2312"/>
                <w:sz w:val="32"/>
                <w:szCs w:val="32"/>
              </w:rPr>
            </w:pPr>
            <w:r>
              <w:rPr>
                <w:rFonts w:hint="eastAsia" w:ascii="仿宋" w:hAnsi="仿宋" w:eastAsia="仿宋" w:cs="仿宋_GB2312"/>
                <w:sz w:val="32"/>
                <w:szCs w:val="32"/>
              </w:rPr>
              <w:t>经费性质</w:t>
            </w:r>
          </w:p>
        </w:tc>
        <w:tc>
          <w:tcPr>
            <w:tcW w:w="2131" w:type="dxa"/>
            <w:tcBorders>
              <w:top w:val="single" w:color="auto" w:sz="4" w:space="0"/>
              <w:left w:val="single" w:color="auto" w:sz="4" w:space="0"/>
              <w:bottom w:val="single" w:color="auto" w:sz="4" w:space="0"/>
              <w:right w:val="single" w:color="auto" w:sz="4" w:space="0"/>
            </w:tcBorders>
            <w:vAlign w:val="center"/>
          </w:tcPr>
          <w:p>
            <w:pPr>
              <w:shd w:val="clear"/>
              <w:spacing w:before="100" w:beforeAutospacing="1" w:after="100" w:afterAutospacing="1" w:line="600" w:lineRule="exact"/>
              <w:jc w:val="center"/>
              <w:rPr>
                <w:rFonts w:ascii="仿宋" w:hAnsi="仿宋" w:eastAsia="仿宋" w:cs="仿宋_GB2312"/>
                <w:sz w:val="32"/>
                <w:szCs w:val="32"/>
              </w:rPr>
            </w:pPr>
            <w:r>
              <w:rPr>
                <w:rFonts w:hint="eastAsia" w:ascii="仿宋" w:hAnsi="仿宋" w:eastAsia="仿宋" w:cs="仿宋_GB2312"/>
                <w:sz w:val="32"/>
                <w:szCs w:val="32"/>
              </w:rPr>
              <w:t>人员编制数</w:t>
            </w:r>
          </w:p>
        </w:tc>
        <w:tc>
          <w:tcPr>
            <w:tcW w:w="2131" w:type="dxa"/>
            <w:tcBorders>
              <w:top w:val="single" w:color="auto" w:sz="4" w:space="0"/>
              <w:left w:val="single" w:color="auto" w:sz="4" w:space="0"/>
              <w:bottom w:val="single" w:color="auto" w:sz="4" w:space="0"/>
              <w:right w:val="single" w:color="auto" w:sz="4" w:space="0"/>
            </w:tcBorders>
            <w:vAlign w:val="center"/>
          </w:tcPr>
          <w:p>
            <w:pPr>
              <w:shd w:val="clear"/>
              <w:spacing w:before="100" w:beforeAutospacing="1" w:after="100" w:afterAutospacing="1" w:line="600" w:lineRule="exact"/>
              <w:jc w:val="center"/>
              <w:rPr>
                <w:rFonts w:ascii="仿宋" w:hAnsi="仿宋" w:eastAsia="仿宋" w:cs="仿宋_GB2312"/>
                <w:sz w:val="32"/>
                <w:szCs w:val="32"/>
              </w:rPr>
            </w:pPr>
            <w:r>
              <w:rPr>
                <w:rFonts w:hint="eastAsia" w:ascii="仿宋" w:hAnsi="仿宋" w:eastAsia="仿宋" w:cs="仿宋_GB2312"/>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top"/>
          </w:tcPr>
          <w:p>
            <w:pPr>
              <w:shd w:val="clear"/>
              <w:tabs>
                <w:tab w:val="left" w:pos="7513"/>
              </w:tabs>
              <w:adjustRightInd w:val="0"/>
              <w:snapToGrid w:val="0"/>
              <w:spacing w:before="100" w:beforeAutospacing="1" w:after="100" w:afterAutospacing="1" w:line="600" w:lineRule="exact"/>
              <w:rPr>
                <w:rFonts w:ascii="宋体" w:hAnsi="宋体" w:eastAsia="宋体"/>
                <w:bCs/>
                <w:sz w:val="28"/>
                <w:szCs w:val="28"/>
              </w:rPr>
            </w:pPr>
            <w:r>
              <w:rPr>
                <w:rFonts w:hint="eastAsia" w:ascii="宋体" w:hAnsi="宋体" w:eastAsia="宋体"/>
                <w:sz w:val="28"/>
                <w:szCs w:val="28"/>
              </w:rPr>
              <w:t>罗源县政协</w:t>
            </w:r>
          </w:p>
        </w:tc>
        <w:tc>
          <w:tcPr>
            <w:tcW w:w="2130" w:type="dxa"/>
            <w:tcBorders>
              <w:top w:val="single" w:color="auto" w:sz="4" w:space="0"/>
              <w:left w:val="single" w:color="auto" w:sz="4" w:space="0"/>
              <w:bottom w:val="single" w:color="auto" w:sz="4" w:space="0"/>
              <w:right w:val="single" w:color="auto" w:sz="4" w:space="0"/>
            </w:tcBorders>
            <w:vAlign w:val="top"/>
          </w:tcPr>
          <w:p>
            <w:pPr>
              <w:shd w:val="clear"/>
              <w:tabs>
                <w:tab w:val="left" w:pos="7513"/>
              </w:tabs>
              <w:adjustRightInd w:val="0"/>
              <w:snapToGrid w:val="0"/>
              <w:spacing w:before="100" w:beforeAutospacing="1" w:after="100" w:afterAutospacing="1" w:line="600" w:lineRule="exact"/>
              <w:rPr>
                <w:b/>
                <w:bCs/>
              </w:rPr>
            </w:pPr>
            <w:r>
              <w:rPr>
                <w:rFonts w:hint="eastAsia" w:ascii="仿宋" w:hAnsi="仿宋" w:eastAsia="仿宋"/>
                <w:sz w:val="32"/>
                <w:szCs w:val="32"/>
              </w:rPr>
              <w:t>财政全额拨款</w:t>
            </w:r>
          </w:p>
        </w:tc>
        <w:tc>
          <w:tcPr>
            <w:tcW w:w="2131" w:type="dxa"/>
            <w:tcBorders>
              <w:top w:val="single" w:color="auto" w:sz="4" w:space="0"/>
              <w:left w:val="single" w:color="auto" w:sz="4" w:space="0"/>
              <w:bottom w:val="single" w:color="auto" w:sz="4" w:space="0"/>
              <w:right w:val="single" w:color="auto" w:sz="4" w:space="0"/>
            </w:tcBorders>
            <w:vAlign w:val="top"/>
          </w:tcPr>
          <w:p>
            <w:pPr>
              <w:shd w:val="clear"/>
              <w:tabs>
                <w:tab w:val="left" w:pos="7513"/>
              </w:tabs>
              <w:adjustRightInd w:val="0"/>
              <w:snapToGrid w:val="0"/>
              <w:spacing w:before="100" w:beforeAutospacing="1" w:after="100" w:afterAutospacing="1" w:line="600" w:lineRule="exact"/>
              <w:rPr>
                <w:bCs/>
              </w:rPr>
            </w:pPr>
            <w:r>
              <w:rPr>
                <w:rFonts w:hint="eastAsia"/>
                <w:bCs/>
              </w:rPr>
              <w:t>13</w:t>
            </w:r>
          </w:p>
        </w:tc>
        <w:tc>
          <w:tcPr>
            <w:tcW w:w="2131" w:type="dxa"/>
            <w:tcBorders>
              <w:top w:val="single" w:color="auto" w:sz="4" w:space="0"/>
              <w:left w:val="single" w:color="auto" w:sz="4" w:space="0"/>
              <w:bottom w:val="single" w:color="auto" w:sz="4" w:space="0"/>
              <w:right w:val="single" w:color="auto" w:sz="4" w:space="0"/>
            </w:tcBorders>
            <w:vAlign w:val="top"/>
          </w:tcPr>
          <w:p>
            <w:pPr>
              <w:shd w:val="clear"/>
              <w:tabs>
                <w:tab w:val="left" w:pos="7513"/>
              </w:tabs>
              <w:adjustRightInd w:val="0"/>
              <w:snapToGrid w:val="0"/>
              <w:spacing w:before="100" w:beforeAutospacing="1" w:after="100" w:afterAutospacing="1" w:line="600" w:lineRule="exact"/>
              <w:rPr>
                <w:bCs/>
              </w:rPr>
            </w:pPr>
            <w:r>
              <w:rPr>
                <w:rFonts w:hint="eastAsia"/>
                <w:bC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top"/>
          </w:tcPr>
          <w:p>
            <w:pPr>
              <w:shd w:val="clear"/>
              <w:tabs>
                <w:tab w:val="left" w:pos="7513"/>
              </w:tabs>
              <w:adjustRightInd w:val="0"/>
              <w:snapToGrid w:val="0"/>
              <w:spacing w:before="100" w:beforeAutospacing="1" w:after="100" w:afterAutospacing="1" w:line="600" w:lineRule="exact"/>
              <w:rPr>
                <w:rFonts w:ascii="宋体" w:hAnsi="宋体" w:eastAsia="宋体"/>
                <w:bCs/>
                <w:sz w:val="28"/>
                <w:szCs w:val="28"/>
              </w:rPr>
            </w:pPr>
            <w:r>
              <w:rPr>
                <w:rFonts w:hint="eastAsia" w:ascii="宋体" w:hAnsi="宋体" w:eastAsia="宋体"/>
                <w:bCs/>
                <w:sz w:val="28"/>
                <w:szCs w:val="28"/>
              </w:rPr>
              <w:t>县政协委员服务中心</w:t>
            </w:r>
          </w:p>
        </w:tc>
        <w:tc>
          <w:tcPr>
            <w:tcW w:w="2130" w:type="dxa"/>
            <w:tcBorders>
              <w:top w:val="single" w:color="auto" w:sz="4" w:space="0"/>
              <w:left w:val="single" w:color="auto" w:sz="4" w:space="0"/>
              <w:bottom w:val="single" w:color="auto" w:sz="4" w:space="0"/>
              <w:right w:val="single" w:color="auto" w:sz="4" w:space="0"/>
            </w:tcBorders>
            <w:vAlign w:val="top"/>
          </w:tcPr>
          <w:p>
            <w:pPr>
              <w:shd w:val="clear"/>
              <w:tabs>
                <w:tab w:val="left" w:pos="7513"/>
              </w:tabs>
              <w:adjustRightInd w:val="0"/>
              <w:snapToGrid w:val="0"/>
              <w:spacing w:before="100" w:beforeAutospacing="1" w:after="100" w:afterAutospacing="1" w:line="600" w:lineRule="exact"/>
              <w:rPr>
                <w:b/>
                <w:bCs/>
              </w:rPr>
            </w:pPr>
            <w:r>
              <w:rPr>
                <w:rFonts w:hint="eastAsia" w:ascii="仿宋" w:hAnsi="仿宋" w:eastAsia="仿宋"/>
                <w:sz w:val="32"/>
                <w:szCs w:val="32"/>
              </w:rPr>
              <w:t>财政全额拨款</w:t>
            </w:r>
          </w:p>
        </w:tc>
        <w:tc>
          <w:tcPr>
            <w:tcW w:w="2131" w:type="dxa"/>
            <w:tcBorders>
              <w:top w:val="single" w:color="auto" w:sz="4" w:space="0"/>
              <w:left w:val="single" w:color="auto" w:sz="4" w:space="0"/>
              <w:bottom w:val="single" w:color="auto" w:sz="4" w:space="0"/>
              <w:right w:val="single" w:color="auto" w:sz="4" w:space="0"/>
            </w:tcBorders>
            <w:vAlign w:val="top"/>
          </w:tcPr>
          <w:p>
            <w:pPr>
              <w:shd w:val="clear"/>
              <w:tabs>
                <w:tab w:val="left" w:pos="7513"/>
              </w:tabs>
              <w:adjustRightInd w:val="0"/>
              <w:snapToGrid w:val="0"/>
              <w:spacing w:before="100" w:beforeAutospacing="1" w:after="100" w:afterAutospacing="1" w:line="600" w:lineRule="exact"/>
              <w:rPr>
                <w:bCs/>
              </w:rPr>
            </w:pPr>
            <w:r>
              <w:rPr>
                <w:rFonts w:hint="eastAsia"/>
                <w:bCs/>
              </w:rPr>
              <w:t>5</w:t>
            </w:r>
          </w:p>
        </w:tc>
        <w:tc>
          <w:tcPr>
            <w:tcW w:w="2131" w:type="dxa"/>
            <w:tcBorders>
              <w:top w:val="single" w:color="auto" w:sz="4" w:space="0"/>
              <w:left w:val="single" w:color="auto" w:sz="4" w:space="0"/>
              <w:bottom w:val="single" w:color="auto" w:sz="4" w:space="0"/>
              <w:right w:val="single" w:color="auto" w:sz="4" w:space="0"/>
            </w:tcBorders>
            <w:vAlign w:val="top"/>
          </w:tcPr>
          <w:p>
            <w:pPr>
              <w:shd w:val="clear"/>
              <w:tabs>
                <w:tab w:val="left" w:pos="7513"/>
              </w:tabs>
              <w:adjustRightInd w:val="0"/>
              <w:snapToGrid w:val="0"/>
              <w:spacing w:before="100" w:beforeAutospacing="1" w:after="100" w:afterAutospacing="1" w:line="600" w:lineRule="exact"/>
              <w:rPr>
                <w:bCs/>
              </w:rPr>
            </w:pPr>
            <w:r>
              <w:rPr>
                <w:rFonts w:hint="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top"/>
          </w:tcPr>
          <w:p>
            <w:pPr>
              <w:shd w:val="clear"/>
              <w:tabs>
                <w:tab w:val="left" w:pos="7513"/>
              </w:tabs>
              <w:adjustRightInd w:val="0"/>
              <w:snapToGrid w:val="0"/>
              <w:spacing w:before="100" w:beforeAutospacing="1" w:after="100" w:afterAutospacing="1" w:line="600" w:lineRule="exact"/>
              <w:rPr>
                <w:b/>
                <w:bCs/>
              </w:rPr>
            </w:pPr>
          </w:p>
        </w:tc>
        <w:tc>
          <w:tcPr>
            <w:tcW w:w="2130" w:type="dxa"/>
            <w:tcBorders>
              <w:top w:val="single" w:color="auto" w:sz="4" w:space="0"/>
              <w:left w:val="single" w:color="auto" w:sz="4" w:space="0"/>
              <w:bottom w:val="single" w:color="auto" w:sz="4" w:space="0"/>
              <w:right w:val="single" w:color="auto" w:sz="4" w:space="0"/>
            </w:tcBorders>
            <w:vAlign w:val="top"/>
          </w:tcPr>
          <w:p>
            <w:pPr>
              <w:shd w:val="clear"/>
              <w:tabs>
                <w:tab w:val="left" w:pos="7513"/>
              </w:tabs>
              <w:adjustRightInd w:val="0"/>
              <w:snapToGrid w:val="0"/>
              <w:spacing w:before="100" w:beforeAutospacing="1" w:after="100" w:afterAutospacing="1" w:line="600" w:lineRule="exact"/>
              <w:rPr>
                <w:b/>
                <w:bCs/>
              </w:rPr>
            </w:pPr>
          </w:p>
        </w:tc>
        <w:tc>
          <w:tcPr>
            <w:tcW w:w="2131" w:type="dxa"/>
            <w:tcBorders>
              <w:top w:val="single" w:color="auto" w:sz="4" w:space="0"/>
              <w:left w:val="single" w:color="auto" w:sz="4" w:space="0"/>
              <w:bottom w:val="single" w:color="auto" w:sz="4" w:space="0"/>
              <w:right w:val="single" w:color="auto" w:sz="4" w:space="0"/>
            </w:tcBorders>
            <w:vAlign w:val="top"/>
          </w:tcPr>
          <w:p>
            <w:pPr>
              <w:shd w:val="clear"/>
              <w:tabs>
                <w:tab w:val="left" w:pos="7513"/>
              </w:tabs>
              <w:adjustRightInd w:val="0"/>
              <w:snapToGrid w:val="0"/>
              <w:spacing w:before="100" w:beforeAutospacing="1" w:after="100" w:afterAutospacing="1" w:line="600" w:lineRule="exact"/>
              <w:rPr>
                <w:b/>
                <w:bCs/>
              </w:rPr>
            </w:pPr>
          </w:p>
        </w:tc>
        <w:tc>
          <w:tcPr>
            <w:tcW w:w="2131" w:type="dxa"/>
            <w:tcBorders>
              <w:top w:val="single" w:color="auto" w:sz="4" w:space="0"/>
              <w:left w:val="single" w:color="auto" w:sz="4" w:space="0"/>
              <w:bottom w:val="single" w:color="auto" w:sz="4" w:space="0"/>
              <w:right w:val="single" w:color="auto" w:sz="4" w:space="0"/>
            </w:tcBorders>
            <w:vAlign w:val="top"/>
          </w:tcPr>
          <w:p>
            <w:pPr>
              <w:shd w:val="clear"/>
              <w:tabs>
                <w:tab w:val="left" w:pos="7513"/>
              </w:tabs>
              <w:adjustRightInd w:val="0"/>
              <w:snapToGrid w:val="0"/>
              <w:spacing w:before="100" w:beforeAutospacing="1" w:after="100" w:afterAutospacing="1" w:line="600" w:lineRule="exact"/>
              <w:rPr>
                <w:b/>
                <w:bCs/>
              </w:rPr>
            </w:pPr>
          </w:p>
        </w:tc>
      </w:tr>
    </w:tbl>
    <w:p>
      <w:pPr>
        <w:pStyle w:val="2"/>
        <w:shd w:val="clear"/>
        <w:rPr>
          <w:rFonts w:hint="eastAsia"/>
          <w:b/>
        </w:rPr>
      </w:pPr>
      <w:bookmarkStart w:id="1" w:name="_Toc12851_WPSOffice_Level2"/>
      <w:r>
        <w:rPr>
          <w:rFonts w:hint="eastAsia"/>
          <w:b/>
        </w:rPr>
        <w:t>三、部门主要工作总结</w:t>
      </w:r>
      <w:bookmarkEnd w:id="1"/>
    </w:p>
    <w:p>
      <w:pPr>
        <w:shd w:val="clear"/>
        <w:tabs>
          <w:tab w:val="left" w:pos="7513"/>
        </w:tabs>
        <w:spacing w:line="360" w:lineRule="auto"/>
        <w:ind w:firstLine="640"/>
        <w:rPr>
          <w:rFonts w:hint="eastAsia" w:ascii="仿宋" w:hAnsi="仿宋" w:eastAsia="仿宋" w:cs="仿宋"/>
          <w:kern w:val="1"/>
          <w:sz w:val="32"/>
          <w:szCs w:val="32"/>
        </w:rPr>
      </w:pPr>
      <w:r>
        <w:rPr>
          <w:rFonts w:hint="eastAsia" w:ascii="仿宋" w:hAnsi="仿宋" w:eastAsia="仿宋" w:cs="仿宋"/>
          <w:kern w:val="1"/>
          <w:sz w:val="32"/>
          <w:szCs w:val="32"/>
          <w:lang w:eastAsia="zh-CN"/>
        </w:rPr>
        <w:t>2020</w:t>
      </w:r>
      <w:r>
        <w:rPr>
          <w:rFonts w:hint="eastAsia" w:ascii="仿宋" w:hAnsi="仿宋" w:eastAsia="仿宋" w:cs="仿宋"/>
          <w:kern w:val="1"/>
          <w:sz w:val="32"/>
          <w:szCs w:val="32"/>
        </w:rPr>
        <w:t>年，县政协主要任务是：根据《中国人民政治协商章程》，有关委员的权利和义务的规定，结合我县实际开展、组织委员参加政协会议，学习、调研、考察等活动。围绕上述任务，重点完成了以下工作：</w:t>
      </w:r>
    </w:p>
    <w:p>
      <w:pPr>
        <w:shd w:val="clear"/>
        <w:tabs>
          <w:tab w:val="left" w:pos="7513"/>
        </w:tabs>
        <w:spacing w:line="360" w:lineRule="auto"/>
        <w:ind w:firstLine="640"/>
        <w:rPr>
          <w:rFonts w:hint="eastAsia" w:ascii="仿宋" w:hAnsi="仿宋" w:eastAsia="仿宋" w:cs="仿宋"/>
          <w:kern w:val="1"/>
          <w:sz w:val="32"/>
          <w:szCs w:val="32"/>
        </w:rPr>
      </w:pPr>
      <w:r>
        <w:rPr>
          <w:rFonts w:hint="eastAsia" w:ascii="仿宋" w:hAnsi="仿宋" w:eastAsia="仿宋" w:cs="仿宋"/>
          <w:kern w:val="1"/>
          <w:sz w:val="32"/>
          <w:szCs w:val="32"/>
        </w:rPr>
        <w:t>（一）组织召开</w:t>
      </w:r>
      <w:r>
        <w:rPr>
          <w:rFonts w:hint="eastAsia" w:ascii="仿宋" w:hAnsi="仿宋" w:eastAsia="仿宋" w:cs="仿宋"/>
          <w:kern w:val="1"/>
          <w:sz w:val="32"/>
          <w:szCs w:val="32"/>
          <w:lang w:eastAsia="zh-CN"/>
        </w:rPr>
        <w:t>十</w:t>
      </w:r>
      <w:r>
        <w:rPr>
          <w:rFonts w:hint="eastAsia" w:ascii="仿宋" w:hAnsi="仿宋" w:eastAsia="仿宋" w:cs="仿宋"/>
          <w:kern w:val="1"/>
          <w:sz w:val="32"/>
          <w:szCs w:val="32"/>
        </w:rPr>
        <w:t>届</w:t>
      </w:r>
      <w:r>
        <w:rPr>
          <w:rFonts w:hint="eastAsia" w:ascii="仿宋" w:hAnsi="仿宋" w:eastAsia="仿宋" w:cs="仿宋"/>
          <w:kern w:val="1"/>
          <w:sz w:val="32"/>
          <w:szCs w:val="32"/>
          <w:lang w:eastAsia="zh-CN"/>
        </w:rPr>
        <w:t>三</w:t>
      </w:r>
      <w:r>
        <w:rPr>
          <w:rFonts w:hint="eastAsia" w:ascii="仿宋" w:hAnsi="仿宋" w:eastAsia="仿宋" w:cs="仿宋"/>
          <w:kern w:val="1"/>
          <w:sz w:val="32"/>
          <w:szCs w:val="32"/>
        </w:rPr>
        <w:t>次全体会议。</w:t>
      </w:r>
    </w:p>
    <w:p>
      <w:pPr>
        <w:shd w:val="clear"/>
        <w:tabs>
          <w:tab w:val="left" w:pos="7513"/>
        </w:tabs>
        <w:spacing w:line="360" w:lineRule="auto"/>
        <w:ind w:firstLine="640"/>
        <w:rPr>
          <w:rFonts w:hint="eastAsia" w:ascii="仿宋" w:hAnsi="仿宋" w:eastAsia="仿宋" w:cs="仿宋"/>
          <w:kern w:val="1"/>
          <w:sz w:val="32"/>
          <w:szCs w:val="32"/>
        </w:rPr>
      </w:pPr>
      <w:r>
        <w:rPr>
          <w:rFonts w:hint="eastAsia" w:ascii="仿宋" w:hAnsi="仿宋" w:eastAsia="仿宋" w:cs="仿宋"/>
          <w:kern w:val="1"/>
          <w:sz w:val="32"/>
          <w:szCs w:val="32"/>
        </w:rPr>
        <w:t>（二）组织委员积极参政议政，写好提案。</w:t>
      </w:r>
    </w:p>
    <w:p>
      <w:pPr>
        <w:shd w:val="clear"/>
        <w:tabs>
          <w:tab w:val="left" w:pos="7513"/>
        </w:tabs>
        <w:spacing w:line="360" w:lineRule="auto"/>
        <w:ind w:firstLine="640"/>
        <w:rPr>
          <w:rFonts w:hint="eastAsia" w:ascii="仿宋" w:hAnsi="仿宋" w:eastAsia="仿宋" w:cs="仿宋"/>
          <w:kern w:val="1"/>
          <w:sz w:val="32"/>
          <w:szCs w:val="32"/>
        </w:rPr>
      </w:pPr>
      <w:r>
        <w:rPr>
          <w:rFonts w:hint="eastAsia" w:ascii="仿宋" w:hAnsi="仿宋" w:eastAsia="仿宋" w:cs="仿宋"/>
          <w:kern w:val="1"/>
          <w:sz w:val="32"/>
          <w:szCs w:val="32"/>
        </w:rPr>
        <w:t>（三）组织委员面向社会，深入实际，开展视察调研活动，关注社会热点、难点问题，积极反映社情民意，积极为社会，为群众办好事，办实事。</w:t>
      </w:r>
    </w:p>
    <w:p>
      <w:pPr>
        <w:ind w:firstLine="640" w:firstLineChars="200"/>
        <w:rPr>
          <w:rFonts w:ascii="仿宋" w:hAnsi="仿宋" w:eastAsia="仿宋" w:cs="仿宋_GB2312"/>
          <w:sz w:val="32"/>
          <w:szCs w:val="32"/>
        </w:rPr>
      </w:pPr>
    </w:p>
    <w:p>
      <w:pPr>
        <w:pStyle w:val="3"/>
        <w:jc w:val="center"/>
        <w:rPr>
          <w:rFonts w:ascii="黑体" w:hAnsi="黑体" w:eastAsia="黑体"/>
          <w:sz w:val="36"/>
          <w:szCs w:val="36"/>
          <w:lang w:eastAsia="zh-CN"/>
        </w:rPr>
      </w:pPr>
      <w:r>
        <w:rPr>
          <w:rFonts w:hint="eastAsia" w:ascii="黑体" w:hAnsi="黑体" w:eastAsia="黑体"/>
          <w:sz w:val="36"/>
          <w:szCs w:val="36"/>
          <w:lang w:eastAsia="zh-CN"/>
        </w:rPr>
        <w:t xml:space="preserve">第二部分 </w:t>
      </w:r>
      <w:r>
        <w:rPr>
          <w:rFonts w:hint="eastAsia" w:ascii="黑体" w:hAnsi="黑体" w:eastAsia="黑体"/>
          <w:sz w:val="36"/>
          <w:szCs w:val="36"/>
          <w:lang w:val="en-US" w:eastAsia="zh-CN"/>
        </w:rPr>
        <w:t>2020</w:t>
      </w:r>
      <w:r>
        <w:rPr>
          <w:rFonts w:hint="eastAsia" w:ascii="黑体" w:hAnsi="黑体" w:eastAsia="黑体"/>
          <w:sz w:val="36"/>
          <w:szCs w:val="36"/>
          <w:lang w:eastAsia="zh-CN"/>
        </w:rPr>
        <w:t>年度部门预算表</w:t>
      </w:r>
    </w:p>
    <w:p>
      <w:pPr>
        <w:pStyle w:val="3"/>
        <w:rPr>
          <w:rFonts w:ascii="宋体" w:hAnsi="宋体" w:eastAsia="宋体"/>
          <w:sz w:val="36"/>
          <w:lang w:eastAsia="zh-CN"/>
        </w:rPr>
      </w:pP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一、收支预算总表</w:t>
      </w:r>
    </w:p>
    <w:tbl>
      <w:tblPr>
        <w:tblStyle w:val="7"/>
        <w:tblW w:w="5000" w:type="pct"/>
        <w:tblInd w:w="0" w:type="dxa"/>
        <w:shd w:val="clear" w:color="auto" w:fill="auto"/>
        <w:tblLayout w:type="autofit"/>
        <w:tblCellMar>
          <w:top w:w="0" w:type="dxa"/>
          <w:left w:w="0" w:type="dxa"/>
          <w:bottom w:w="0" w:type="dxa"/>
          <w:right w:w="0" w:type="dxa"/>
        </w:tblCellMar>
      </w:tblPr>
      <w:tblGrid>
        <w:gridCol w:w="2387"/>
        <w:gridCol w:w="1344"/>
        <w:gridCol w:w="2983"/>
        <w:gridCol w:w="1622"/>
      </w:tblGrid>
      <w:tr>
        <w:tblPrEx>
          <w:shd w:val="clear" w:color="auto" w:fill="auto"/>
          <w:tblCellMar>
            <w:top w:w="0" w:type="dxa"/>
            <w:left w:w="0" w:type="dxa"/>
            <w:bottom w:w="0" w:type="dxa"/>
            <w:right w:w="0" w:type="dxa"/>
          </w:tblCellMar>
        </w:tblPrEx>
        <w:trPr>
          <w:trHeight w:val="285" w:hRule="atLeast"/>
        </w:trPr>
        <w:tc>
          <w:tcPr>
            <w:tcW w:w="5000" w:type="pct"/>
            <w:gridSpan w:val="4"/>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附表3-1</w:t>
            </w:r>
          </w:p>
        </w:tc>
      </w:tr>
      <w:tr>
        <w:tblPrEx>
          <w:tblCellMar>
            <w:top w:w="0" w:type="dxa"/>
            <w:left w:w="0" w:type="dxa"/>
            <w:bottom w:w="0" w:type="dxa"/>
            <w:right w:w="0" w:type="dxa"/>
          </w:tblCellMar>
        </w:tblPrEx>
        <w:trPr>
          <w:trHeight w:val="405" w:hRule="atLeast"/>
        </w:trPr>
        <w:tc>
          <w:tcPr>
            <w:tcW w:w="5000"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2020年度收支预算总表</w:t>
            </w:r>
          </w:p>
        </w:tc>
      </w:tr>
      <w:tr>
        <w:tblPrEx>
          <w:tblCellMar>
            <w:top w:w="0" w:type="dxa"/>
            <w:left w:w="0" w:type="dxa"/>
            <w:bottom w:w="0" w:type="dxa"/>
            <w:right w:w="0" w:type="dxa"/>
          </w:tblCellMar>
        </w:tblPrEx>
        <w:trPr>
          <w:trHeight w:val="285" w:hRule="atLeast"/>
        </w:trPr>
        <w:tc>
          <w:tcPr>
            <w:tcW w:w="5000" w:type="pct"/>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402" w:hRule="atLeast"/>
        </w:trPr>
        <w:tc>
          <w:tcPr>
            <w:tcW w:w="1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000000"/>
                <w:sz w:val="22"/>
                <w:szCs w:val="22"/>
                <w:u w:val="none"/>
              </w:rPr>
            </w:pP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收入项目类别</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支出项目类别</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02" w:hRule="atLeast"/>
        </w:trPr>
        <w:tc>
          <w:tcPr>
            <w:tcW w:w="1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8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434.18 </w:t>
            </w: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一、基本支出</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434.18 </w:t>
            </w:r>
          </w:p>
        </w:tc>
      </w:tr>
      <w:tr>
        <w:tblPrEx>
          <w:tblCellMar>
            <w:top w:w="0" w:type="dxa"/>
            <w:left w:w="0" w:type="dxa"/>
            <w:bottom w:w="0" w:type="dxa"/>
            <w:right w:w="0" w:type="dxa"/>
          </w:tblCellMar>
        </w:tblPrEx>
        <w:trPr>
          <w:trHeight w:val="402" w:hRule="atLeast"/>
        </w:trPr>
        <w:tc>
          <w:tcPr>
            <w:tcW w:w="1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二、基金预算财政拨款</w:t>
            </w:r>
          </w:p>
        </w:tc>
        <w:tc>
          <w:tcPr>
            <w:tcW w:w="8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人员支出</w:t>
            </w:r>
          </w:p>
        </w:tc>
        <w:tc>
          <w:tcPr>
            <w:tcW w:w="9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331.53 </w:t>
            </w:r>
          </w:p>
        </w:tc>
      </w:tr>
      <w:tr>
        <w:tblPrEx>
          <w:tblCellMar>
            <w:top w:w="0" w:type="dxa"/>
            <w:left w:w="0" w:type="dxa"/>
            <w:bottom w:w="0" w:type="dxa"/>
            <w:right w:w="0" w:type="dxa"/>
          </w:tblCellMar>
        </w:tblPrEx>
        <w:trPr>
          <w:trHeight w:val="402" w:hRule="atLeast"/>
        </w:trPr>
        <w:tc>
          <w:tcPr>
            <w:tcW w:w="1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三、财政专户拨款</w:t>
            </w:r>
          </w:p>
        </w:tc>
        <w:tc>
          <w:tcPr>
            <w:tcW w:w="8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对个人和家庭补助支出</w:t>
            </w:r>
          </w:p>
        </w:tc>
        <w:tc>
          <w:tcPr>
            <w:tcW w:w="9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5.16 </w:t>
            </w:r>
          </w:p>
        </w:tc>
      </w:tr>
      <w:tr>
        <w:tblPrEx>
          <w:tblCellMar>
            <w:top w:w="0" w:type="dxa"/>
            <w:left w:w="0" w:type="dxa"/>
            <w:bottom w:w="0" w:type="dxa"/>
            <w:right w:w="0" w:type="dxa"/>
          </w:tblCellMar>
        </w:tblPrEx>
        <w:trPr>
          <w:trHeight w:val="402" w:hRule="atLeast"/>
        </w:trPr>
        <w:tc>
          <w:tcPr>
            <w:tcW w:w="1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四、单位其他收入</w:t>
            </w:r>
          </w:p>
        </w:tc>
        <w:tc>
          <w:tcPr>
            <w:tcW w:w="8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公用支出</w:t>
            </w:r>
          </w:p>
        </w:tc>
        <w:tc>
          <w:tcPr>
            <w:tcW w:w="9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97.49 </w:t>
            </w:r>
          </w:p>
        </w:tc>
      </w:tr>
      <w:tr>
        <w:tblPrEx>
          <w:tblCellMar>
            <w:top w:w="0" w:type="dxa"/>
            <w:left w:w="0" w:type="dxa"/>
            <w:bottom w:w="0" w:type="dxa"/>
            <w:right w:w="0" w:type="dxa"/>
          </w:tblCellMar>
        </w:tblPrEx>
        <w:trPr>
          <w:trHeight w:val="402" w:hRule="atLeast"/>
        </w:trPr>
        <w:tc>
          <w:tcPr>
            <w:tcW w:w="1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五、单位结余结转资金</w:t>
            </w:r>
          </w:p>
        </w:tc>
        <w:tc>
          <w:tcPr>
            <w:tcW w:w="8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二、项目支出</w:t>
            </w:r>
          </w:p>
        </w:tc>
        <w:tc>
          <w:tcPr>
            <w:tcW w:w="9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4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收入合计</w:t>
            </w:r>
          </w:p>
        </w:tc>
        <w:tc>
          <w:tcPr>
            <w:tcW w:w="8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434.18</w:t>
            </w:r>
          </w:p>
        </w:tc>
        <w:tc>
          <w:tcPr>
            <w:tcW w:w="1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支出合计</w:t>
            </w:r>
          </w:p>
        </w:tc>
        <w:tc>
          <w:tcPr>
            <w:tcW w:w="9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434.18 </w:t>
            </w:r>
          </w:p>
        </w:tc>
      </w:tr>
    </w:tbl>
    <w:p>
      <w:pPr>
        <w:tabs>
          <w:tab w:val="left" w:pos="7513"/>
        </w:tabs>
        <w:adjustRightInd w:val="0"/>
        <w:snapToGrid w:val="0"/>
        <w:spacing w:line="600" w:lineRule="exact"/>
        <w:rPr>
          <w:rFonts w:ascii="仿宋" w:hAnsi="仿宋" w:eastAsia="仿宋"/>
          <w:sz w:val="32"/>
          <w:szCs w:val="32"/>
        </w:rPr>
      </w:pPr>
    </w:p>
    <w:p>
      <w:pPr>
        <w:numPr>
          <w:ilvl w:val="0"/>
          <w:numId w:val="2"/>
        </w:numPr>
        <w:tabs>
          <w:tab w:val="left" w:pos="7513"/>
        </w:tabs>
        <w:adjustRightInd w:val="0"/>
        <w:snapToGrid w:val="0"/>
        <w:spacing w:line="600" w:lineRule="exact"/>
        <w:rPr>
          <w:rFonts w:hint="eastAsia" w:ascii="仿宋" w:hAnsi="仿宋" w:eastAsia="仿宋"/>
          <w:sz w:val="32"/>
          <w:szCs w:val="32"/>
        </w:rPr>
      </w:pPr>
      <w:r>
        <w:rPr>
          <w:rFonts w:hint="eastAsia" w:ascii="仿宋" w:hAnsi="仿宋" w:eastAsia="仿宋"/>
          <w:sz w:val="32"/>
          <w:szCs w:val="32"/>
        </w:rPr>
        <w:t>收入预算总表</w:t>
      </w:r>
    </w:p>
    <w:tbl>
      <w:tblPr>
        <w:tblStyle w:val="7"/>
        <w:tblW w:w="4997" w:type="pct"/>
        <w:tblInd w:w="0" w:type="dxa"/>
        <w:shd w:val="clear" w:color="auto" w:fill="auto"/>
        <w:tblLayout w:type="autofit"/>
        <w:tblCellMar>
          <w:top w:w="0" w:type="dxa"/>
          <w:left w:w="0" w:type="dxa"/>
          <w:bottom w:w="0" w:type="dxa"/>
          <w:right w:w="0" w:type="dxa"/>
        </w:tblCellMar>
      </w:tblPr>
      <w:tblGrid>
        <w:gridCol w:w="989"/>
        <w:gridCol w:w="1774"/>
        <w:gridCol w:w="965"/>
        <w:gridCol w:w="915"/>
        <w:gridCol w:w="915"/>
        <w:gridCol w:w="915"/>
        <w:gridCol w:w="915"/>
        <w:gridCol w:w="943"/>
      </w:tblGrid>
      <w:tr>
        <w:tblPrEx>
          <w:shd w:val="clear" w:color="auto" w:fill="auto"/>
          <w:tblCellMar>
            <w:top w:w="0" w:type="dxa"/>
            <w:left w:w="0" w:type="dxa"/>
            <w:bottom w:w="0" w:type="dxa"/>
            <w:right w:w="0" w:type="dxa"/>
          </w:tblCellMar>
        </w:tblPrEx>
        <w:trPr>
          <w:trHeight w:val="285" w:hRule="atLeast"/>
        </w:trPr>
        <w:tc>
          <w:tcPr>
            <w:tcW w:w="5000" w:type="pct"/>
            <w:gridSpan w:val="8"/>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4"/>
                <w:szCs w:val="24"/>
                <w:u w:val="none"/>
                <w:lang w:val="en-US" w:eastAsia="zh-CN" w:bidi="ar"/>
              </w:rPr>
              <w:t>附表3-2</w:t>
            </w:r>
          </w:p>
        </w:tc>
      </w:tr>
      <w:tr>
        <w:tblPrEx>
          <w:tblCellMar>
            <w:top w:w="0" w:type="dxa"/>
            <w:left w:w="0" w:type="dxa"/>
            <w:bottom w:w="0" w:type="dxa"/>
            <w:right w:w="0" w:type="dxa"/>
          </w:tblCellMar>
        </w:tblPrEx>
        <w:trPr>
          <w:trHeight w:val="582"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2020年度收入预算总表</w:t>
            </w:r>
          </w:p>
        </w:tc>
      </w:tr>
      <w:tr>
        <w:tblPrEx>
          <w:tblCellMar>
            <w:top w:w="0" w:type="dxa"/>
            <w:left w:w="0" w:type="dxa"/>
            <w:bottom w:w="0" w:type="dxa"/>
            <w:right w:w="0" w:type="dxa"/>
          </w:tblCellMar>
        </w:tblPrEx>
        <w:trPr>
          <w:trHeight w:val="510" w:hRule="atLeast"/>
        </w:trPr>
        <w:tc>
          <w:tcPr>
            <w:tcW w:w="5000" w:type="pct"/>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285" w:hRule="atLeast"/>
        </w:trPr>
        <w:tc>
          <w:tcPr>
            <w:tcW w:w="5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单位编码</w:t>
            </w:r>
          </w:p>
        </w:tc>
        <w:tc>
          <w:tcPr>
            <w:tcW w:w="106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334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资金来源</w:t>
            </w:r>
          </w:p>
        </w:tc>
      </w:tr>
      <w:tr>
        <w:tblPrEx>
          <w:tblCellMar>
            <w:top w:w="0" w:type="dxa"/>
            <w:left w:w="0" w:type="dxa"/>
            <w:bottom w:w="0" w:type="dxa"/>
            <w:right w:w="0" w:type="dxa"/>
          </w:tblCellMar>
        </w:tblPrEx>
        <w:trPr>
          <w:trHeight w:val="1200" w:hRule="atLeast"/>
        </w:trPr>
        <w:tc>
          <w:tcPr>
            <w:tcW w:w="5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一般公共预算拨款</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基金预算拨款</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财政专户拨款</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单位结余结转资金</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单位其它收入</w:t>
            </w:r>
          </w:p>
        </w:tc>
      </w:tr>
      <w:tr>
        <w:tblPrEx>
          <w:tblCellMar>
            <w:top w:w="0" w:type="dxa"/>
            <w:left w:w="0" w:type="dxa"/>
            <w:bottom w:w="0" w:type="dxa"/>
            <w:right w:w="0" w:type="dxa"/>
          </w:tblCellMar>
        </w:tblPrEx>
        <w:trPr>
          <w:trHeight w:val="402" w:hRule="atLeast"/>
        </w:trPr>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402" w:hRule="atLeast"/>
        </w:trPr>
        <w:tc>
          <w:tcPr>
            <w:tcW w:w="594"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434.18</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434.18</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594"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10401</w:t>
            </w:r>
          </w:p>
        </w:tc>
        <w:tc>
          <w:tcPr>
            <w:tcW w:w="106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政协办本级(行政)</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383.55</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383.55</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594"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10402</w:t>
            </w:r>
          </w:p>
        </w:tc>
        <w:tc>
          <w:tcPr>
            <w:tcW w:w="106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政协办本级(事业)</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50.63</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50.63</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2" w:hRule="atLeast"/>
        </w:trPr>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2" w:hRule="atLeast"/>
        </w:trPr>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2" w:hRule="atLeast"/>
        </w:trPr>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三、支出预算总表</w:t>
      </w:r>
    </w:p>
    <w:tbl>
      <w:tblPr>
        <w:tblStyle w:val="7"/>
        <w:tblW w:w="5574" w:type="pct"/>
        <w:tblInd w:w="0" w:type="dxa"/>
        <w:shd w:val="clear" w:color="auto" w:fill="auto"/>
        <w:tblLayout w:type="fixed"/>
        <w:tblCellMar>
          <w:top w:w="0" w:type="dxa"/>
          <w:left w:w="0" w:type="dxa"/>
          <w:bottom w:w="0" w:type="dxa"/>
          <w:right w:w="0" w:type="dxa"/>
        </w:tblCellMar>
      </w:tblPr>
      <w:tblGrid>
        <w:gridCol w:w="553"/>
        <w:gridCol w:w="540"/>
        <w:gridCol w:w="874"/>
        <w:gridCol w:w="999"/>
        <w:gridCol w:w="684"/>
        <w:gridCol w:w="680"/>
        <w:gridCol w:w="539"/>
        <w:gridCol w:w="616"/>
        <w:gridCol w:w="561"/>
        <w:gridCol w:w="647"/>
        <w:gridCol w:w="594"/>
        <w:gridCol w:w="480"/>
        <w:gridCol w:w="480"/>
        <w:gridCol w:w="89"/>
        <w:gridCol w:w="440"/>
        <w:gridCol w:w="518"/>
      </w:tblGrid>
      <w:tr>
        <w:tblPrEx>
          <w:shd w:val="clear" w:color="auto" w:fill="auto"/>
          <w:tblCellMar>
            <w:top w:w="0" w:type="dxa"/>
            <w:left w:w="0" w:type="dxa"/>
            <w:bottom w:w="0" w:type="dxa"/>
            <w:right w:w="0" w:type="dxa"/>
          </w:tblCellMar>
        </w:tblPrEx>
        <w:trPr>
          <w:gridAfter w:val="2"/>
          <w:wAfter w:w="515" w:type="pct"/>
          <w:trHeight w:val="510" w:hRule="atLeast"/>
        </w:trPr>
        <w:tc>
          <w:tcPr>
            <w:tcW w:w="4484" w:type="pct"/>
            <w:gridSpan w:val="14"/>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附表3-3</w:t>
            </w:r>
          </w:p>
        </w:tc>
      </w:tr>
      <w:tr>
        <w:tblPrEx>
          <w:tblCellMar>
            <w:top w:w="0" w:type="dxa"/>
            <w:left w:w="0" w:type="dxa"/>
            <w:bottom w:w="0" w:type="dxa"/>
            <w:right w:w="0" w:type="dxa"/>
          </w:tblCellMar>
        </w:tblPrEx>
        <w:trPr>
          <w:gridAfter w:val="2"/>
          <w:wAfter w:w="515" w:type="pct"/>
          <w:trHeight w:val="405" w:hRule="atLeast"/>
        </w:trPr>
        <w:tc>
          <w:tcPr>
            <w:tcW w:w="4484" w:type="pct"/>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2020年度支出预算总表</w:t>
            </w:r>
          </w:p>
        </w:tc>
      </w:tr>
      <w:tr>
        <w:tblPrEx>
          <w:tblCellMar>
            <w:top w:w="0" w:type="dxa"/>
            <w:left w:w="0" w:type="dxa"/>
            <w:bottom w:w="0" w:type="dxa"/>
            <w:right w:w="0" w:type="dxa"/>
          </w:tblCellMar>
        </w:tblPrEx>
        <w:trPr>
          <w:gridAfter w:val="2"/>
          <w:wAfter w:w="515" w:type="pct"/>
          <w:trHeight w:val="285" w:hRule="atLeast"/>
        </w:trPr>
        <w:tc>
          <w:tcPr>
            <w:tcW w:w="4484" w:type="pct"/>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270" w:hRule="atLeast"/>
        </w:trPr>
        <w:tc>
          <w:tcPr>
            <w:tcW w:w="2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单位编码</w:t>
            </w:r>
          </w:p>
        </w:tc>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53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6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人员支出</w:t>
            </w:r>
          </w:p>
        </w:tc>
        <w:tc>
          <w:tcPr>
            <w:tcW w:w="28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对个人和家庭的补助支出</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公用支出</w:t>
            </w:r>
          </w:p>
        </w:tc>
        <w:tc>
          <w:tcPr>
            <w:tcW w:w="30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c>
          <w:tcPr>
            <w:tcW w:w="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资金来源</w:t>
            </w:r>
          </w:p>
        </w:tc>
        <w:tc>
          <w:tcPr>
            <w:tcW w:w="3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2"/>
                <w:szCs w:val="22"/>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2"/>
                <w:szCs w:val="22"/>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2"/>
                <w:szCs w:val="22"/>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2"/>
                <w:szCs w:val="22"/>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863"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一般公共预算拨款</w:t>
            </w:r>
          </w:p>
        </w:tc>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基金预算拨款</w:t>
            </w:r>
          </w:p>
        </w:tc>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财政专户拨款</w:t>
            </w:r>
          </w:p>
        </w:tc>
        <w:tc>
          <w:tcPr>
            <w:tcW w:w="28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单位结余结转资金</w:t>
            </w: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单位其它收入</w:t>
            </w:r>
          </w:p>
        </w:tc>
      </w:tr>
      <w:tr>
        <w:tblPrEx>
          <w:tblCellMar>
            <w:top w:w="0" w:type="dxa"/>
            <w:left w:w="0" w:type="dxa"/>
            <w:bottom w:w="0" w:type="dxa"/>
            <w:right w:w="0" w:type="dxa"/>
          </w:tblCellMar>
        </w:tblPrEx>
        <w:trPr>
          <w:trHeight w:val="270" w:hRule="atLeast"/>
        </w:trPr>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8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r>
      <w:tr>
        <w:tblPrEx>
          <w:tblCellMar>
            <w:top w:w="0" w:type="dxa"/>
            <w:left w:w="0" w:type="dxa"/>
            <w:bottom w:w="0" w:type="dxa"/>
            <w:right w:w="0" w:type="dxa"/>
          </w:tblCellMar>
        </w:tblPrEx>
        <w:trPr>
          <w:trHeight w:val="402"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70"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7"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434.18</w:t>
            </w:r>
          </w:p>
        </w:tc>
        <w:tc>
          <w:tcPr>
            <w:tcW w:w="36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434.18 </w:t>
            </w:r>
          </w:p>
        </w:tc>
        <w:tc>
          <w:tcPr>
            <w:tcW w:w="3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10401</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政协办</w:t>
            </w:r>
          </w:p>
        </w:tc>
        <w:tc>
          <w:tcPr>
            <w:tcW w:w="470"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20102</w:t>
            </w:r>
          </w:p>
        </w:tc>
        <w:tc>
          <w:tcPr>
            <w:tcW w:w="537"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政协事务</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434.18</w:t>
            </w:r>
          </w:p>
        </w:tc>
        <w:tc>
          <w:tcPr>
            <w:tcW w:w="36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321.45</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15.24</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97.49</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434.18</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434.18</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2"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0"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2010201</w:t>
            </w:r>
          </w:p>
        </w:tc>
        <w:tc>
          <w:tcPr>
            <w:tcW w:w="537"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行政运行（政协事务）</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339</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275.68</w:t>
            </w:r>
          </w:p>
        </w:tc>
        <w:tc>
          <w:tcPr>
            <w:tcW w:w="289"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13.68</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49.64</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339</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339</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2"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0"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2010205</w:t>
            </w:r>
          </w:p>
        </w:tc>
        <w:tc>
          <w:tcPr>
            <w:tcW w:w="537"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委员视察</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89"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16.90</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2"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0"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2010250</w:t>
            </w:r>
          </w:p>
        </w:tc>
        <w:tc>
          <w:tcPr>
            <w:tcW w:w="537"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事业运行（政协事务）</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50.63</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45.77</w:t>
            </w:r>
          </w:p>
        </w:tc>
        <w:tc>
          <w:tcPr>
            <w:tcW w:w="289"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50.63</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50.63</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2"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0"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2010299</w:t>
            </w:r>
          </w:p>
        </w:tc>
        <w:tc>
          <w:tcPr>
            <w:tcW w:w="537"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其他政协事务支出</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27.65</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89"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27.65</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27.65</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2"/>
          <w:wAfter w:w="515" w:type="pct"/>
          <w:trHeight w:val="1298" w:hRule="atLeast"/>
        </w:trPr>
        <w:tc>
          <w:tcPr>
            <w:tcW w:w="4484" w:type="pct"/>
            <w:gridSpan w:val="14"/>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备注：1.本表公开到功能分类科目的项级科目。2.各部门在依法公开部门预决算时，对涉密信息不予公开。部分内容涉密的，在确保安全的前提下，按照以下原则处理：（一）同一功能分类款级科目下，大部分项级科目涉密的，仅公开到该款级科目；（二）同一功能分类类级科目下，大部分款级科目涉密的，仅公开到该类级科目；（三）个别功能分类款级科目或项级科目涉密的，除不公开该涉密科目外，同一级次的“其他支出”科目也不公开。</w:t>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四、财政拨款收支预算总表</w:t>
      </w:r>
    </w:p>
    <w:tbl>
      <w:tblPr>
        <w:tblStyle w:val="7"/>
        <w:tblW w:w="4998" w:type="pct"/>
        <w:tblInd w:w="0" w:type="dxa"/>
        <w:shd w:val="clear" w:color="auto" w:fill="auto"/>
        <w:tblLayout w:type="autofit"/>
        <w:tblCellMar>
          <w:top w:w="0" w:type="dxa"/>
          <w:left w:w="0" w:type="dxa"/>
          <w:bottom w:w="0" w:type="dxa"/>
          <w:right w:w="0" w:type="dxa"/>
        </w:tblCellMar>
      </w:tblPr>
      <w:tblGrid>
        <w:gridCol w:w="2230"/>
        <w:gridCol w:w="1541"/>
        <w:gridCol w:w="2670"/>
        <w:gridCol w:w="1892"/>
      </w:tblGrid>
      <w:tr>
        <w:tblPrEx>
          <w:shd w:val="clear" w:color="auto" w:fill="auto"/>
          <w:tblCellMar>
            <w:top w:w="0" w:type="dxa"/>
            <w:left w:w="0" w:type="dxa"/>
            <w:bottom w:w="0" w:type="dxa"/>
            <w:right w:w="0" w:type="dxa"/>
          </w:tblCellMar>
        </w:tblPrEx>
        <w:trPr>
          <w:trHeight w:val="285" w:hRule="atLeast"/>
        </w:trPr>
        <w:tc>
          <w:tcPr>
            <w:tcW w:w="5000" w:type="pct"/>
            <w:gridSpan w:val="4"/>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附表3-4</w:t>
            </w:r>
          </w:p>
        </w:tc>
      </w:tr>
      <w:tr>
        <w:tblPrEx>
          <w:tblCellMar>
            <w:top w:w="0" w:type="dxa"/>
            <w:left w:w="0" w:type="dxa"/>
            <w:bottom w:w="0" w:type="dxa"/>
            <w:right w:w="0" w:type="dxa"/>
          </w:tblCellMar>
        </w:tblPrEx>
        <w:trPr>
          <w:trHeight w:val="405" w:hRule="atLeast"/>
        </w:trPr>
        <w:tc>
          <w:tcPr>
            <w:tcW w:w="5000"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2020年度财政拨款收支预算总表</w:t>
            </w:r>
          </w:p>
        </w:tc>
      </w:tr>
      <w:tr>
        <w:tblPrEx>
          <w:tblCellMar>
            <w:top w:w="0" w:type="dxa"/>
            <w:left w:w="0" w:type="dxa"/>
            <w:bottom w:w="0" w:type="dxa"/>
            <w:right w:w="0" w:type="dxa"/>
          </w:tblCellMar>
        </w:tblPrEx>
        <w:trPr>
          <w:trHeight w:val="285" w:hRule="atLeast"/>
        </w:trPr>
        <w:tc>
          <w:tcPr>
            <w:tcW w:w="5000" w:type="pct"/>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2" w:hRule="atLeast"/>
        </w:trPr>
        <w:tc>
          <w:tcPr>
            <w:tcW w:w="1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000000"/>
                <w:sz w:val="22"/>
                <w:szCs w:val="22"/>
                <w:u w:val="none"/>
              </w:rPr>
            </w:pPr>
          </w:p>
        </w:tc>
        <w:tc>
          <w:tcPr>
            <w:tcW w:w="1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收入项目类别</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1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支出项目类别</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02" w:hRule="atLeast"/>
        </w:trPr>
        <w:tc>
          <w:tcPr>
            <w:tcW w:w="1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434.18 </w:t>
            </w:r>
          </w:p>
        </w:tc>
        <w:tc>
          <w:tcPr>
            <w:tcW w:w="1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一、基本支出</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434.18 </w:t>
            </w:r>
          </w:p>
        </w:tc>
      </w:tr>
      <w:tr>
        <w:tblPrEx>
          <w:tblCellMar>
            <w:top w:w="0" w:type="dxa"/>
            <w:left w:w="0" w:type="dxa"/>
            <w:bottom w:w="0" w:type="dxa"/>
            <w:right w:w="0" w:type="dxa"/>
          </w:tblCellMar>
        </w:tblPrEx>
        <w:trPr>
          <w:trHeight w:val="402" w:hRule="atLeast"/>
        </w:trPr>
        <w:tc>
          <w:tcPr>
            <w:tcW w:w="1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二、基金预算财政拨款</w:t>
            </w: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人员支出</w:t>
            </w:r>
          </w:p>
        </w:tc>
        <w:tc>
          <w:tcPr>
            <w:tcW w:w="11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331.53 </w:t>
            </w:r>
          </w:p>
        </w:tc>
      </w:tr>
      <w:tr>
        <w:tblPrEx>
          <w:tblCellMar>
            <w:top w:w="0" w:type="dxa"/>
            <w:left w:w="0" w:type="dxa"/>
            <w:bottom w:w="0" w:type="dxa"/>
            <w:right w:w="0" w:type="dxa"/>
          </w:tblCellMar>
        </w:tblPrEx>
        <w:trPr>
          <w:trHeight w:val="402" w:hRule="atLeast"/>
        </w:trPr>
        <w:tc>
          <w:tcPr>
            <w:tcW w:w="1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对个人和家庭补助支出</w:t>
            </w:r>
          </w:p>
        </w:tc>
        <w:tc>
          <w:tcPr>
            <w:tcW w:w="11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5.16 </w:t>
            </w:r>
          </w:p>
        </w:tc>
      </w:tr>
      <w:tr>
        <w:tblPrEx>
          <w:tblCellMar>
            <w:top w:w="0" w:type="dxa"/>
            <w:left w:w="0" w:type="dxa"/>
            <w:bottom w:w="0" w:type="dxa"/>
            <w:right w:w="0" w:type="dxa"/>
          </w:tblCellMar>
        </w:tblPrEx>
        <w:trPr>
          <w:trHeight w:val="402" w:hRule="atLeast"/>
        </w:trPr>
        <w:tc>
          <w:tcPr>
            <w:tcW w:w="1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公用支出</w:t>
            </w:r>
          </w:p>
        </w:tc>
        <w:tc>
          <w:tcPr>
            <w:tcW w:w="11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97.49 </w:t>
            </w:r>
          </w:p>
        </w:tc>
      </w:tr>
      <w:tr>
        <w:tblPrEx>
          <w:tblCellMar>
            <w:top w:w="0" w:type="dxa"/>
            <w:left w:w="0" w:type="dxa"/>
            <w:bottom w:w="0" w:type="dxa"/>
            <w:right w:w="0" w:type="dxa"/>
          </w:tblCellMar>
        </w:tblPrEx>
        <w:trPr>
          <w:trHeight w:val="402" w:hRule="atLeast"/>
        </w:trPr>
        <w:tc>
          <w:tcPr>
            <w:tcW w:w="1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二、项目支出</w:t>
            </w:r>
          </w:p>
        </w:tc>
        <w:tc>
          <w:tcPr>
            <w:tcW w:w="11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收入合计</w:t>
            </w: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434.18</w:t>
            </w:r>
          </w:p>
        </w:tc>
        <w:tc>
          <w:tcPr>
            <w:tcW w:w="1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支出合计</w:t>
            </w:r>
          </w:p>
        </w:tc>
        <w:tc>
          <w:tcPr>
            <w:tcW w:w="11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434.18 </w:t>
            </w:r>
          </w:p>
        </w:tc>
      </w:tr>
    </w:tbl>
    <w:p>
      <w:pPr>
        <w:numPr>
          <w:ilvl w:val="0"/>
          <w:numId w:val="3"/>
        </w:numPr>
        <w:tabs>
          <w:tab w:val="left" w:pos="7513"/>
        </w:tabs>
        <w:adjustRightInd w:val="0"/>
        <w:snapToGrid w:val="0"/>
        <w:spacing w:line="600" w:lineRule="exact"/>
        <w:rPr>
          <w:rFonts w:hint="eastAsia" w:ascii="仿宋" w:hAnsi="仿宋" w:eastAsia="仿宋"/>
          <w:sz w:val="32"/>
          <w:szCs w:val="32"/>
        </w:rPr>
      </w:pPr>
      <w:r>
        <w:rPr>
          <w:rFonts w:hint="eastAsia" w:ascii="仿宋" w:hAnsi="仿宋" w:eastAsia="仿宋"/>
          <w:sz w:val="32"/>
          <w:szCs w:val="32"/>
        </w:rPr>
        <w:t>一般公共预算拨款支出预算表</w:t>
      </w:r>
    </w:p>
    <w:p>
      <w:pPr>
        <w:numPr>
          <w:ilvl w:val="0"/>
          <w:numId w:val="0"/>
        </w:numPr>
        <w:tabs>
          <w:tab w:val="left" w:pos="7513"/>
        </w:tabs>
        <w:adjustRightInd w:val="0"/>
        <w:snapToGrid w:val="0"/>
        <w:spacing w:line="600" w:lineRule="exact"/>
        <w:rPr>
          <w:rFonts w:hint="eastAsia" w:ascii="仿宋" w:hAnsi="仿宋" w:eastAsia="仿宋"/>
          <w:sz w:val="32"/>
          <w:szCs w:val="32"/>
        </w:rPr>
      </w:pPr>
    </w:p>
    <w:tbl>
      <w:tblPr>
        <w:tblStyle w:val="7"/>
        <w:tblW w:w="4998" w:type="pct"/>
        <w:tblInd w:w="0" w:type="dxa"/>
        <w:shd w:val="clear" w:color="auto" w:fill="auto"/>
        <w:tblLayout w:type="autofit"/>
        <w:tblCellMar>
          <w:top w:w="0" w:type="dxa"/>
          <w:left w:w="0" w:type="dxa"/>
          <w:bottom w:w="0" w:type="dxa"/>
          <w:right w:w="0" w:type="dxa"/>
        </w:tblCellMar>
      </w:tblPr>
      <w:tblGrid>
        <w:gridCol w:w="1904"/>
        <w:gridCol w:w="2190"/>
        <w:gridCol w:w="1237"/>
        <w:gridCol w:w="1407"/>
        <w:gridCol w:w="1595"/>
      </w:tblGrid>
      <w:tr>
        <w:tblPrEx>
          <w:shd w:val="clear" w:color="auto" w:fill="auto"/>
          <w:tblCellMar>
            <w:top w:w="0" w:type="dxa"/>
            <w:left w:w="0" w:type="dxa"/>
            <w:bottom w:w="0" w:type="dxa"/>
            <w:right w:w="0" w:type="dxa"/>
          </w:tblCellMar>
        </w:tblPrEx>
        <w:trPr>
          <w:trHeight w:val="285" w:hRule="atLeast"/>
        </w:trPr>
        <w:tc>
          <w:tcPr>
            <w:tcW w:w="1185"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附表3-5</w:t>
            </w:r>
          </w:p>
        </w:tc>
        <w:tc>
          <w:tcPr>
            <w:tcW w:w="1146"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84"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86"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996"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05"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2020年度一般公共预算拨款支出预算表</w:t>
            </w:r>
          </w:p>
        </w:tc>
      </w:tr>
      <w:tr>
        <w:tblPrEx>
          <w:tblCellMar>
            <w:top w:w="0" w:type="dxa"/>
            <w:left w:w="0" w:type="dxa"/>
            <w:bottom w:w="0" w:type="dxa"/>
            <w:right w:w="0" w:type="dxa"/>
          </w:tblCellMar>
        </w:tblPrEx>
        <w:trPr>
          <w:trHeight w:val="285" w:hRule="atLeast"/>
        </w:trPr>
        <w:tc>
          <w:tcPr>
            <w:tcW w:w="1185"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46"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4"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86"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9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402" w:hRule="atLeast"/>
        </w:trPr>
        <w:tc>
          <w:tcPr>
            <w:tcW w:w="118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11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7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88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其中：</w:t>
            </w:r>
          </w:p>
        </w:tc>
      </w:tr>
      <w:tr>
        <w:tblPrEx>
          <w:tblCellMar>
            <w:top w:w="0" w:type="dxa"/>
            <w:left w:w="0" w:type="dxa"/>
            <w:bottom w:w="0" w:type="dxa"/>
            <w:right w:w="0" w:type="dxa"/>
          </w:tblCellMar>
        </w:tblPrEx>
        <w:trPr>
          <w:trHeight w:val="402" w:hRule="atLeast"/>
        </w:trPr>
        <w:tc>
          <w:tcPr>
            <w:tcW w:w="118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402" w:hRule="atLeast"/>
        </w:trPr>
        <w:tc>
          <w:tcPr>
            <w:tcW w:w="11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402" w:hRule="atLeast"/>
        </w:trPr>
        <w:tc>
          <w:tcPr>
            <w:tcW w:w="1185"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434.18</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434.18</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185"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434.18</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434.18</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185"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20102</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政协事务</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434.18</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434.18</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185"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2010201</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行政运行（政协事务）</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339.00</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339.00</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185"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2010205</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委员视察</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16.90</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16.90</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185"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2010250</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事业运行（政协事务）</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50.63</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50.63</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185"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2010299</w:t>
            </w: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其他政协事务支出</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27.65</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27.65</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1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1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0" w:hRule="atLeast"/>
        </w:trPr>
        <w:tc>
          <w:tcPr>
            <w:tcW w:w="5000" w:type="pct"/>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华文楷体" w:hAnsi="华文楷体" w:eastAsia="华文楷体" w:cs="华文楷体"/>
                <w:i w:val="0"/>
                <w:color w:val="000000"/>
                <w:sz w:val="22"/>
                <w:szCs w:val="22"/>
                <w:u w:val="none"/>
              </w:rPr>
            </w:pPr>
            <w:r>
              <w:rPr>
                <w:rFonts w:hint="eastAsia" w:ascii="华文楷体" w:hAnsi="华文楷体" w:eastAsia="华文楷体" w:cs="华文楷体"/>
                <w:i w:val="0"/>
                <w:color w:val="000000"/>
                <w:kern w:val="0"/>
                <w:sz w:val="22"/>
                <w:szCs w:val="22"/>
                <w:u w:val="none"/>
                <w:lang w:val="en-US" w:eastAsia="zh-CN" w:bidi="ar"/>
              </w:rPr>
              <w:t>备注：本表公开到政府支出功能分类项级科目。</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六、政府性基金拨款支出预算表</w:t>
      </w:r>
    </w:p>
    <w:tbl>
      <w:tblPr>
        <w:tblStyle w:val="7"/>
        <w:tblW w:w="4998" w:type="pct"/>
        <w:tblInd w:w="0" w:type="dxa"/>
        <w:shd w:val="clear" w:color="auto" w:fill="auto"/>
        <w:tblLayout w:type="autofit"/>
        <w:tblCellMar>
          <w:top w:w="0" w:type="dxa"/>
          <w:left w:w="0" w:type="dxa"/>
          <w:bottom w:w="0" w:type="dxa"/>
          <w:right w:w="0" w:type="dxa"/>
        </w:tblCellMar>
      </w:tblPr>
      <w:tblGrid>
        <w:gridCol w:w="1533"/>
        <w:gridCol w:w="2312"/>
        <w:gridCol w:w="1492"/>
        <w:gridCol w:w="1503"/>
        <w:gridCol w:w="1493"/>
      </w:tblGrid>
      <w:tr>
        <w:tblPrEx>
          <w:shd w:val="clear" w:color="auto" w:fill="auto"/>
          <w:tblCellMar>
            <w:top w:w="0" w:type="dxa"/>
            <w:left w:w="0" w:type="dxa"/>
            <w:bottom w:w="0" w:type="dxa"/>
            <w:right w:w="0" w:type="dxa"/>
          </w:tblCellMar>
        </w:tblPrEx>
        <w:trPr>
          <w:trHeight w:val="528" w:hRule="atLeast"/>
        </w:trPr>
        <w:tc>
          <w:tcPr>
            <w:tcW w:w="5000" w:type="pct"/>
            <w:gridSpan w:val="5"/>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4"/>
                <w:szCs w:val="24"/>
                <w:u w:val="none"/>
                <w:lang w:val="en-US" w:eastAsia="zh-CN" w:bidi="ar"/>
              </w:rPr>
              <w:t>附表3-6</w:t>
            </w:r>
          </w:p>
        </w:tc>
      </w:tr>
      <w:tr>
        <w:tblPrEx>
          <w:tblCellMar>
            <w:top w:w="0" w:type="dxa"/>
            <w:left w:w="0" w:type="dxa"/>
            <w:bottom w:w="0" w:type="dxa"/>
            <w:right w:w="0" w:type="dxa"/>
          </w:tblCellMar>
        </w:tblPrEx>
        <w:trPr>
          <w:trHeight w:val="529"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2020年度政府性基金拨款支出预算表</w:t>
            </w:r>
          </w:p>
        </w:tc>
      </w:tr>
      <w:tr>
        <w:tblPrEx>
          <w:tblCellMar>
            <w:top w:w="0" w:type="dxa"/>
            <w:left w:w="0" w:type="dxa"/>
            <w:bottom w:w="0" w:type="dxa"/>
            <w:right w:w="0" w:type="dxa"/>
          </w:tblCellMar>
        </w:tblPrEx>
        <w:trPr>
          <w:trHeight w:val="285"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402" w:hRule="atLeast"/>
        </w:trPr>
        <w:tc>
          <w:tcPr>
            <w:tcW w:w="92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138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89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7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其中：</w:t>
            </w:r>
          </w:p>
        </w:tc>
      </w:tr>
      <w:tr>
        <w:tblPrEx>
          <w:tblCellMar>
            <w:top w:w="0" w:type="dxa"/>
            <w:left w:w="0" w:type="dxa"/>
            <w:bottom w:w="0" w:type="dxa"/>
            <w:right w:w="0" w:type="dxa"/>
          </w:tblCellMar>
        </w:tblPrEx>
        <w:trPr>
          <w:trHeight w:val="402" w:hRule="atLeast"/>
        </w:trPr>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402" w:hRule="atLeast"/>
        </w:trPr>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402" w:hRule="atLeast"/>
        </w:trPr>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词表无数据</w:t>
            </w: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2" w:hRule="atLeast"/>
        </w:trPr>
        <w:tc>
          <w:tcPr>
            <w:tcW w:w="4104" w:type="pct"/>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备注：1.本表公开到政府支出功能分类项级科目。</w:t>
            </w:r>
          </w:p>
        </w:tc>
        <w:tc>
          <w:tcPr>
            <w:tcW w:w="895"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2" w:hRule="atLeast"/>
        </w:trPr>
        <w:tc>
          <w:tcPr>
            <w:tcW w:w="4104" w:type="pct"/>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 xml:space="preserve">      2.没有数据的单位应当列出空表并说明。</w:t>
            </w:r>
          </w:p>
        </w:tc>
        <w:tc>
          <w:tcPr>
            <w:tcW w:w="895"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七、一般公共预算支出经济分类情况表</w:t>
      </w:r>
    </w:p>
    <w:tbl>
      <w:tblPr>
        <w:tblStyle w:val="7"/>
        <w:tblW w:w="4999" w:type="pct"/>
        <w:tblInd w:w="0" w:type="dxa"/>
        <w:shd w:val="clear" w:color="auto" w:fill="auto"/>
        <w:tblLayout w:type="autofit"/>
        <w:tblCellMar>
          <w:top w:w="0" w:type="dxa"/>
          <w:left w:w="0" w:type="dxa"/>
          <w:bottom w:w="0" w:type="dxa"/>
          <w:right w:w="0" w:type="dxa"/>
        </w:tblCellMar>
      </w:tblPr>
      <w:tblGrid>
        <w:gridCol w:w="1698"/>
        <w:gridCol w:w="3595"/>
        <w:gridCol w:w="3041"/>
      </w:tblGrid>
      <w:tr>
        <w:tblPrEx>
          <w:shd w:val="clear" w:color="auto" w:fill="auto"/>
          <w:tblCellMar>
            <w:top w:w="0" w:type="dxa"/>
            <w:left w:w="0" w:type="dxa"/>
            <w:bottom w:w="0" w:type="dxa"/>
            <w:right w:w="0" w:type="dxa"/>
          </w:tblCellMar>
        </w:tblPrEx>
        <w:trPr>
          <w:trHeight w:val="469" w:hRule="atLeast"/>
        </w:trPr>
        <w:tc>
          <w:tcPr>
            <w:tcW w:w="1019" w:type="pc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附表3-7</w:t>
            </w:r>
          </w:p>
        </w:tc>
        <w:tc>
          <w:tcPr>
            <w:tcW w:w="2157"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823"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43" w:hRule="atLeast"/>
        </w:trPr>
        <w:tc>
          <w:tcPr>
            <w:tcW w:w="5000" w:type="pct"/>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2020年度一般公共预算支出经济分类情况表</w:t>
            </w:r>
          </w:p>
        </w:tc>
      </w:tr>
      <w:tr>
        <w:tblPrEx>
          <w:tblCellMar>
            <w:top w:w="0" w:type="dxa"/>
            <w:left w:w="0" w:type="dxa"/>
            <w:bottom w:w="0" w:type="dxa"/>
            <w:right w:w="0" w:type="dxa"/>
          </w:tblCellMar>
        </w:tblPrEx>
        <w:trPr>
          <w:trHeight w:val="360" w:hRule="atLeast"/>
        </w:trPr>
        <w:tc>
          <w:tcPr>
            <w:tcW w:w="1019" w:type="pct"/>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57" w:type="pct"/>
            <w:tcBorders>
              <w:top w:val="nil"/>
              <w:left w:val="nil"/>
              <w:bottom w:val="nil"/>
              <w:right w:val="nil"/>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20"/>
                <w:szCs w:val="20"/>
                <w:u w:val="none"/>
              </w:rPr>
            </w:pPr>
          </w:p>
        </w:tc>
        <w:tc>
          <w:tcPr>
            <w:tcW w:w="1823" w:type="pc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30" w:hRule="atLeast"/>
        </w:trPr>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21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823"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02" w:hRule="atLeast"/>
        </w:trPr>
        <w:tc>
          <w:tcPr>
            <w:tcW w:w="317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434.18</w:t>
            </w:r>
          </w:p>
        </w:tc>
      </w:tr>
      <w:tr>
        <w:tblPrEx>
          <w:tblCellMar>
            <w:top w:w="0" w:type="dxa"/>
            <w:left w:w="0" w:type="dxa"/>
            <w:bottom w:w="0" w:type="dxa"/>
            <w:right w:w="0" w:type="dxa"/>
          </w:tblCellMar>
        </w:tblPrEx>
        <w:trPr>
          <w:trHeight w:val="402" w:hRule="atLeast"/>
        </w:trPr>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331.53</w:t>
            </w:r>
          </w:p>
        </w:tc>
      </w:tr>
      <w:tr>
        <w:tblPrEx>
          <w:tblCellMar>
            <w:top w:w="0" w:type="dxa"/>
            <w:left w:w="0" w:type="dxa"/>
            <w:bottom w:w="0" w:type="dxa"/>
            <w:right w:w="0" w:type="dxa"/>
          </w:tblCellMar>
        </w:tblPrEx>
        <w:trPr>
          <w:trHeight w:val="402" w:hRule="atLeast"/>
        </w:trPr>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97.49</w:t>
            </w:r>
          </w:p>
        </w:tc>
      </w:tr>
      <w:tr>
        <w:tblPrEx>
          <w:tblCellMar>
            <w:top w:w="0" w:type="dxa"/>
            <w:left w:w="0" w:type="dxa"/>
            <w:bottom w:w="0" w:type="dxa"/>
            <w:right w:w="0" w:type="dxa"/>
          </w:tblCellMar>
        </w:tblPrEx>
        <w:trPr>
          <w:trHeight w:val="402" w:hRule="atLeast"/>
        </w:trPr>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w:t>
            </w:r>
          </w:p>
        </w:tc>
      </w:tr>
      <w:tr>
        <w:tblPrEx>
          <w:tblCellMar>
            <w:top w:w="0" w:type="dxa"/>
            <w:left w:w="0" w:type="dxa"/>
            <w:bottom w:w="0" w:type="dxa"/>
            <w:right w:w="0" w:type="dxa"/>
          </w:tblCellMar>
        </w:tblPrEx>
        <w:trPr>
          <w:trHeight w:val="402" w:hRule="atLeast"/>
        </w:trPr>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2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资本性支出（基本建设）</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2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对企业补助（基本建设）</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2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2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对社会保障基金补助</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2" w:hRule="atLeast"/>
        </w:trPr>
        <w:tc>
          <w:tcPr>
            <w:tcW w:w="10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1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八、一般公共预算基本支出经济分类情况表</w:t>
      </w:r>
    </w:p>
    <w:tbl>
      <w:tblPr>
        <w:tblStyle w:val="7"/>
        <w:tblW w:w="4998" w:type="pct"/>
        <w:tblInd w:w="0" w:type="dxa"/>
        <w:shd w:val="clear" w:color="auto" w:fill="auto"/>
        <w:tblLayout w:type="autofit"/>
        <w:tblCellMar>
          <w:top w:w="0" w:type="dxa"/>
          <w:left w:w="0" w:type="dxa"/>
          <w:bottom w:w="0" w:type="dxa"/>
          <w:right w:w="0" w:type="dxa"/>
        </w:tblCellMar>
      </w:tblPr>
      <w:tblGrid>
        <w:gridCol w:w="1680"/>
        <w:gridCol w:w="3990"/>
        <w:gridCol w:w="2663"/>
      </w:tblGrid>
      <w:tr>
        <w:tblPrEx>
          <w:shd w:val="clear" w:color="auto" w:fill="auto"/>
          <w:tblCellMar>
            <w:top w:w="0" w:type="dxa"/>
            <w:left w:w="0" w:type="dxa"/>
            <w:bottom w:w="0" w:type="dxa"/>
            <w:right w:w="0" w:type="dxa"/>
          </w:tblCellMar>
        </w:tblPrEx>
        <w:trPr>
          <w:trHeight w:val="518" w:hRule="atLeast"/>
        </w:trPr>
        <w:tc>
          <w:tcPr>
            <w:tcW w:w="5000" w:type="pct"/>
            <w:gridSpan w:val="3"/>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附表3-8</w:t>
            </w:r>
          </w:p>
        </w:tc>
      </w:tr>
      <w:tr>
        <w:tblPrEx>
          <w:tblCellMar>
            <w:top w:w="0" w:type="dxa"/>
            <w:left w:w="0" w:type="dxa"/>
            <w:bottom w:w="0" w:type="dxa"/>
            <w:right w:w="0" w:type="dxa"/>
          </w:tblCellMar>
        </w:tblPrEx>
        <w:trPr>
          <w:trHeight w:val="675"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2020年度一般公共预算基本支出经济分类情况表</w:t>
            </w:r>
          </w:p>
        </w:tc>
      </w:tr>
      <w:tr>
        <w:tblPrEx>
          <w:tblCellMar>
            <w:top w:w="0" w:type="dxa"/>
            <w:left w:w="0" w:type="dxa"/>
            <w:bottom w:w="0" w:type="dxa"/>
            <w:right w:w="0" w:type="dxa"/>
          </w:tblCellMar>
        </w:tblPrEx>
        <w:trPr>
          <w:trHeight w:val="420"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 编码</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02" w:hRule="atLeast"/>
        </w:trPr>
        <w:tc>
          <w:tcPr>
            <w:tcW w:w="340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434.18</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159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331.53</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109.19</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87.79</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14.64</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32.27</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16.13</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17.75</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11.93</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97.49</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3.69</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77.30</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5.16</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个人农业生产补贴</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w:t>
            </w: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债务利息及费用支出</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国内债务发行费用</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30704</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国外债务发行费用</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资本性支出（基本建设）</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30905</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30906</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30907</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30908</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30999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其他基本建设支出</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3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拆迁补偿</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对企业补助（基本建设）</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资本金注入</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31199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其他对企业补助</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31201</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资本金注入</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政府投资基金股权投资</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31204</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费用补贴</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31205</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利息补贴</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31299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其他对企业补助</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对社会保障基金补助</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31302</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对社会保险基金补助</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31303</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补充全国社会保障基金</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其他支出</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国家赔偿费用支出</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九、一般公共预算“三公”经费支出预算表</w:t>
      </w:r>
    </w:p>
    <w:tbl>
      <w:tblPr>
        <w:tblStyle w:val="7"/>
        <w:tblW w:w="4999" w:type="pct"/>
        <w:tblInd w:w="0" w:type="dxa"/>
        <w:shd w:val="clear" w:color="auto" w:fill="auto"/>
        <w:tblLayout w:type="autofit"/>
        <w:tblCellMar>
          <w:top w:w="0" w:type="dxa"/>
          <w:left w:w="0" w:type="dxa"/>
          <w:bottom w:w="0" w:type="dxa"/>
          <w:right w:w="0" w:type="dxa"/>
        </w:tblCellMar>
      </w:tblPr>
      <w:tblGrid>
        <w:gridCol w:w="5254"/>
        <w:gridCol w:w="3080"/>
      </w:tblGrid>
      <w:tr>
        <w:tblPrEx>
          <w:shd w:val="clear" w:color="auto" w:fill="auto"/>
          <w:tblCellMar>
            <w:top w:w="0" w:type="dxa"/>
            <w:left w:w="0" w:type="dxa"/>
            <w:bottom w:w="0" w:type="dxa"/>
            <w:right w:w="0" w:type="dxa"/>
          </w:tblCellMar>
        </w:tblPrEx>
        <w:trPr>
          <w:trHeight w:val="285" w:hRule="atLeast"/>
        </w:trPr>
        <w:tc>
          <w:tcPr>
            <w:tcW w:w="3152"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附表3-9</w:t>
            </w:r>
          </w:p>
        </w:tc>
        <w:tc>
          <w:tcPr>
            <w:tcW w:w="1847"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i w:val="0"/>
                <w:color w:val="000000"/>
                <w:sz w:val="20"/>
                <w:szCs w:val="20"/>
                <w:u w:val="none"/>
              </w:rPr>
            </w:pPr>
          </w:p>
        </w:tc>
      </w:tr>
      <w:tr>
        <w:tblPrEx>
          <w:tblCellMar>
            <w:top w:w="0" w:type="dxa"/>
            <w:left w:w="0" w:type="dxa"/>
            <w:bottom w:w="0" w:type="dxa"/>
            <w:right w:w="0" w:type="dxa"/>
          </w:tblCellMar>
        </w:tblPrEx>
        <w:trPr>
          <w:trHeight w:val="570"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2020年度一般公共预算“三公”经费支出预算表</w:t>
            </w:r>
          </w:p>
        </w:tc>
      </w:tr>
      <w:tr>
        <w:tblPrEx>
          <w:tblCellMar>
            <w:top w:w="0" w:type="dxa"/>
            <w:left w:w="0" w:type="dxa"/>
            <w:bottom w:w="0" w:type="dxa"/>
            <w:right w:w="0" w:type="dxa"/>
          </w:tblCellMar>
        </w:tblPrEx>
        <w:trPr>
          <w:trHeight w:val="360" w:hRule="atLeast"/>
        </w:trPr>
        <w:tc>
          <w:tcPr>
            <w:tcW w:w="3152" w:type="pct"/>
            <w:tcBorders>
              <w:top w:val="nil"/>
              <w:left w:val="nil"/>
              <w:bottom w:val="nil"/>
              <w:right w:val="nil"/>
            </w:tcBorders>
            <w:shd w:val="clear" w:color="auto" w:fill="auto"/>
            <w:noWrap/>
            <w:tcMar>
              <w:top w:w="15" w:type="dxa"/>
              <w:left w:w="15" w:type="dxa"/>
              <w:right w:w="15" w:type="dxa"/>
            </w:tcMar>
            <w:vAlign w:val="center"/>
          </w:tcPr>
          <w:p>
            <w:pPr>
              <w:rPr>
                <w:rFonts w:hint="eastAsia" w:ascii="楷体_GB2312" w:hAnsi="宋体" w:eastAsia="楷体_GB2312" w:cs="楷体_GB2312"/>
                <w:i w:val="0"/>
                <w:color w:val="000000"/>
                <w:sz w:val="24"/>
                <w:szCs w:val="24"/>
                <w:u w:val="none"/>
              </w:rPr>
            </w:pPr>
          </w:p>
        </w:tc>
        <w:tc>
          <w:tcPr>
            <w:tcW w:w="184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402" w:hRule="atLeast"/>
        </w:trPr>
        <w:tc>
          <w:tcPr>
            <w:tcW w:w="3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02" w:hRule="atLeast"/>
        </w:trPr>
        <w:tc>
          <w:tcPr>
            <w:tcW w:w="3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r>
      <w:tr>
        <w:tblPrEx>
          <w:tblCellMar>
            <w:top w:w="0" w:type="dxa"/>
            <w:left w:w="0" w:type="dxa"/>
            <w:bottom w:w="0" w:type="dxa"/>
            <w:right w:w="0" w:type="dxa"/>
          </w:tblCellMar>
        </w:tblPrEx>
        <w:trPr>
          <w:trHeight w:val="402" w:hRule="atLeast"/>
        </w:trPr>
        <w:tc>
          <w:tcPr>
            <w:tcW w:w="3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1、因公出国（境）费用</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402" w:hRule="atLeast"/>
        </w:trPr>
        <w:tc>
          <w:tcPr>
            <w:tcW w:w="3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2、公务接待费</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02" w:hRule="atLeast"/>
        </w:trPr>
        <w:tc>
          <w:tcPr>
            <w:tcW w:w="3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3、公务用车购置及运行费</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r>
      <w:tr>
        <w:tblPrEx>
          <w:tblCellMar>
            <w:top w:w="0" w:type="dxa"/>
            <w:left w:w="0" w:type="dxa"/>
            <w:bottom w:w="0" w:type="dxa"/>
            <w:right w:w="0" w:type="dxa"/>
          </w:tblCellMar>
        </w:tblPrEx>
        <w:trPr>
          <w:trHeight w:val="402" w:hRule="atLeast"/>
        </w:trPr>
        <w:tc>
          <w:tcPr>
            <w:tcW w:w="3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其中：（1）公务用车运行费</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r>
      <w:tr>
        <w:tblPrEx>
          <w:tblCellMar>
            <w:top w:w="0" w:type="dxa"/>
            <w:left w:w="0" w:type="dxa"/>
            <w:bottom w:w="0" w:type="dxa"/>
            <w:right w:w="0" w:type="dxa"/>
          </w:tblCellMar>
        </w:tblPrEx>
        <w:trPr>
          <w:trHeight w:val="402" w:hRule="atLeast"/>
        </w:trPr>
        <w:tc>
          <w:tcPr>
            <w:tcW w:w="3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（2）公务用车购置费</w:t>
            </w:r>
          </w:p>
        </w:tc>
        <w:tc>
          <w:tcPr>
            <w:tcW w:w="1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930" w:hRule="atLeast"/>
        </w:trPr>
        <w:tc>
          <w:tcPr>
            <w:tcW w:w="5000" w:type="pct"/>
            <w:gridSpan w:val="2"/>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华文楷体" w:hAnsi="华文楷体" w:eastAsia="华文楷体" w:cs="华文楷体"/>
                <w:i w:val="0"/>
                <w:color w:val="000000"/>
                <w:sz w:val="22"/>
                <w:szCs w:val="22"/>
                <w:u w:val="none"/>
              </w:rPr>
            </w:pPr>
            <w:r>
              <w:rPr>
                <w:rFonts w:hint="eastAsia" w:ascii="华文楷体" w:hAnsi="华文楷体" w:eastAsia="华文楷体" w:cs="华文楷体"/>
                <w:i w:val="0"/>
                <w:color w:val="000000"/>
                <w:kern w:val="0"/>
                <w:sz w:val="22"/>
                <w:szCs w:val="22"/>
                <w:u w:val="none"/>
                <w:lang w:val="en-US" w:eastAsia="zh-CN" w:bidi="ar"/>
              </w:rPr>
              <w:t>备注：本表不能留空，没有金额必须标零或写无，并备注说明“本单位无一般公共预算安排的三公经费支出”。</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十、部门专项资金管理清单目录</w:t>
      </w:r>
    </w:p>
    <w:tbl>
      <w:tblPr>
        <w:tblStyle w:val="7"/>
        <w:tblW w:w="4995" w:type="pct"/>
        <w:tblInd w:w="0" w:type="dxa"/>
        <w:shd w:val="clear" w:color="auto" w:fill="auto"/>
        <w:tblLayout w:type="autofit"/>
        <w:tblCellMar>
          <w:top w:w="0" w:type="dxa"/>
          <w:left w:w="0" w:type="dxa"/>
          <w:bottom w:w="0" w:type="dxa"/>
          <w:right w:w="0" w:type="dxa"/>
        </w:tblCellMar>
      </w:tblPr>
      <w:tblGrid>
        <w:gridCol w:w="1230"/>
        <w:gridCol w:w="1200"/>
        <w:gridCol w:w="579"/>
        <w:gridCol w:w="635"/>
        <w:gridCol w:w="666"/>
        <w:gridCol w:w="743"/>
        <w:gridCol w:w="580"/>
        <w:gridCol w:w="465"/>
        <w:gridCol w:w="550"/>
        <w:gridCol w:w="550"/>
        <w:gridCol w:w="1130"/>
      </w:tblGrid>
      <w:tr>
        <w:tblPrEx>
          <w:shd w:val="clear" w:color="auto" w:fill="auto"/>
          <w:tblCellMar>
            <w:top w:w="0" w:type="dxa"/>
            <w:left w:w="0" w:type="dxa"/>
            <w:bottom w:w="0" w:type="dxa"/>
            <w:right w:w="0" w:type="dxa"/>
          </w:tblCellMar>
        </w:tblPrEx>
        <w:trPr>
          <w:trHeight w:val="420" w:hRule="atLeast"/>
        </w:trPr>
        <w:tc>
          <w:tcPr>
            <w:tcW w:w="55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附表3-10</w:t>
            </w:r>
          </w:p>
        </w:tc>
        <w:tc>
          <w:tcPr>
            <w:tcW w:w="763"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9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42"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88"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9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1"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72"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72"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9"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25" w:hRule="atLeast"/>
        </w:trPr>
        <w:tc>
          <w:tcPr>
            <w:tcW w:w="5000" w:type="pct"/>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2020年度部门专项资金管理清单目录</w:t>
            </w:r>
          </w:p>
        </w:tc>
      </w:tr>
      <w:tr>
        <w:tblPrEx>
          <w:shd w:val="clear" w:color="auto" w:fill="auto"/>
          <w:tblCellMar>
            <w:top w:w="0" w:type="dxa"/>
            <w:left w:w="0" w:type="dxa"/>
            <w:bottom w:w="0" w:type="dxa"/>
            <w:right w:w="0" w:type="dxa"/>
          </w:tblCellMar>
        </w:tblPrEx>
        <w:trPr>
          <w:trHeight w:val="465" w:hRule="atLeast"/>
        </w:trPr>
        <w:tc>
          <w:tcPr>
            <w:tcW w:w="554"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63"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23"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42"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21"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79"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shd w:val="clear" w:color="auto" w:fill="auto"/>
          <w:tblCellMar>
            <w:top w:w="0" w:type="dxa"/>
            <w:left w:w="0" w:type="dxa"/>
            <w:bottom w:w="0" w:type="dxa"/>
            <w:right w:w="0" w:type="dxa"/>
          </w:tblCellMar>
        </w:tblPrEx>
        <w:trPr>
          <w:trHeight w:val="402" w:hRule="atLeast"/>
        </w:trPr>
        <w:tc>
          <w:tcPr>
            <w:tcW w:w="5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主管部门名称</w:t>
            </w:r>
          </w:p>
        </w:tc>
        <w:tc>
          <w:tcPr>
            <w:tcW w:w="7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专项资金立项项目名称</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立项依据</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执行年限</w:t>
            </w:r>
          </w:p>
        </w:tc>
        <w:tc>
          <w:tcPr>
            <w:tcW w:w="4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实施规划</w:t>
            </w:r>
          </w:p>
        </w:tc>
        <w:tc>
          <w:tcPr>
            <w:tcW w:w="4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总体绩效目标</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支出级次</w:t>
            </w:r>
          </w:p>
        </w:tc>
        <w:tc>
          <w:tcPr>
            <w:tcW w:w="106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资金拼盘</w:t>
            </w:r>
          </w:p>
        </w:tc>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资金分配办法及支出标准</w:t>
            </w:r>
          </w:p>
        </w:tc>
      </w:tr>
      <w:tr>
        <w:tblPrEx>
          <w:shd w:val="clear" w:color="auto" w:fill="auto"/>
          <w:tblCellMar>
            <w:top w:w="0" w:type="dxa"/>
            <w:left w:w="0" w:type="dxa"/>
            <w:bottom w:w="0" w:type="dxa"/>
            <w:right w:w="0" w:type="dxa"/>
          </w:tblCellMar>
        </w:tblPrEx>
        <w:trPr>
          <w:trHeight w:val="735" w:hRule="atLeast"/>
        </w:trPr>
        <w:tc>
          <w:tcPr>
            <w:tcW w:w="5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一般公共财政预算</w:t>
            </w: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w:t>
            </w: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402"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此表无数据</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02"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02"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02"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02"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02"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02"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02"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83" w:hRule="atLeast"/>
        </w:trPr>
        <w:tc>
          <w:tcPr>
            <w:tcW w:w="5000" w:type="pct"/>
            <w:gridSpan w:val="11"/>
            <w:tcBorders>
              <w:top w:val="single" w:color="000000" w:sz="4" w:space="0"/>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ascii="华文楷体" w:hAnsi="华文楷体" w:eastAsia="华文楷体" w:cs="华文楷体"/>
                <w:i w:val="0"/>
                <w:color w:val="000000"/>
                <w:sz w:val="22"/>
                <w:szCs w:val="22"/>
                <w:u w:val="none"/>
              </w:rPr>
            </w:pPr>
            <w:r>
              <w:rPr>
                <w:rFonts w:hint="eastAsia" w:ascii="华文楷体" w:hAnsi="华文楷体" w:eastAsia="华文楷体" w:cs="华文楷体"/>
                <w:i w:val="0"/>
                <w:color w:val="000000"/>
                <w:kern w:val="0"/>
                <w:sz w:val="22"/>
                <w:szCs w:val="22"/>
                <w:u w:val="none"/>
                <w:lang w:val="en-US" w:eastAsia="zh-CN" w:bidi="ar"/>
              </w:rPr>
              <w:t>编报说明：</w:t>
            </w:r>
            <w:r>
              <w:rPr>
                <w:rFonts w:hint="eastAsia" w:ascii="华文楷体" w:hAnsi="华文楷体" w:eastAsia="华文楷体" w:cs="华文楷体"/>
                <w:i w:val="0"/>
                <w:color w:val="000000"/>
                <w:kern w:val="0"/>
                <w:sz w:val="22"/>
                <w:szCs w:val="22"/>
                <w:u w:val="none"/>
                <w:lang w:val="en-US" w:eastAsia="zh-CN" w:bidi="ar"/>
              </w:rPr>
              <w:br w:type="textWrapping"/>
            </w:r>
            <w:r>
              <w:rPr>
                <w:rFonts w:hint="eastAsia" w:ascii="华文楷体" w:hAnsi="华文楷体" w:eastAsia="华文楷体" w:cs="华文楷体"/>
                <w:i w:val="0"/>
                <w:color w:val="000000"/>
                <w:kern w:val="0"/>
                <w:sz w:val="22"/>
                <w:szCs w:val="22"/>
                <w:u w:val="none"/>
                <w:lang w:val="en-US" w:eastAsia="zh-CN" w:bidi="ar"/>
              </w:rPr>
              <w:t>1.立项依据：指专项资金设立所依据的法律、法规、规章或者政府的规范性文件。按照“《标题》+（文号）：主要依据内容”的格式填报。有多个设立依据的，应按设立依据的级次，从高到低填列。</w:t>
            </w:r>
            <w:r>
              <w:rPr>
                <w:rFonts w:hint="eastAsia" w:ascii="华文楷体" w:hAnsi="华文楷体" w:eastAsia="华文楷体" w:cs="华文楷体"/>
                <w:i w:val="0"/>
                <w:color w:val="000000"/>
                <w:kern w:val="0"/>
                <w:sz w:val="22"/>
                <w:szCs w:val="22"/>
                <w:u w:val="none"/>
                <w:lang w:val="en-US" w:eastAsia="zh-CN" w:bidi="ar"/>
              </w:rPr>
              <w:br w:type="textWrapping"/>
            </w:r>
            <w:r>
              <w:rPr>
                <w:rFonts w:hint="eastAsia" w:ascii="华文楷体" w:hAnsi="华文楷体" w:eastAsia="华文楷体" w:cs="华文楷体"/>
                <w:i w:val="0"/>
                <w:color w:val="000000"/>
                <w:kern w:val="0"/>
                <w:sz w:val="22"/>
                <w:szCs w:val="22"/>
                <w:u w:val="none"/>
                <w:lang w:val="en-US" w:eastAsia="zh-CN" w:bidi="ar"/>
              </w:rPr>
              <w:t>2.执行年限：专项资金未确定执行期限的，统一设定期限为3年。</w:t>
            </w:r>
            <w:r>
              <w:rPr>
                <w:rFonts w:hint="eastAsia" w:ascii="华文楷体" w:hAnsi="华文楷体" w:eastAsia="华文楷体" w:cs="华文楷体"/>
                <w:i w:val="0"/>
                <w:color w:val="000000"/>
                <w:kern w:val="0"/>
                <w:sz w:val="22"/>
                <w:szCs w:val="22"/>
                <w:u w:val="none"/>
                <w:lang w:val="en-US" w:eastAsia="zh-CN" w:bidi="ar"/>
              </w:rPr>
              <w:br w:type="textWrapping"/>
            </w:r>
            <w:r>
              <w:rPr>
                <w:rFonts w:hint="eastAsia" w:ascii="华文楷体" w:hAnsi="华文楷体" w:eastAsia="华文楷体" w:cs="华文楷体"/>
                <w:i w:val="0"/>
                <w:color w:val="000000"/>
                <w:kern w:val="0"/>
                <w:sz w:val="22"/>
                <w:szCs w:val="22"/>
                <w:u w:val="none"/>
                <w:lang w:val="en-US" w:eastAsia="zh-CN" w:bidi="ar"/>
              </w:rPr>
              <w:t>3.总体绩效目标：描述专项资金在实施过程中（包括实施期、当年度）计划达到的产出和效果，主要采用定性描述。</w:t>
            </w:r>
            <w:r>
              <w:rPr>
                <w:rFonts w:hint="eastAsia" w:ascii="华文楷体" w:hAnsi="华文楷体" w:eastAsia="华文楷体" w:cs="华文楷体"/>
                <w:i w:val="0"/>
                <w:color w:val="000000"/>
                <w:kern w:val="0"/>
                <w:sz w:val="22"/>
                <w:szCs w:val="22"/>
                <w:u w:val="none"/>
                <w:lang w:val="en-US" w:eastAsia="zh-CN" w:bidi="ar"/>
              </w:rPr>
              <w:br w:type="textWrapping"/>
            </w:r>
            <w:r>
              <w:rPr>
                <w:rFonts w:hint="eastAsia" w:ascii="华文楷体" w:hAnsi="华文楷体" w:eastAsia="华文楷体" w:cs="华文楷体"/>
                <w:i w:val="0"/>
                <w:color w:val="000000"/>
                <w:kern w:val="0"/>
                <w:sz w:val="22"/>
                <w:szCs w:val="22"/>
                <w:u w:val="none"/>
                <w:lang w:val="en-US" w:eastAsia="zh-CN" w:bidi="ar"/>
              </w:rPr>
              <w:t>4.实施规划：描述专项资金的主要内容和分阶段实施计划等内容。</w:t>
            </w:r>
            <w:r>
              <w:rPr>
                <w:rFonts w:hint="eastAsia" w:ascii="华文楷体" w:hAnsi="华文楷体" w:eastAsia="华文楷体" w:cs="华文楷体"/>
                <w:i w:val="0"/>
                <w:color w:val="000000"/>
                <w:kern w:val="0"/>
                <w:sz w:val="22"/>
                <w:szCs w:val="22"/>
                <w:u w:val="none"/>
                <w:lang w:val="en-US" w:eastAsia="zh-CN" w:bidi="ar"/>
              </w:rPr>
              <w:br w:type="textWrapping"/>
            </w:r>
            <w:r>
              <w:rPr>
                <w:rFonts w:hint="eastAsia" w:ascii="华文楷体" w:hAnsi="华文楷体" w:eastAsia="华文楷体" w:cs="华文楷体"/>
                <w:i w:val="0"/>
                <w:color w:val="000000"/>
                <w:kern w:val="0"/>
                <w:sz w:val="22"/>
                <w:szCs w:val="22"/>
                <w:u w:val="none"/>
                <w:lang w:val="en-US" w:eastAsia="zh-CN" w:bidi="ar"/>
              </w:rPr>
              <w:t>5.支出级次：分为“部门发展性项目支出”和“对下转移支付支出”。同一专项资金项目包含多种分类的，需区别标识，例：部门发展性项目支出xxx万元、对下转移支付支出xxx万元。</w:t>
            </w:r>
            <w:r>
              <w:rPr>
                <w:rFonts w:hint="eastAsia" w:ascii="华文楷体" w:hAnsi="华文楷体" w:eastAsia="华文楷体" w:cs="华文楷体"/>
                <w:i w:val="0"/>
                <w:color w:val="000000"/>
                <w:kern w:val="0"/>
                <w:sz w:val="22"/>
                <w:szCs w:val="22"/>
                <w:u w:val="none"/>
                <w:lang w:val="en-US" w:eastAsia="zh-CN" w:bidi="ar"/>
              </w:rPr>
              <w:br w:type="textWrapping"/>
            </w:r>
            <w:r>
              <w:rPr>
                <w:rFonts w:hint="eastAsia" w:ascii="华文楷体" w:hAnsi="华文楷体" w:eastAsia="华文楷体" w:cs="华文楷体"/>
                <w:i w:val="0"/>
                <w:color w:val="000000"/>
                <w:kern w:val="0"/>
                <w:sz w:val="22"/>
                <w:szCs w:val="22"/>
                <w:u w:val="none"/>
                <w:lang w:val="en-US" w:eastAsia="zh-CN" w:bidi="ar"/>
              </w:rPr>
              <w:t>6.资金分配办法及支出标准：按照专项资金使用管理办法的相关规定填报，其中：资金分配办法分为“因素法”、“项目法”、“因素法、项目法相结合”。实行因素法分配的专项资金要描述资金分配因素的量化指标、权重系数和分配公式；实行项目管理法的专项资金要描述具体申报条件、筛选原则和审批程序。</w:t>
            </w:r>
          </w:p>
        </w:tc>
      </w:tr>
    </w:tbl>
    <w:p>
      <w:pPr>
        <w:tabs>
          <w:tab w:val="left" w:pos="7513"/>
        </w:tabs>
        <w:adjustRightInd w:val="0"/>
        <w:snapToGrid w:val="0"/>
        <w:spacing w:line="600" w:lineRule="exact"/>
        <w:rPr>
          <w:rFonts w:ascii="仿宋" w:hAnsi="仿宋" w:eastAsia="仿宋"/>
          <w:b/>
          <w:sz w:val="32"/>
          <w:szCs w:val="32"/>
        </w:rPr>
      </w:pPr>
    </w:p>
    <w:p>
      <w:pPr>
        <w:tabs>
          <w:tab w:val="left" w:pos="7513"/>
        </w:tabs>
        <w:adjustRightInd w:val="0"/>
        <w:snapToGrid w:val="0"/>
        <w:spacing w:line="600" w:lineRule="exact"/>
        <w:rPr>
          <w:rFonts w:ascii="仿宋" w:hAnsi="仿宋" w:eastAsia="仿宋"/>
          <w:b/>
          <w:sz w:val="32"/>
          <w:szCs w:val="32"/>
        </w:rPr>
      </w:pPr>
    </w:p>
    <w:p>
      <w:pPr>
        <w:pStyle w:val="3"/>
        <w:jc w:val="center"/>
        <w:rPr>
          <w:rFonts w:ascii="黑体" w:hAnsi="黑体" w:eastAsia="黑体"/>
          <w:sz w:val="36"/>
          <w:szCs w:val="36"/>
          <w:lang w:eastAsia="zh-CN"/>
        </w:rPr>
      </w:pPr>
      <w:r>
        <w:rPr>
          <w:rFonts w:hint="eastAsia" w:ascii="黑体" w:hAnsi="黑体" w:eastAsia="黑体"/>
          <w:sz w:val="36"/>
          <w:szCs w:val="36"/>
          <w:lang w:eastAsia="zh-CN"/>
        </w:rPr>
        <w:t xml:space="preserve">第三部分 </w:t>
      </w:r>
      <w:r>
        <w:rPr>
          <w:rFonts w:hint="eastAsia" w:ascii="黑体" w:hAnsi="黑体" w:eastAsia="黑体"/>
          <w:sz w:val="36"/>
          <w:szCs w:val="36"/>
          <w:lang w:val="en-US" w:eastAsia="zh-CN"/>
        </w:rPr>
        <w:t>2020</w:t>
      </w:r>
      <w:r>
        <w:rPr>
          <w:rFonts w:hint="eastAsia" w:ascii="黑体" w:hAnsi="黑体" w:eastAsia="黑体"/>
          <w:sz w:val="3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一、预算收支总体情况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cs="仿宋_GB2312"/>
          <w:sz w:val="32"/>
          <w:szCs w:val="32"/>
          <w:lang w:eastAsia="zh-CN"/>
        </w:rPr>
        <w:t>政协</w:t>
      </w:r>
      <w:r>
        <w:rPr>
          <w:rFonts w:hint="eastAsia" w:ascii="仿宋" w:hAnsi="仿宋" w:eastAsia="仿宋"/>
          <w:sz w:val="32"/>
          <w:szCs w:val="32"/>
        </w:rPr>
        <w:t>收入预算为</w:t>
      </w:r>
      <w:r>
        <w:rPr>
          <w:rFonts w:hint="eastAsia" w:ascii="仿宋" w:hAnsi="仿宋" w:eastAsia="仿宋" w:cs="仿宋_GB2312"/>
          <w:sz w:val="32"/>
          <w:szCs w:val="32"/>
          <w:lang w:val="en-US" w:eastAsia="zh-CN"/>
        </w:rPr>
        <w:t>434.18</w:t>
      </w:r>
      <w:r>
        <w:rPr>
          <w:rFonts w:hint="eastAsia" w:ascii="仿宋" w:hAnsi="仿宋" w:eastAsia="仿宋"/>
          <w:sz w:val="32"/>
          <w:szCs w:val="32"/>
        </w:rPr>
        <w:t>万元，比上年增加</w:t>
      </w:r>
      <w:r>
        <w:rPr>
          <w:rFonts w:hint="eastAsia" w:ascii="仿宋" w:hAnsi="仿宋" w:eastAsia="仿宋" w:cs="仿宋_GB2312"/>
          <w:sz w:val="32"/>
          <w:szCs w:val="32"/>
          <w:lang w:val="en-US" w:eastAsia="zh-CN"/>
        </w:rPr>
        <w:t>69.54</w:t>
      </w:r>
      <w:r>
        <w:rPr>
          <w:rFonts w:hint="eastAsia" w:ascii="仿宋" w:hAnsi="仿宋" w:eastAsia="仿宋"/>
          <w:sz w:val="32"/>
          <w:szCs w:val="32"/>
        </w:rPr>
        <w:t>万元，主要原因是</w:t>
      </w:r>
      <w:r>
        <w:rPr>
          <w:rFonts w:hint="eastAsia" w:ascii="仿宋" w:hAnsi="仿宋" w:eastAsia="仿宋" w:cs="仿宋_GB2312"/>
          <w:sz w:val="32"/>
          <w:szCs w:val="32"/>
          <w:lang w:eastAsia="zh-CN"/>
        </w:rPr>
        <w:t>人员增加</w:t>
      </w:r>
      <w:r>
        <w:rPr>
          <w:rFonts w:hint="eastAsia" w:ascii="仿宋" w:hAnsi="仿宋" w:eastAsia="仿宋" w:cs="仿宋_GB2312"/>
          <w:sz w:val="32"/>
          <w:szCs w:val="32"/>
          <w:lang w:val="en-US" w:eastAsia="zh-CN"/>
        </w:rPr>
        <w:t>3人</w:t>
      </w:r>
      <w:r>
        <w:rPr>
          <w:rFonts w:hint="eastAsia" w:ascii="仿宋" w:hAnsi="仿宋" w:eastAsia="仿宋" w:cs="仿宋_GB2312"/>
          <w:sz w:val="32"/>
          <w:szCs w:val="32"/>
        </w:rPr>
        <w:t>。</w:t>
      </w:r>
      <w:r>
        <w:rPr>
          <w:rFonts w:hint="eastAsia" w:ascii="仿宋" w:hAnsi="仿宋" w:eastAsia="仿宋"/>
          <w:sz w:val="32"/>
          <w:szCs w:val="32"/>
        </w:rPr>
        <w:t>其中：一般公共预算拨款</w:t>
      </w:r>
      <w:r>
        <w:rPr>
          <w:rFonts w:hint="eastAsia" w:ascii="仿宋" w:hAnsi="仿宋" w:eastAsia="仿宋" w:cs="仿宋_GB2312"/>
          <w:sz w:val="32"/>
          <w:szCs w:val="32"/>
          <w:lang w:val="en-US" w:eastAsia="zh-CN"/>
        </w:rPr>
        <w:t>434.18</w:t>
      </w:r>
      <w:r>
        <w:rPr>
          <w:rFonts w:hint="eastAsia" w:ascii="仿宋" w:hAnsi="仿宋" w:eastAsia="仿宋"/>
          <w:sz w:val="32"/>
          <w:szCs w:val="32"/>
        </w:rPr>
        <w:t>万元，基金预算财政拨款</w:t>
      </w:r>
      <w:r>
        <w:rPr>
          <w:rFonts w:hint="eastAsia" w:ascii="仿宋" w:hAnsi="仿宋" w:eastAsia="仿宋" w:cs="仿宋_GB2312"/>
          <w:sz w:val="32"/>
          <w:szCs w:val="32"/>
          <w:lang w:val="en-US" w:eastAsia="zh-CN"/>
        </w:rPr>
        <w:t>0</w:t>
      </w:r>
      <w:r>
        <w:rPr>
          <w:rFonts w:hint="eastAsia" w:ascii="仿宋" w:hAnsi="仿宋" w:eastAsia="仿宋"/>
          <w:sz w:val="32"/>
          <w:szCs w:val="32"/>
        </w:rPr>
        <w:t>万元,财政专户拨款</w:t>
      </w:r>
      <w:r>
        <w:rPr>
          <w:rFonts w:hint="eastAsia" w:ascii="仿宋" w:hAnsi="仿宋" w:eastAsia="仿宋" w:cs="仿宋_GB2312"/>
          <w:sz w:val="32"/>
          <w:szCs w:val="32"/>
          <w:lang w:val="en-US" w:eastAsia="zh-CN"/>
        </w:rPr>
        <w:t>0</w:t>
      </w:r>
      <w:r>
        <w:rPr>
          <w:rFonts w:hint="eastAsia" w:ascii="仿宋" w:hAnsi="仿宋" w:eastAsia="仿宋"/>
          <w:sz w:val="32"/>
          <w:szCs w:val="32"/>
        </w:rPr>
        <w:t>万元,其他收入</w:t>
      </w:r>
      <w:r>
        <w:rPr>
          <w:rFonts w:hint="eastAsia" w:ascii="仿宋" w:hAnsi="仿宋" w:eastAsia="仿宋" w:cs="仿宋_GB2312"/>
          <w:sz w:val="32"/>
          <w:szCs w:val="32"/>
          <w:lang w:val="en-US" w:eastAsia="zh-CN"/>
        </w:rPr>
        <w:t>0</w:t>
      </w:r>
      <w:r>
        <w:rPr>
          <w:rFonts w:hint="eastAsia" w:ascii="仿宋" w:hAnsi="仿宋" w:eastAsia="仿宋"/>
          <w:sz w:val="32"/>
          <w:szCs w:val="32"/>
        </w:rPr>
        <w:t>万元,单位结余结转资金</w:t>
      </w:r>
      <w:r>
        <w:rPr>
          <w:rFonts w:hint="eastAsia" w:ascii="仿宋" w:hAnsi="仿宋" w:eastAsia="仿宋" w:cs="仿宋_GB2312"/>
          <w:sz w:val="32"/>
          <w:szCs w:val="32"/>
          <w:lang w:val="en-US" w:eastAsia="zh-CN"/>
        </w:rPr>
        <w:t>0</w:t>
      </w:r>
      <w:r>
        <w:rPr>
          <w:rFonts w:hint="eastAsia" w:ascii="仿宋" w:hAnsi="仿宋" w:eastAsia="仿宋"/>
          <w:sz w:val="32"/>
          <w:szCs w:val="32"/>
        </w:rPr>
        <w:t>万元。相应安排支出预算</w:t>
      </w:r>
      <w:r>
        <w:rPr>
          <w:rFonts w:hint="eastAsia" w:ascii="仿宋" w:hAnsi="仿宋" w:eastAsia="仿宋" w:cs="仿宋_GB2312"/>
          <w:sz w:val="32"/>
          <w:szCs w:val="32"/>
          <w:lang w:val="en-US" w:eastAsia="zh-CN"/>
        </w:rPr>
        <w:t>434.18</w:t>
      </w:r>
      <w:r>
        <w:rPr>
          <w:rFonts w:hint="eastAsia" w:ascii="仿宋" w:hAnsi="仿宋" w:eastAsia="仿宋"/>
          <w:sz w:val="32"/>
          <w:szCs w:val="32"/>
        </w:rPr>
        <w:t>万元，比上年增加</w:t>
      </w:r>
      <w:r>
        <w:rPr>
          <w:rFonts w:hint="eastAsia" w:ascii="仿宋" w:hAnsi="仿宋" w:eastAsia="仿宋" w:cs="仿宋_GB2312"/>
          <w:sz w:val="32"/>
          <w:szCs w:val="32"/>
          <w:lang w:val="en-US" w:eastAsia="zh-CN"/>
        </w:rPr>
        <w:t>69.54</w:t>
      </w:r>
      <w:r>
        <w:rPr>
          <w:rFonts w:hint="eastAsia" w:ascii="仿宋" w:hAnsi="仿宋" w:eastAsia="仿宋"/>
          <w:sz w:val="32"/>
          <w:szCs w:val="32"/>
        </w:rPr>
        <w:t>万元，其中：人员支出</w:t>
      </w:r>
      <w:r>
        <w:rPr>
          <w:rFonts w:hint="eastAsia" w:ascii="仿宋" w:hAnsi="仿宋" w:eastAsia="仿宋" w:cs="仿宋_GB2312"/>
          <w:sz w:val="32"/>
          <w:szCs w:val="32"/>
          <w:lang w:val="en-US" w:eastAsia="zh-CN"/>
        </w:rPr>
        <w:t>331.53</w:t>
      </w:r>
      <w:r>
        <w:rPr>
          <w:rFonts w:hint="eastAsia" w:ascii="仿宋" w:hAnsi="仿宋" w:eastAsia="仿宋"/>
          <w:sz w:val="32"/>
          <w:szCs w:val="32"/>
        </w:rPr>
        <w:t>万元，对个人和家庭补助支出</w:t>
      </w:r>
      <w:r>
        <w:rPr>
          <w:rFonts w:hint="eastAsia" w:ascii="仿宋" w:hAnsi="仿宋" w:eastAsia="仿宋" w:cs="仿宋_GB2312"/>
          <w:sz w:val="32"/>
          <w:szCs w:val="32"/>
          <w:lang w:val="en-US" w:eastAsia="zh-CN"/>
        </w:rPr>
        <w:t>5.16</w:t>
      </w:r>
      <w:r>
        <w:rPr>
          <w:rFonts w:hint="eastAsia" w:ascii="仿宋" w:hAnsi="仿宋" w:eastAsia="仿宋"/>
          <w:sz w:val="32"/>
          <w:szCs w:val="32"/>
        </w:rPr>
        <w:t>万元，公用支出</w:t>
      </w:r>
      <w:r>
        <w:rPr>
          <w:rFonts w:hint="eastAsia" w:ascii="仿宋" w:hAnsi="仿宋" w:eastAsia="仿宋" w:cs="仿宋_GB2312"/>
          <w:sz w:val="32"/>
          <w:szCs w:val="32"/>
          <w:lang w:val="en-US" w:eastAsia="zh-CN"/>
        </w:rPr>
        <w:t>97.49</w:t>
      </w:r>
      <w:r>
        <w:rPr>
          <w:rFonts w:hint="eastAsia" w:ascii="仿宋" w:hAnsi="仿宋" w:eastAsia="仿宋"/>
          <w:sz w:val="32"/>
          <w:szCs w:val="32"/>
        </w:rPr>
        <w:t>万元，项目支出</w:t>
      </w:r>
      <w:r>
        <w:rPr>
          <w:rFonts w:hint="eastAsia" w:ascii="仿宋" w:hAnsi="仿宋" w:eastAsia="仿宋" w:cs="仿宋_GB2312"/>
          <w:sz w:val="32"/>
          <w:szCs w:val="32"/>
          <w:lang w:val="en-US" w:eastAsia="zh-CN"/>
        </w:rPr>
        <w:t>0</w:t>
      </w:r>
      <w:r>
        <w:rPr>
          <w:rFonts w:hint="eastAsia" w:ascii="仿宋" w:hAnsi="仿宋" w:eastAsia="仿宋"/>
          <w:sz w:val="32"/>
          <w:szCs w:val="32"/>
        </w:rPr>
        <w:t>万元。</w:t>
      </w: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二、一般公共预算拨款支出情况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宋体"/>
          <w:bCs/>
          <w:sz w:val="32"/>
          <w:szCs w:val="32"/>
          <w:lang w:val="en-US" w:eastAsia="zh-CN"/>
        </w:rPr>
        <w:t>2020</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434.18</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cs="仿宋_GB2312"/>
          <w:sz w:val="32"/>
          <w:szCs w:val="32"/>
          <w:lang w:val="en-US" w:eastAsia="zh-CN"/>
        </w:rPr>
        <w:t>69.54</w:t>
      </w:r>
      <w:r>
        <w:rPr>
          <w:rFonts w:hint="eastAsia" w:ascii="仿宋" w:hAnsi="仿宋" w:eastAsia="仿宋"/>
          <w:sz w:val="32"/>
          <w:szCs w:val="32"/>
        </w:rPr>
        <w:t>万元，主要原因是</w:t>
      </w:r>
      <w:r>
        <w:rPr>
          <w:rFonts w:hint="eastAsia" w:ascii="仿宋" w:hAnsi="仿宋" w:eastAsia="仿宋" w:cs="仿宋_GB2312"/>
          <w:sz w:val="32"/>
          <w:szCs w:val="32"/>
          <w:lang w:eastAsia="zh-CN"/>
        </w:rPr>
        <w:t>人员增加</w:t>
      </w:r>
      <w:r>
        <w:rPr>
          <w:rFonts w:hint="eastAsia" w:ascii="仿宋" w:hAnsi="仿宋" w:eastAsia="仿宋" w:cs="仿宋_GB2312"/>
          <w:sz w:val="32"/>
          <w:szCs w:val="32"/>
          <w:lang w:val="en-US" w:eastAsia="zh-CN"/>
        </w:rPr>
        <w:t>3人</w:t>
      </w:r>
      <w:r>
        <w:rPr>
          <w:rFonts w:hint="eastAsia" w:ascii="仿宋" w:hAnsi="仿宋" w:eastAsia="仿宋" w:cs="仿宋_GB2312"/>
          <w:sz w:val="32"/>
          <w:szCs w:val="32"/>
        </w:rPr>
        <w:t>，主要支出项目(按项级科目分类统计)包括：</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cs="仿宋_GB2312"/>
          <w:sz w:val="32"/>
          <w:szCs w:val="32"/>
        </w:rPr>
        <w:t>（一）</w:t>
      </w:r>
      <w:r>
        <w:rPr>
          <w:rFonts w:hint="eastAsia" w:ascii="仿宋" w:hAnsi="仿宋" w:eastAsia="仿宋" w:cs="仿宋_GB2312"/>
          <w:sz w:val="32"/>
          <w:szCs w:val="32"/>
          <w:lang w:eastAsia="zh-CN"/>
        </w:rPr>
        <w:t>行政运行</w:t>
      </w:r>
      <w:r>
        <w:rPr>
          <w:rFonts w:hint="eastAsia" w:ascii="仿宋" w:hAnsi="仿宋" w:eastAsia="仿宋" w:cs="仿宋_GB2312"/>
          <w:sz w:val="32"/>
          <w:szCs w:val="32"/>
          <w:lang w:val="en-US" w:eastAsia="zh-CN"/>
        </w:rPr>
        <w:t>339</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行政人员发放工资，缴纳医保，养老保险，公积金等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cs="仿宋_GB2312"/>
          <w:sz w:val="32"/>
          <w:szCs w:val="32"/>
        </w:rPr>
        <w:t>（二）</w:t>
      </w:r>
      <w:r>
        <w:rPr>
          <w:rFonts w:hint="eastAsia" w:ascii="仿宋" w:hAnsi="仿宋" w:eastAsia="仿宋" w:cs="仿宋_GB2312"/>
          <w:sz w:val="32"/>
          <w:szCs w:val="32"/>
          <w:lang w:eastAsia="zh-CN"/>
        </w:rPr>
        <w:t>委员视察</w:t>
      </w:r>
      <w:r>
        <w:rPr>
          <w:rFonts w:hint="eastAsia" w:ascii="仿宋" w:hAnsi="仿宋" w:eastAsia="仿宋" w:cs="仿宋_GB2312"/>
          <w:sz w:val="32"/>
          <w:szCs w:val="32"/>
          <w:lang w:val="en-US" w:eastAsia="zh-CN"/>
        </w:rPr>
        <w:t>16.9</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委员视察</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（三）</w:t>
      </w:r>
      <w:r>
        <w:rPr>
          <w:rFonts w:hint="eastAsia" w:ascii="仿宋" w:hAnsi="仿宋" w:eastAsia="仿宋" w:cs="仿宋_GB2312"/>
          <w:sz w:val="32"/>
          <w:szCs w:val="32"/>
          <w:lang w:eastAsia="zh-CN"/>
        </w:rPr>
        <w:t>其他政协事务支出</w:t>
      </w:r>
      <w:r>
        <w:rPr>
          <w:rFonts w:hint="eastAsia" w:ascii="仿宋" w:hAnsi="仿宋" w:eastAsia="仿宋" w:cs="仿宋_GB2312"/>
          <w:sz w:val="32"/>
          <w:szCs w:val="32"/>
          <w:lang w:val="en-US" w:eastAsia="zh-CN"/>
        </w:rPr>
        <w:t>27.65</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接待费，诚信促进会，委员调研信访经费等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（四）事业运行</w:t>
      </w:r>
      <w:r>
        <w:rPr>
          <w:rFonts w:hint="eastAsia" w:ascii="仿宋" w:hAnsi="仿宋" w:eastAsia="仿宋" w:cs="仿宋_GB2312"/>
          <w:sz w:val="32"/>
          <w:szCs w:val="32"/>
          <w:lang w:val="en-US" w:eastAsia="zh-CN"/>
        </w:rPr>
        <w:t>50.63万元。主要用于事业人员</w:t>
      </w:r>
      <w:r>
        <w:rPr>
          <w:rFonts w:hint="eastAsia" w:ascii="仿宋" w:hAnsi="仿宋" w:eastAsia="仿宋" w:cs="仿宋_GB2312"/>
          <w:sz w:val="32"/>
          <w:szCs w:val="32"/>
          <w:lang w:eastAsia="zh-CN"/>
        </w:rPr>
        <w:t>发放工资，缴纳医保，养老保险，公积金等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注：没有一般公共预算拨款支出的单位请说明“本单位××年度没有使用一般公共预算拨款安排的支出”。</w:t>
      </w: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三、政府性基金预算拨款支出情况</w:t>
      </w:r>
    </w:p>
    <w:p>
      <w:pPr>
        <w:tabs>
          <w:tab w:val="left" w:pos="7513"/>
        </w:tabs>
        <w:adjustRightInd w:val="0"/>
        <w:snapToGrid w:val="0"/>
        <w:spacing w:line="600" w:lineRule="exact"/>
        <w:ind w:firstLine="640" w:firstLineChars="200"/>
        <w:rPr>
          <w:rFonts w:ascii="楷体" w:hAnsi="楷体" w:eastAsia="楷体"/>
          <w:sz w:val="32"/>
          <w:szCs w:val="32"/>
        </w:rPr>
      </w:pPr>
      <w:r>
        <w:rPr>
          <w:rFonts w:hint="eastAsia" w:ascii="楷体" w:hAnsi="楷体" w:eastAsia="楷体" w:cs="仿宋_GB2312"/>
          <w:sz w:val="32"/>
          <w:szCs w:val="32"/>
        </w:rPr>
        <w:t>本单位</w:t>
      </w:r>
      <w:r>
        <w:rPr>
          <w:rFonts w:hint="eastAsia" w:ascii="楷体" w:hAnsi="楷体" w:eastAsia="楷体" w:cs="仿宋_GB2312"/>
          <w:sz w:val="32"/>
          <w:szCs w:val="32"/>
          <w:lang w:val="en-US" w:eastAsia="zh-CN"/>
        </w:rPr>
        <w:t>2020</w:t>
      </w:r>
      <w:r>
        <w:rPr>
          <w:rFonts w:hint="eastAsia" w:ascii="楷体" w:hAnsi="楷体" w:eastAsia="楷体" w:cs="仿宋_GB2312"/>
          <w:sz w:val="32"/>
          <w:szCs w:val="32"/>
        </w:rPr>
        <w:t>年度没有使用政府性基金预算拨款安排的支出</w:t>
      </w: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四、财政拨款预算基本支出情况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2020</w:t>
      </w:r>
      <w:r>
        <w:rPr>
          <w:rFonts w:hint="eastAsia" w:ascii="仿宋" w:hAnsi="仿宋" w:eastAsia="仿宋" w:cs="仿宋_GB2312"/>
          <w:sz w:val="32"/>
          <w:szCs w:val="32"/>
        </w:rPr>
        <w:t>年度财政拨款基本支出</w:t>
      </w:r>
      <w:r>
        <w:rPr>
          <w:rFonts w:hint="eastAsia" w:ascii="仿宋" w:hAnsi="仿宋" w:eastAsia="仿宋" w:cs="仿宋_GB2312"/>
          <w:sz w:val="32"/>
          <w:szCs w:val="32"/>
          <w:lang w:val="en-US" w:eastAsia="zh-CN"/>
        </w:rPr>
        <w:t>434.18</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336.69</w:t>
      </w:r>
      <w:r>
        <w:rPr>
          <w:rFonts w:hint="eastAsia" w:ascii="仿宋" w:hAnsi="仿宋" w:eastAsia="仿宋"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97.49</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五、一般公共预算“三公”经费支出情况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ascii="楷体" w:hAnsi="楷体" w:eastAsia="楷体" w:cs="宋体"/>
          <w:b/>
          <w:bCs/>
          <w:kern w:val="0"/>
          <w:sz w:val="32"/>
          <w:szCs w:val="32"/>
        </w:rPr>
      </w:pPr>
      <w:r>
        <w:rPr>
          <w:rFonts w:hint="eastAsia" w:ascii="仿宋" w:hAnsi="仿宋" w:eastAsia="仿宋" w:cs="仿宋_GB2312"/>
          <w:kern w:val="0"/>
          <w:sz w:val="32"/>
          <w:szCs w:val="32"/>
          <w:lang w:val="en-US" w:eastAsia="zh-CN"/>
        </w:rPr>
        <w:t>2020</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万元。主要用于</w:t>
      </w:r>
      <w:r>
        <w:rPr>
          <w:rFonts w:hint="eastAsia" w:ascii="仿宋" w:hAnsi="仿宋" w:eastAsia="仿宋" w:cs="仿宋_GB2312"/>
          <w:kern w:val="0"/>
          <w:sz w:val="32"/>
          <w:szCs w:val="32"/>
          <w:lang w:eastAsia="zh-CN"/>
        </w:rPr>
        <w:t>无支出</w:t>
      </w:r>
      <w:r>
        <w:rPr>
          <w:rFonts w:hint="eastAsia" w:ascii="仿宋" w:hAnsi="仿宋" w:eastAsia="仿宋" w:cs="仿宋_GB2312"/>
          <w:kern w:val="0"/>
          <w:sz w:val="32"/>
          <w:szCs w:val="32"/>
        </w:rPr>
        <w:t>（简要说明</w:t>
      </w:r>
      <w:r>
        <w:rPr>
          <w:rFonts w:hint="eastAsia" w:ascii="仿宋" w:hAnsi="仿宋" w:eastAsia="仿宋" w:cs="宋体"/>
          <w:kern w:val="0"/>
          <w:sz w:val="32"/>
          <w:szCs w:val="32"/>
        </w:rPr>
        <w:t>出国（境）团组目的</w:t>
      </w:r>
      <w:r>
        <w:rPr>
          <w:rFonts w:hint="eastAsia" w:ascii="仿宋" w:hAnsi="仿宋" w:eastAsia="仿宋" w:cs="仿宋_GB2312"/>
          <w:kern w:val="0"/>
          <w:sz w:val="32"/>
          <w:szCs w:val="32"/>
        </w:rPr>
        <w:t>）</w:t>
      </w:r>
      <w:r>
        <w:rPr>
          <w:rFonts w:hint="eastAsia" w:ascii="仿宋" w:hAnsi="仿宋" w:eastAsia="仿宋" w:cs="宋体"/>
          <w:kern w:val="0"/>
          <w:sz w:val="32"/>
          <w:szCs w:val="32"/>
        </w:rPr>
        <w:t>。</w:t>
      </w:r>
      <w:r>
        <w:rPr>
          <w:rFonts w:hint="eastAsia" w:ascii="仿宋" w:hAnsi="仿宋" w:eastAsia="仿宋" w:cs="仿宋_GB2312"/>
          <w:sz w:val="32"/>
          <w:szCs w:val="32"/>
        </w:rPr>
        <w:t>与</w:t>
      </w:r>
      <w:r>
        <w:rPr>
          <w:rFonts w:hint="eastAsia" w:ascii="仿宋" w:hAnsi="仿宋" w:eastAsia="仿宋" w:cs="宋体"/>
          <w:bCs/>
          <w:sz w:val="32"/>
          <w:szCs w:val="32"/>
        </w:rPr>
        <w:t>上</w:t>
      </w:r>
      <w:r>
        <w:rPr>
          <w:rFonts w:hint="eastAsia" w:ascii="仿宋" w:hAnsi="仿宋" w:eastAsia="仿宋" w:cs="仿宋_GB2312"/>
          <w:sz w:val="32"/>
          <w:szCs w:val="32"/>
        </w:rPr>
        <w:t>年相比支出增长</w:t>
      </w:r>
      <w:r>
        <w:rPr>
          <w:rFonts w:hint="eastAsia" w:ascii="仿宋" w:hAnsi="仿宋" w:eastAsia="仿宋" w:cs="仿宋_GB2312"/>
          <w:sz w:val="32"/>
          <w:szCs w:val="32"/>
          <w:lang w:val="en-US" w:eastAsia="zh-CN"/>
        </w:rPr>
        <w:t>0</w:t>
      </w:r>
      <w:r>
        <w:rPr>
          <w:rFonts w:ascii="仿宋" w:hAnsi="仿宋" w:eastAsia="仿宋" w:cs="仿宋_GB2312"/>
          <w:sz w:val="32"/>
          <w:szCs w:val="32"/>
        </w:rPr>
        <w:t>%</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与上年持平</w:t>
      </w:r>
      <w:r>
        <w:rPr>
          <w:rFonts w:hint="eastAsia" w:ascii="仿宋" w:hAnsi="仿宋" w:eastAsia="仿宋" w:cs="仿宋_GB2312"/>
          <w:sz w:val="32"/>
          <w:szCs w:val="32"/>
        </w:rPr>
        <w:t>。</w:t>
      </w:r>
      <w:r>
        <w:rPr>
          <w:rFonts w:hint="eastAsia" w:ascii="楷体" w:hAnsi="楷体" w:eastAsia="楷体" w:cs="仿宋_GB2312"/>
          <w:sz w:val="32"/>
          <w:szCs w:val="32"/>
        </w:rPr>
        <w:t>（无增长请标注“与上年持平”）</w:t>
      </w:r>
      <w:r>
        <w:rPr>
          <w:rFonts w:hint="eastAsia" w:ascii="仿宋" w:hAnsi="仿宋" w:eastAsia="仿宋" w:cs="宋体"/>
          <w:kern w:val="0"/>
          <w:sz w:val="32"/>
          <w:szCs w:val="32"/>
        </w:rPr>
        <w:br w:type="textWrapping"/>
      </w: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hint="eastAsia" w:ascii="仿宋" w:hAnsi="仿宋" w:eastAsia="仿宋" w:cs="仿宋_GB2312"/>
          <w:sz w:val="32"/>
          <w:szCs w:val="32"/>
        </w:rPr>
      </w:pPr>
      <w:r>
        <w:rPr>
          <w:rFonts w:hint="eastAsia" w:ascii="仿宋" w:hAnsi="仿宋" w:eastAsia="仿宋" w:cs="仿宋_GB2312"/>
          <w:kern w:val="0"/>
          <w:sz w:val="32"/>
          <w:szCs w:val="32"/>
          <w:lang w:val="en-US" w:eastAsia="zh-CN"/>
        </w:rPr>
        <w:t>2020</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1</w:t>
      </w:r>
      <w:r>
        <w:rPr>
          <w:rFonts w:hint="eastAsia" w:ascii="仿宋" w:hAnsi="仿宋" w:eastAsia="仿宋" w:cs="宋体"/>
          <w:kern w:val="0"/>
          <w:sz w:val="32"/>
          <w:szCs w:val="32"/>
        </w:rPr>
        <w:t>万元。主要用于</w:t>
      </w:r>
      <w:r>
        <w:rPr>
          <w:rFonts w:hint="eastAsia" w:ascii="仿宋" w:hAnsi="仿宋" w:eastAsia="仿宋" w:cs="仿宋_GB2312"/>
          <w:kern w:val="0"/>
          <w:sz w:val="32"/>
          <w:szCs w:val="32"/>
          <w:lang w:eastAsia="zh-CN"/>
        </w:rPr>
        <w:t>其他县区委员来罗调研</w:t>
      </w:r>
      <w:r>
        <w:rPr>
          <w:rFonts w:hint="eastAsia" w:ascii="仿宋" w:hAnsi="仿宋" w:eastAsia="仿宋" w:cs="宋体"/>
          <w:kern w:val="0"/>
          <w:sz w:val="32"/>
          <w:szCs w:val="32"/>
        </w:rPr>
        <w:t>等方面的接待活动。</w:t>
      </w:r>
      <w:r>
        <w:rPr>
          <w:rFonts w:hint="eastAsia" w:ascii="仿宋" w:hAnsi="仿宋" w:eastAsia="仿宋" w:cs="仿宋_GB2312"/>
          <w:sz w:val="32"/>
          <w:szCs w:val="32"/>
        </w:rPr>
        <w:t>与</w:t>
      </w:r>
      <w:r>
        <w:rPr>
          <w:rFonts w:hint="eastAsia" w:ascii="仿宋" w:hAnsi="仿宋" w:eastAsia="仿宋" w:cs="宋体"/>
          <w:bCs/>
          <w:sz w:val="32"/>
          <w:szCs w:val="32"/>
        </w:rPr>
        <w:t>上</w:t>
      </w:r>
      <w:r>
        <w:rPr>
          <w:rFonts w:hint="eastAsia" w:ascii="仿宋" w:hAnsi="仿宋" w:eastAsia="仿宋" w:cs="仿宋_GB2312"/>
          <w:sz w:val="32"/>
          <w:szCs w:val="32"/>
        </w:rPr>
        <w:t>年相比支出增长</w:t>
      </w:r>
      <w:r>
        <w:rPr>
          <w:rFonts w:hint="eastAsia" w:ascii="仿宋" w:hAnsi="仿宋" w:eastAsia="仿宋" w:cs="仿宋_GB2312"/>
          <w:sz w:val="32"/>
          <w:szCs w:val="32"/>
          <w:lang w:val="en-US" w:eastAsia="zh-CN"/>
        </w:rPr>
        <w:t>0</w:t>
      </w:r>
      <w:r>
        <w:rPr>
          <w:rFonts w:ascii="仿宋" w:hAnsi="仿宋" w:eastAsia="仿宋" w:cs="仿宋_GB2312"/>
          <w:sz w:val="32"/>
          <w:szCs w:val="32"/>
        </w:rPr>
        <w:t>%</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与上年持平</w:t>
      </w:r>
      <w:r>
        <w:rPr>
          <w:rFonts w:hint="eastAsia" w:ascii="仿宋" w:hAnsi="仿宋" w:eastAsia="仿宋" w:cs="仿宋_GB2312"/>
          <w:sz w:val="32"/>
          <w:szCs w:val="32"/>
        </w:rPr>
        <w:t>。</w:t>
      </w:r>
      <w:r>
        <w:rPr>
          <w:rFonts w:hint="eastAsia" w:ascii="楷体" w:hAnsi="楷体" w:eastAsia="楷体" w:cs="仿宋_GB2312"/>
          <w:sz w:val="32"/>
          <w:szCs w:val="32"/>
        </w:rPr>
        <w:t>（无增长请标注“与上年持平”）</w:t>
      </w:r>
    </w:p>
    <w:p>
      <w:pPr>
        <w:adjustRightInd w:val="0"/>
        <w:snapToGrid w:val="0"/>
        <w:spacing w:line="600" w:lineRule="exact"/>
        <w:ind w:firstLine="643" w:firstLineChars="200"/>
        <w:rPr>
          <w:rFonts w:hint="eastAsia" w:ascii="仿宋" w:hAnsi="仿宋" w:eastAsia="仿宋"/>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r>
        <w:rPr>
          <w:rFonts w:hint="eastAsia" w:ascii="仿宋" w:hAnsi="仿宋" w:eastAsia="仿宋" w:cs="宋体"/>
          <w:bCs/>
          <w:kern w:val="0"/>
          <w:sz w:val="32"/>
          <w:szCs w:val="32"/>
        </w:rPr>
        <w:br w:type="textWrapping"/>
      </w:r>
      <w:r>
        <w:rPr>
          <w:rFonts w:hint="eastAsia" w:ascii="仿宋" w:hAnsi="仿宋" w:eastAsia="仿宋" w:cs="宋体"/>
          <w:kern w:val="0"/>
          <w:sz w:val="32"/>
          <w:szCs w:val="32"/>
        </w:rPr>
        <w:t xml:space="preserve">　  </w:t>
      </w:r>
      <w:r>
        <w:rPr>
          <w:rFonts w:hint="eastAsia" w:ascii="仿宋" w:hAnsi="仿宋" w:eastAsia="仿宋" w:cs="仿宋_GB2312"/>
          <w:kern w:val="0"/>
          <w:sz w:val="32"/>
          <w:szCs w:val="32"/>
          <w:lang w:val="en-US" w:eastAsia="zh-CN"/>
        </w:rPr>
        <w:t>2020</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5.8</w:t>
      </w:r>
      <w:r>
        <w:rPr>
          <w:rFonts w:hint="eastAsia" w:ascii="仿宋" w:hAnsi="仿宋" w:eastAsia="仿宋" w:cs="宋体"/>
          <w:kern w:val="0"/>
          <w:sz w:val="32"/>
          <w:szCs w:val="32"/>
        </w:rPr>
        <w:t>万元，其中：公车运行费</w:t>
      </w:r>
      <w:r>
        <w:rPr>
          <w:rFonts w:hint="eastAsia" w:ascii="仿宋" w:hAnsi="仿宋" w:eastAsia="仿宋" w:cs="仿宋_GB2312"/>
          <w:kern w:val="0"/>
          <w:sz w:val="32"/>
          <w:szCs w:val="32"/>
          <w:lang w:val="en-US" w:eastAsia="zh-CN"/>
        </w:rPr>
        <w:t>5.8</w:t>
      </w:r>
      <w:r>
        <w:rPr>
          <w:rFonts w:hint="eastAsia" w:ascii="仿宋" w:hAnsi="仿宋" w:eastAsia="仿宋" w:cs="宋体"/>
          <w:kern w:val="0"/>
          <w:sz w:val="32"/>
          <w:szCs w:val="32"/>
        </w:rPr>
        <w:t>万元，公车购置费</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rPr>
        <w:t>与</w:t>
      </w:r>
      <w:r>
        <w:rPr>
          <w:rFonts w:hint="eastAsia" w:ascii="仿宋" w:hAnsi="仿宋" w:eastAsia="仿宋" w:cs="宋体"/>
          <w:bCs/>
          <w:sz w:val="32"/>
          <w:szCs w:val="32"/>
        </w:rPr>
        <w:t>上</w:t>
      </w:r>
      <w:r>
        <w:rPr>
          <w:rFonts w:hint="eastAsia" w:ascii="仿宋" w:hAnsi="仿宋" w:eastAsia="仿宋" w:cs="仿宋_GB2312"/>
          <w:sz w:val="32"/>
          <w:szCs w:val="32"/>
        </w:rPr>
        <w:t>年相比支出下降</w:t>
      </w:r>
      <w:r>
        <w:rPr>
          <w:rFonts w:hint="eastAsia" w:ascii="仿宋" w:hAnsi="仿宋" w:eastAsia="仿宋" w:cs="仿宋_GB2312"/>
          <w:sz w:val="32"/>
          <w:szCs w:val="32"/>
          <w:lang w:val="en-US" w:eastAsia="zh-CN"/>
        </w:rPr>
        <w:t>124.14</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为了贯彻中央八项规定，严格控制支出</w:t>
      </w:r>
      <w:r>
        <w:rPr>
          <w:rFonts w:hint="eastAsia" w:ascii="仿宋" w:hAnsi="仿宋" w:eastAsia="仿宋" w:cs="仿宋_GB2312"/>
          <w:sz w:val="32"/>
          <w:szCs w:val="32"/>
        </w:rPr>
        <w:t>。</w:t>
      </w:r>
      <w:r>
        <w:rPr>
          <w:rFonts w:hint="eastAsia" w:ascii="楷体" w:hAnsi="楷体" w:eastAsia="楷体" w:cs="仿宋_GB2312"/>
          <w:sz w:val="32"/>
          <w:szCs w:val="32"/>
        </w:rPr>
        <w:t>（无增长请标注“与上年持平”）</w:t>
      </w:r>
    </w:p>
    <w:p>
      <w:pPr>
        <w:adjustRightInd w:val="0"/>
        <w:snapToGrid w:val="0"/>
        <w:spacing w:line="600" w:lineRule="exact"/>
        <w:ind w:firstLine="640" w:firstLineChars="200"/>
        <w:rPr>
          <w:rFonts w:hint="eastAsia" w:ascii="仿宋" w:hAnsi="仿宋" w:eastAsia="仿宋"/>
          <w:sz w:val="32"/>
          <w:szCs w:val="32"/>
        </w:rPr>
      </w:pPr>
    </w:p>
    <w:p>
      <w:pPr>
        <w:spacing w:line="600" w:lineRule="exact"/>
        <w:rPr>
          <w:rFonts w:ascii="仿宋" w:hAnsi="仿宋" w:eastAsia="仿宋"/>
          <w:b/>
          <w:sz w:val="32"/>
          <w:szCs w:val="32"/>
        </w:rPr>
      </w:pPr>
      <w:r>
        <w:rPr>
          <w:rFonts w:hint="eastAsia" w:ascii="仿宋" w:hAnsi="仿宋" w:eastAsia="仿宋"/>
          <w:b/>
          <w:sz w:val="32"/>
          <w:szCs w:val="32"/>
        </w:rPr>
        <w:t>六、预算绩效目标情况</w:t>
      </w:r>
    </w:p>
    <w:p>
      <w:pPr>
        <w:spacing w:line="60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60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2020</w:t>
      </w:r>
      <w:r>
        <w:rPr>
          <w:rFonts w:hint="eastAsia" w:ascii="仿宋" w:hAnsi="仿宋" w:eastAsia="仿宋" w:cs="仿宋_GB2312"/>
          <w:kern w:val="0"/>
          <w:sz w:val="32"/>
          <w:szCs w:val="32"/>
        </w:rPr>
        <w:t>年</w:t>
      </w:r>
      <w:r>
        <w:rPr>
          <w:rFonts w:hint="eastAsia" w:ascii="仿宋" w:hAnsi="仿宋" w:eastAsia="仿宋" w:cs="仿宋_GB2312"/>
          <w:kern w:val="0"/>
          <w:sz w:val="32"/>
          <w:szCs w:val="32"/>
          <w:lang w:eastAsia="zh-CN"/>
        </w:rPr>
        <w:t>政协</w:t>
      </w:r>
      <w:r>
        <w:rPr>
          <w:rFonts w:hint="eastAsia" w:ascii="仿宋" w:hAnsi="仿宋" w:eastAsia="仿宋" w:cs="仿宋_GB2312"/>
          <w:kern w:val="0"/>
          <w:sz w:val="32"/>
          <w:szCs w:val="32"/>
        </w:rPr>
        <w:t>共设置</w:t>
      </w:r>
      <w:r>
        <w:rPr>
          <w:rFonts w:hint="eastAsia" w:ascii="仿宋" w:hAnsi="仿宋" w:eastAsia="仿宋" w:cs="仿宋_GB2312"/>
          <w:kern w:val="0"/>
          <w:sz w:val="32"/>
          <w:szCs w:val="32"/>
          <w:lang w:val="en-US" w:eastAsia="zh-CN"/>
        </w:rPr>
        <w:t>7</w:t>
      </w:r>
      <w:r>
        <w:rPr>
          <w:rFonts w:hint="eastAsia" w:ascii="仿宋" w:hAnsi="仿宋" w:eastAsia="仿宋" w:cs="仿宋_GB2312"/>
          <w:kern w:val="0"/>
          <w:sz w:val="32"/>
          <w:szCs w:val="32"/>
        </w:rPr>
        <w:t>个项目绩效目标（注：包括部门业务费绩效目标和专项资金绩效目标），分别是政协委员调研及信访项目，文史资料编辑</w:t>
      </w:r>
      <w:r>
        <w:rPr>
          <w:rFonts w:hint="eastAsia" w:ascii="仿宋" w:hAnsi="仿宋" w:eastAsia="仿宋" w:cs="仿宋_GB2312"/>
          <w:kern w:val="0"/>
          <w:sz w:val="32"/>
          <w:szCs w:val="32"/>
          <w:lang w:eastAsia="zh-CN"/>
        </w:rPr>
        <w:t>项目，县处级干部座谈会项目，县区专委会议项目，人大政协大楼水电费项目，接待费项目，诚信促进会经费项目，委员视察费（169个代表每人0.1万元）项目。</w:t>
      </w:r>
      <w:r>
        <w:rPr>
          <w:rFonts w:hint="eastAsia" w:ascii="仿宋" w:hAnsi="仿宋" w:eastAsia="仿宋" w:cs="仿宋_GB2312"/>
          <w:kern w:val="0"/>
          <w:sz w:val="32"/>
          <w:szCs w:val="32"/>
        </w:rPr>
        <w:t>共涉及财政拨款资金</w:t>
      </w:r>
      <w:r>
        <w:rPr>
          <w:rFonts w:hint="eastAsia" w:ascii="仿宋" w:hAnsi="仿宋" w:eastAsia="仿宋" w:cs="仿宋_GB2312"/>
          <w:kern w:val="0"/>
          <w:sz w:val="32"/>
          <w:szCs w:val="32"/>
          <w:lang w:val="en-US" w:eastAsia="zh-CN"/>
        </w:rPr>
        <w:t>27.65</w:t>
      </w:r>
      <w:r>
        <w:rPr>
          <w:rFonts w:hint="eastAsia" w:ascii="仿宋" w:hAnsi="仿宋" w:eastAsia="仿宋" w:cs="仿宋_GB2312"/>
          <w:kern w:val="0"/>
          <w:sz w:val="32"/>
          <w:szCs w:val="32"/>
        </w:rPr>
        <w:t>万元。</w:t>
      </w:r>
    </w:p>
    <w:p>
      <w:pPr>
        <w:spacing w:line="60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1.部门业务费绩效目标表</w:t>
      </w:r>
    </w:p>
    <w:p>
      <w:pPr>
        <w:spacing w:line="600" w:lineRule="exact"/>
        <w:ind w:firstLine="720" w:firstLineChars="200"/>
        <w:rPr>
          <w:rFonts w:ascii="仿宋" w:hAnsi="仿宋" w:eastAsia="仿宋"/>
          <w:sz w:val="32"/>
          <w:szCs w:val="32"/>
        </w:rPr>
      </w:pPr>
      <w:r>
        <w:rPr>
          <w:rFonts w:ascii="宋体" w:hAnsi="宋体" w:eastAsia="宋体" w:cs="Times New Roman"/>
          <w:kern w:val="0"/>
          <w:sz w:val="36"/>
          <w:szCs w:val="20"/>
        </w:rPr>
        <w:t>……</w:t>
      </w:r>
      <w:r>
        <w:rPr>
          <w:rFonts w:hint="eastAsia" w:ascii="宋体" w:hAnsi="宋体" w:eastAsia="宋体" w:cs="Times New Roman"/>
          <w:kern w:val="0"/>
          <w:sz w:val="36"/>
          <w:szCs w:val="20"/>
        </w:rPr>
        <w:t>（</w:t>
      </w:r>
      <w:r>
        <w:rPr>
          <w:rFonts w:hint="eastAsia" w:ascii="楷体" w:hAnsi="楷体" w:eastAsia="楷体" w:cs="仿宋_GB2312"/>
          <w:sz w:val="32"/>
          <w:szCs w:val="32"/>
        </w:rPr>
        <w:t>注：部门业务费和专项资金绩效目标表模板可由财政一体化系统导出，部门按批复的绩效目标以及经业务处室确定调整后的绩效目标填列完善</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2.部门专项资金绩效目标表</w:t>
      </w:r>
    </w:p>
    <w:tbl>
      <w:tblPr>
        <w:tblStyle w:val="7"/>
        <w:tblW w:w="4998" w:type="pct"/>
        <w:tblInd w:w="0" w:type="dxa"/>
        <w:shd w:val="clear" w:color="auto" w:fill="auto"/>
        <w:tblLayout w:type="autofit"/>
        <w:tblCellMar>
          <w:top w:w="0" w:type="dxa"/>
          <w:left w:w="0" w:type="dxa"/>
          <w:bottom w:w="0" w:type="dxa"/>
          <w:right w:w="0" w:type="dxa"/>
        </w:tblCellMar>
      </w:tblPr>
      <w:tblGrid>
        <w:gridCol w:w="1205"/>
        <w:gridCol w:w="1205"/>
        <w:gridCol w:w="1195"/>
        <w:gridCol w:w="2505"/>
        <w:gridCol w:w="2223"/>
      </w:tblGrid>
      <w:tr>
        <w:tblPrEx>
          <w:shd w:val="clear" w:color="auto" w:fill="auto"/>
          <w:tblCellMar>
            <w:top w:w="0" w:type="dxa"/>
            <w:left w:w="0" w:type="dxa"/>
            <w:bottom w:w="0" w:type="dxa"/>
            <w:right w:w="0" w:type="dxa"/>
          </w:tblCellMar>
        </w:tblPrEx>
        <w:trPr>
          <w:trHeight w:val="552" w:hRule="atLeast"/>
        </w:trPr>
        <w:tc>
          <w:tcPr>
            <w:tcW w:w="723"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附表3-12</w:t>
            </w:r>
          </w:p>
        </w:tc>
        <w:tc>
          <w:tcPr>
            <w:tcW w:w="72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1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0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3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03" w:hRule="atLeast"/>
        </w:trPr>
        <w:tc>
          <w:tcPr>
            <w:tcW w:w="5000" w:type="pct"/>
            <w:gridSpan w:val="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2020年度专项资金绩效目标表</w:t>
            </w:r>
          </w:p>
        </w:tc>
      </w:tr>
      <w:tr>
        <w:tblPrEx>
          <w:tblCellMar>
            <w:top w:w="0" w:type="dxa"/>
            <w:left w:w="0" w:type="dxa"/>
            <w:bottom w:w="0" w:type="dxa"/>
            <w:right w:w="0" w:type="dxa"/>
          </w:tblCellMar>
        </w:tblPrEx>
        <w:trPr>
          <w:trHeight w:val="405" w:hRule="atLeast"/>
        </w:trPr>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立项项目名称</w:t>
            </w:r>
          </w:p>
        </w:tc>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概况</w:t>
            </w:r>
          </w:p>
        </w:tc>
        <w:tc>
          <w:tcPr>
            <w:tcW w:w="3553" w:type="pct"/>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绩效目标</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绩效内容</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全年绩效目标值</w:t>
            </w:r>
          </w:p>
        </w:tc>
      </w:tr>
      <w:tr>
        <w:tblPrEx>
          <w:tblCellMar>
            <w:top w:w="0" w:type="dxa"/>
            <w:left w:w="0" w:type="dxa"/>
            <w:bottom w:w="0" w:type="dxa"/>
            <w:right w:w="0" w:type="dxa"/>
          </w:tblCellMar>
        </w:tblPrEx>
        <w:trPr>
          <w:trHeight w:val="469" w:hRule="atLeast"/>
        </w:trPr>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政协委员调研及信访经费</w:t>
            </w:r>
          </w:p>
        </w:tc>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组织委员进行专题调研及接待人民群众来访与委员信访工作</w:t>
            </w: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项目投入资金</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2020年10万元</w:t>
            </w:r>
          </w:p>
        </w:tc>
      </w:tr>
      <w:tr>
        <w:tblPrEx>
          <w:tblCellMar>
            <w:top w:w="0" w:type="dxa"/>
            <w:left w:w="0" w:type="dxa"/>
            <w:bottom w:w="0" w:type="dxa"/>
            <w:right w:w="0" w:type="dxa"/>
          </w:tblCellMar>
        </w:tblPrEx>
        <w:trPr>
          <w:trHeight w:val="480"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项目完成时间</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2020年12月底前完成</w:t>
            </w:r>
          </w:p>
        </w:tc>
      </w:tr>
      <w:tr>
        <w:tblPrEx>
          <w:tblCellMar>
            <w:top w:w="0" w:type="dxa"/>
            <w:left w:w="0" w:type="dxa"/>
            <w:bottom w:w="0" w:type="dxa"/>
            <w:right w:w="0" w:type="dxa"/>
          </w:tblCellMar>
        </w:tblPrEx>
        <w:trPr>
          <w:trHeight w:val="480"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接待信访次数</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次</w:t>
            </w:r>
          </w:p>
        </w:tc>
      </w:tr>
      <w:tr>
        <w:tblPrEx>
          <w:tblCellMar>
            <w:top w:w="0" w:type="dxa"/>
            <w:left w:w="0" w:type="dxa"/>
            <w:bottom w:w="0" w:type="dxa"/>
            <w:right w:w="0" w:type="dxa"/>
          </w:tblCellMar>
        </w:tblPrEx>
        <w:trPr>
          <w:trHeight w:val="480"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调研次数</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次</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调研报告数</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份</w:t>
            </w:r>
          </w:p>
        </w:tc>
      </w:tr>
      <w:tr>
        <w:tblPrEx>
          <w:tblCellMar>
            <w:top w:w="0" w:type="dxa"/>
            <w:left w:w="0" w:type="dxa"/>
            <w:bottom w:w="0" w:type="dxa"/>
            <w:right w:w="0" w:type="dxa"/>
          </w:tblCellMar>
        </w:tblPrEx>
        <w:trPr>
          <w:trHeight w:val="469" w:hRule="atLeast"/>
        </w:trPr>
        <w:tc>
          <w:tcPr>
            <w:tcW w:w="72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文史资料编辑</w:t>
            </w:r>
          </w:p>
        </w:tc>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组织编写与出版罗源文史资料</w:t>
            </w: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项目投入资金</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2020年1万元</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项目完成时间</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2020年12月底前完成</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发放史料数量</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2020年≥1000册</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阅读群众满意度</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2020年100%</w:t>
            </w:r>
          </w:p>
        </w:tc>
      </w:tr>
      <w:tr>
        <w:tblPrEx>
          <w:tblCellMar>
            <w:top w:w="0" w:type="dxa"/>
            <w:left w:w="0" w:type="dxa"/>
            <w:bottom w:w="0" w:type="dxa"/>
            <w:right w:w="0" w:type="dxa"/>
          </w:tblCellMar>
        </w:tblPrEx>
        <w:trPr>
          <w:trHeight w:val="469" w:hRule="atLeast"/>
        </w:trPr>
        <w:tc>
          <w:tcPr>
            <w:tcW w:w="72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县处级干部座谈会</w:t>
            </w:r>
          </w:p>
        </w:tc>
        <w:tc>
          <w:tcPr>
            <w:tcW w:w="72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组织召开县处级领导干部座谈会</w:t>
            </w: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项目投入资金</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2020年1.65万元</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项目完成时间</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2020年12月底前完成</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会议场次</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场</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处级干部满意率</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2020年100%</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县处级离退休领导参会率</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2020年100%</w:t>
            </w:r>
          </w:p>
        </w:tc>
      </w:tr>
      <w:tr>
        <w:tblPrEx>
          <w:tblCellMar>
            <w:top w:w="0" w:type="dxa"/>
            <w:left w:w="0" w:type="dxa"/>
            <w:bottom w:w="0" w:type="dxa"/>
            <w:right w:w="0" w:type="dxa"/>
          </w:tblCellMar>
        </w:tblPrEx>
        <w:trPr>
          <w:trHeight w:val="469" w:hRule="atLeast"/>
        </w:trPr>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县区专委会议</w:t>
            </w:r>
          </w:p>
        </w:tc>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组织召开五区八县联谊座谈会</w:t>
            </w: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项目投入资金</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2020年1.5万元</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项目完成时间</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2020年12月底前完成</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会议场次</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2020年1场</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参会人员满意度</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2020年100%</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县区专委参会率</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2020年100%</w:t>
            </w:r>
          </w:p>
        </w:tc>
      </w:tr>
      <w:tr>
        <w:tblPrEx>
          <w:tblCellMar>
            <w:top w:w="0" w:type="dxa"/>
            <w:left w:w="0" w:type="dxa"/>
            <w:bottom w:w="0" w:type="dxa"/>
            <w:right w:w="0" w:type="dxa"/>
          </w:tblCellMar>
        </w:tblPrEx>
        <w:trPr>
          <w:trHeight w:val="469" w:hRule="atLeast"/>
        </w:trPr>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人大政协大楼水电费</w:t>
            </w:r>
          </w:p>
        </w:tc>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县人大、政协办公大楼水电费用支出</w:t>
            </w: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项目投入资金</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2020年3.5万元</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项目完成时间</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2020年12月底前完成</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电度数</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万度</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用水量</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升</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服务单位数</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2020年2家</w:t>
            </w:r>
          </w:p>
        </w:tc>
      </w:tr>
      <w:tr>
        <w:tblPrEx>
          <w:tblCellMar>
            <w:top w:w="0" w:type="dxa"/>
            <w:left w:w="0" w:type="dxa"/>
            <w:bottom w:w="0" w:type="dxa"/>
            <w:right w:w="0" w:type="dxa"/>
          </w:tblCellMar>
        </w:tblPrEx>
        <w:trPr>
          <w:trHeight w:val="469" w:hRule="atLeast"/>
        </w:trPr>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接待费 </w:t>
            </w:r>
          </w:p>
        </w:tc>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开展联谊交友活动接待全国各地政协来罗调研考察</w:t>
            </w: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项目投入资金</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2020年5万元</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项目完成时间</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2020年12月底前完成</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接待来罗考察批次</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批次</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来罗考察人员满意度</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2020年100%</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接待批次下降率</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w:t>
            </w:r>
          </w:p>
        </w:tc>
      </w:tr>
      <w:tr>
        <w:tblPrEx>
          <w:tblCellMar>
            <w:top w:w="0" w:type="dxa"/>
            <w:left w:w="0" w:type="dxa"/>
            <w:bottom w:w="0" w:type="dxa"/>
            <w:right w:w="0" w:type="dxa"/>
          </w:tblCellMar>
        </w:tblPrEx>
        <w:trPr>
          <w:trHeight w:val="469" w:hRule="atLeast"/>
        </w:trPr>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诚信促进会经费</w:t>
            </w:r>
          </w:p>
        </w:tc>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开展诚信宣传、诚信社会评价与评比，诚信维权、诚信人才培训与教育等活动</w:t>
            </w: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项目投入资金</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2020年5万元</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项目完成时间</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2020年12月底前完成</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成员单位数量</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个</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开展诚信教育活动次数</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1次</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接受服务的成员单位满意度</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2020年100%</w:t>
            </w:r>
          </w:p>
        </w:tc>
      </w:tr>
      <w:tr>
        <w:tblPrEx>
          <w:tblCellMar>
            <w:top w:w="0" w:type="dxa"/>
            <w:left w:w="0" w:type="dxa"/>
            <w:bottom w:w="0" w:type="dxa"/>
            <w:right w:w="0" w:type="dxa"/>
          </w:tblCellMar>
        </w:tblPrEx>
        <w:trPr>
          <w:trHeight w:val="469" w:hRule="atLeast"/>
        </w:trPr>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委员视察费（169个代表每人0.1万元）</w:t>
            </w:r>
          </w:p>
        </w:tc>
        <w:tc>
          <w:tcPr>
            <w:tcW w:w="7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组织委员对我县经济领域发展以及各条战线群众所关心的热点难点问题进行视察调研</w:t>
            </w: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项目投入资金</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2020年16.9万元</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项目完成时间</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2020年12月底前完成</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视察次数</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次</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撰写信息（调研报告)</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    份</w:t>
            </w:r>
          </w:p>
        </w:tc>
      </w:tr>
      <w:tr>
        <w:tblPrEx>
          <w:tblCellMar>
            <w:top w:w="0" w:type="dxa"/>
            <w:left w:w="0" w:type="dxa"/>
            <w:bottom w:w="0" w:type="dxa"/>
            <w:right w:w="0" w:type="dxa"/>
          </w:tblCellMar>
        </w:tblPrEx>
        <w:trPr>
          <w:trHeight w:val="469" w:hRule="atLeast"/>
        </w:trPr>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p>
        </w:tc>
        <w:tc>
          <w:tcPr>
            <w:tcW w:w="150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委员满意度</w:t>
            </w:r>
          </w:p>
        </w:tc>
        <w:tc>
          <w:tcPr>
            <w:tcW w:w="1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2020年100%</w:t>
            </w:r>
          </w:p>
        </w:tc>
      </w:tr>
      <w:tr>
        <w:tblPrEx>
          <w:tblCellMar>
            <w:top w:w="0" w:type="dxa"/>
            <w:left w:w="0" w:type="dxa"/>
            <w:bottom w:w="0" w:type="dxa"/>
            <w:right w:w="0" w:type="dxa"/>
          </w:tblCellMar>
        </w:tblPrEx>
        <w:trPr>
          <w:trHeight w:val="443" w:hRule="atLeast"/>
        </w:trPr>
        <w:tc>
          <w:tcPr>
            <w:tcW w:w="5000" w:type="pct"/>
            <w:gridSpan w:val="5"/>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华文楷体" w:hAnsi="华文楷体" w:eastAsia="华文楷体" w:cs="华文楷体"/>
                <w:i w:val="0"/>
                <w:color w:val="000000"/>
                <w:sz w:val="22"/>
                <w:szCs w:val="22"/>
                <w:u w:val="none"/>
              </w:rPr>
            </w:pPr>
            <w:r>
              <w:rPr>
                <w:rFonts w:hint="eastAsia" w:ascii="华文楷体" w:hAnsi="华文楷体" w:eastAsia="华文楷体" w:cs="华文楷体"/>
                <w:i w:val="0"/>
                <w:color w:val="000000"/>
                <w:kern w:val="0"/>
                <w:sz w:val="22"/>
                <w:szCs w:val="22"/>
                <w:u w:val="none"/>
                <w:lang w:val="en-US" w:eastAsia="zh-CN" w:bidi="ar"/>
              </w:rPr>
              <w:t>备注：按部门预算批复的绩效目标表填写本表中的相应内容（按规定不宜公开部分除外）。</w:t>
            </w:r>
          </w:p>
        </w:tc>
      </w:tr>
    </w:tbl>
    <w:p>
      <w:pPr>
        <w:spacing w:line="600" w:lineRule="exact"/>
        <w:ind w:firstLine="640" w:firstLineChars="200"/>
        <w:rPr>
          <w:rFonts w:ascii="仿宋" w:hAnsi="仿宋" w:eastAsia="仿宋"/>
          <w:sz w:val="32"/>
          <w:szCs w:val="32"/>
        </w:rPr>
      </w:pPr>
      <w:r>
        <w:rPr>
          <w:rFonts w:hint="eastAsia" w:ascii="仿宋" w:hAnsi="仿宋" w:eastAsia="仿宋"/>
          <w:sz w:val="32"/>
          <w:szCs w:val="32"/>
        </w:rPr>
        <w:t>3.有关情况说明</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无情况说明</w:t>
      </w:r>
      <w:r>
        <w:rPr>
          <w:rFonts w:hint="eastAsia" w:ascii="仿宋" w:hAnsi="仿宋" w:eastAsia="仿宋" w:cs="仿宋_GB2312"/>
          <w:sz w:val="32"/>
          <w:szCs w:val="32"/>
        </w:rPr>
        <w:t>。</w:t>
      </w:r>
    </w:p>
    <w:p>
      <w:pPr>
        <w:spacing w:line="600" w:lineRule="exact"/>
        <w:rPr>
          <w:rFonts w:ascii="仿宋" w:hAnsi="仿宋" w:eastAsia="仿宋"/>
          <w:b/>
          <w:sz w:val="32"/>
          <w:szCs w:val="32"/>
        </w:rPr>
      </w:pPr>
      <w:r>
        <w:rPr>
          <w:rFonts w:hint="eastAsia" w:ascii="仿宋" w:hAnsi="仿宋" w:eastAsia="仿宋"/>
          <w:b/>
          <w:sz w:val="32"/>
          <w:szCs w:val="32"/>
        </w:rPr>
        <w:t>七、其他重要事项说明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黑体" w:hAnsi="黑体" w:eastAsia="黑体"/>
          <w:color w:val="FF0000"/>
          <w:sz w:val="32"/>
          <w:szCs w:val="32"/>
        </w:rPr>
      </w:pPr>
      <w:r>
        <w:rPr>
          <w:rFonts w:hint="eastAsia" w:ascii="仿宋" w:hAnsi="仿宋" w:eastAsia="仿宋" w:cs="仿宋_GB2312"/>
          <w:kern w:val="0"/>
          <w:sz w:val="32"/>
          <w:szCs w:val="32"/>
          <w:lang w:val="en-US" w:eastAsia="zh-CN"/>
        </w:rPr>
        <w:t>2020</w:t>
      </w:r>
      <w:r>
        <w:rPr>
          <w:rFonts w:hint="eastAsia" w:ascii="仿宋" w:hAnsi="仿宋" w:eastAsia="仿宋"/>
          <w:sz w:val="32"/>
          <w:szCs w:val="32"/>
        </w:rPr>
        <w:t>年</w:t>
      </w:r>
      <w:r>
        <w:rPr>
          <w:rFonts w:hint="eastAsia" w:ascii="仿宋" w:hAnsi="仿宋" w:eastAsia="仿宋" w:cs="仿宋_GB2312"/>
          <w:kern w:val="0"/>
          <w:sz w:val="32"/>
          <w:szCs w:val="32"/>
          <w:lang w:eastAsia="zh-CN"/>
        </w:rPr>
        <w:t>政协</w:t>
      </w:r>
      <w:r>
        <w:rPr>
          <w:rFonts w:hint="eastAsia" w:ascii="仿宋" w:hAnsi="仿宋" w:eastAsia="仿宋"/>
          <w:sz w:val="32"/>
          <w:szCs w:val="32"/>
        </w:rPr>
        <w:t>（含实行公务员管理的事业单位）一般公共预算拨款安排的机关运行经费支出</w:t>
      </w:r>
      <w:r>
        <w:rPr>
          <w:rFonts w:hint="eastAsia" w:ascii="仿宋" w:hAnsi="仿宋" w:eastAsia="仿宋" w:cs="仿宋_GB2312"/>
          <w:kern w:val="0"/>
          <w:sz w:val="32"/>
          <w:szCs w:val="32"/>
          <w:lang w:val="en-US" w:eastAsia="zh-CN"/>
        </w:rPr>
        <w:t>97.49</w:t>
      </w:r>
      <w:r>
        <w:rPr>
          <w:rFonts w:hint="eastAsia" w:ascii="仿宋" w:hAnsi="仿宋" w:eastAsia="仿宋"/>
          <w:sz w:val="32"/>
          <w:szCs w:val="32"/>
        </w:rPr>
        <w:t>万元，比</w:t>
      </w:r>
      <w:r>
        <w:rPr>
          <w:rFonts w:hint="eastAsia" w:ascii="仿宋" w:hAnsi="仿宋" w:eastAsia="仿宋" w:cs="仿宋_GB2312"/>
          <w:sz w:val="32"/>
          <w:szCs w:val="32"/>
          <w:lang w:val="en-US" w:eastAsia="zh-CN"/>
        </w:rPr>
        <w:t>2019</w:t>
      </w:r>
      <w:r>
        <w:rPr>
          <w:rFonts w:hint="eastAsia" w:ascii="仿宋" w:hAnsi="仿宋" w:eastAsia="仿宋"/>
          <w:sz w:val="32"/>
          <w:szCs w:val="32"/>
        </w:rPr>
        <w:t>年增加</w:t>
      </w:r>
      <w:r>
        <w:rPr>
          <w:rFonts w:hint="eastAsia" w:ascii="仿宋" w:hAnsi="仿宋" w:eastAsia="仿宋" w:cs="仿宋_GB2312"/>
          <w:kern w:val="0"/>
          <w:sz w:val="32"/>
          <w:szCs w:val="32"/>
          <w:lang w:val="en-US" w:eastAsia="zh-CN"/>
        </w:rPr>
        <w:t>6.2</w:t>
      </w:r>
      <w:r>
        <w:rPr>
          <w:rFonts w:hint="eastAsia" w:ascii="仿宋" w:hAnsi="仿宋" w:eastAsia="仿宋"/>
          <w:sz w:val="32"/>
          <w:szCs w:val="32"/>
        </w:rPr>
        <w:t>万元，主要原因是</w:t>
      </w:r>
      <w:r>
        <w:rPr>
          <w:rFonts w:hint="eastAsia" w:ascii="仿宋" w:hAnsi="仿宋" w:eastAsia="仿宋" w:cs="仿宋_GB2312"/>
          <w:sz w:val="32"/>
          <w:szCs w:val="32"/>
          <w:lang w:eastAsia="zh-CN"/>
        </w:rPr>
        <w:t>人员增加</w:t>
      </w:r>
      <w:r>
        <w:rPr>
          <w:rFonts w:hint="eastAsia" w:ascii="仿宋" w:hAnsi="仿宋" w:eastAsia="仿宋" w:cs="仿宋_GB2312"/>
          <w:sz w:val="32"/>
          <w:szCs w:val="32"/>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2020</w:t>
      </w:r>
      <w:r>
        <w:rPr>
          <w:rFonts w:hint="eastAsia" w:ascii="仿宋" w:hAnsi="仿宋" w:eastAsia="仿宋"/>
          <w:sz w:val="32"/>
          <w:szCs w:val="32"/>
        </w:rPr>
        <w:t>年</w:t>
      </w:r>
      <w:r>
        <w:rPr>
          <w:rFonts w:hint="eastAsia" w:ascii="仿宋" w:hAnsi="仿宋" w:eastAsia="仿宋" w:cs="仿宋_GB2312"/>
          <w:sz w:val="32"/>
          <w:szCs w:val="32"/>
          <w:lang w:eastAsia="zh-CN"/>
        </w:rPr>
        <w:t>政协</w:t>
      </w:r>
      <w:r>
        <w:rPr>
          <w:rFonts w:hint="eastAsia" w:ascii="仿宋" w:hAnsi="仿宋" w:eastAsia="仿宋"/>
          <w:sz w:val="32"/>
          <w:szCs w:val="32"/>
        </w:rPr>
        <w:t>政府采购预算总额</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万元，其中：政府购买服务项目</w:t>
      </w:r>
      <w:r>
        <w:rPr>
          <w:rFonts w:hint="eastAsia" w:ascii="仿宋" w:hAnsi="仿宋" w:eastAsia="仿宋"/>
          <w:sz w:val="32"/>
          <w:szCs w:val="32"/>
        </w:rPr>
        <w:t>采购预算额</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2019</w:t>
      </w:r>
      <w:r>
        <w:rPr>
          <w:rFonts w:hint="eastAsia" w:ascii="仿宋" w:hAnsi="仿宋" w:eastAsia="仿宋" w:cs="仿宋_GB2312"/>
          <w:kern w:val="0"/>
          <w:sz w:val="32"/>
          <w:szCs w:val="32"/>
        </w:rPr>
        <w:t>年底，</w:t>
      </w:r>
      <w:r>
        <w:rPr>
          <w:rFonts w:hint="eastAsia" w:ascii="仿宋" w:hAnsi="仿宋" w:eastAsia="仿宋" w:cs="仿宋_GB2312"/>
          <w:kern w:val="0"/>
          <w:sz w:val="32"/>
          <w:szCs w:val="32"/>
          <w:lang w:eastAsia="zh-CN"/>
        </w:rPr>
        <w:t>政协</w:t>
      </w:r>
      <w:r>
        <w:rPr>
          <w:rFonts w:hint="eastAsia" w:ascii="仿宋" w:hAnsi="仿宋" w:eastAsia="仿宋"/>
          <w:sz w:val="32"/>
          <w:szCs w:val="32"/>
        </w:rPr>
        <w:t>本级及所属的预算单位共有车辆</w:t>
      </w:r>
      <w:r>
        <w:rPr>
          <w:rFonts w:hint="eastAsia" w:ascii="仿宋" w:hAnsi="仿宋" w:eastAsia="仿宋" w:cs="仿宋_GB2312"/>
          <w:kern w:val="0"/>
          <w:sz w:val="32"/>
          <w:szCs w:val="32"/>
          <w:lang w:val="en-US" w:eastAsia="zh-CN"/>
        </w:rPr>
        <w:t>6</w:t>
      </w:r>
      <w:r>
        <w:rPr>
          <w:rFonts w:hint="eastAsia" w:ascii="仿宋" w:hAnsi="仿宋" w:eastAsia="仿宋"/>
          <w:sz w:val="32"/>
          <w:szCs w:val="32"/>
        </w:rPr>
        <w:t>辆，其中：省部级领导干部用车</w:t>
      </w:r>
      <w:r>
        <w:rPr>
          <w:rFonts w:hint="eastAsia" w:ascii="仿宋" w:hAnsi="仿宋" w:eastAsia="仿宋"/>
          <w:sz w:val="32"/>
          <w:szCs w:val="32"/>
          <w:lang w:val="en-US" w:eastAsia="zh-CN"/>
        </w:rPr>
        <w:t>0</w:t>
      </w:r>
      <w:r>
        <w:rPr>
          <w:rFonts w:hint="eastAsia" w:ascii="仿宋" w:hAnsi="仿宋" w:eastAsia="仿宋"/>
          <w:sz w:val="32"/>
          <w:szCs w:val="32"/>
        </w:rPr>
        <w:t>辆，一般公务用车</w:t>
      </w:r>
      <w:r>
        <w:rPr>
          <w:rFonts w:hint="eastAsia" w:ascii="仿宋" w:hAnsi="仿宋" w:eastAsia="仿宋" w:cs="仿宋_GB2312"/>
          <w:kern w:val="0"/>
          <w:sz w:val="32"/>
          <w:szCs w:val="32"/>
          <w:lang w:val="en-US" w:eastAsia="zh-CN"/>
        </w:rPr>
        <w:t>6</w:t>
      </w:r>
      <w:r>
        <w:rPr>
          <w:rFonts w:hint="eastAsia" w:ascii="仿宋" w:hAnsi="仿宋" w:eastAsia="仿宋"/>
          <w:sz w:val="32"/>
          <w:szCs w:val="32"/>
        </w:rPr>
        <w:t>辆，一般执法执勤用车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辆，特种专业技术用车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辆，其他用车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辆。单位价值50万元以上通用设备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r>
        <w:rPr>
          <w:rFonts w:hint="eastAsia" w:ascii="仿宋" w:hAnsi="仿宋" w:eastAsia="仿宋"/>
          <w:sz w:val="32"/>
          <w:szCs w:val="32"/>
        </w:rPr>
        <w:t>单位价值100万元以上专用设备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jc w:val="center"/>
        <w:rPr>
          <w:rFonts w:ascii="宋体" w:hAnsi="宋体" w:eastAsia="宋体"/>
          <w:b/>
          <w:sz w:val="40"/>
        </w:rPr>
      </w:pPr>
      <w:r>
        <w:rPr>
          <w:rFonts w:hint="eastAsia" w:ascii="宋体" w:hAnsi="宋体" w:eastAsia="宋体"/>
          <w:b/>
          <w:sz w:val="40"/>
        </w:rPr>
        <w:t>第四部分 名词解释</w:t>
      </w:r>
    </w:p>
    <w:p>
      <w:pPr>
        <w:jc w:val="center"/>
        <w:rPr>
          <w:rFonts w:ascii="宋体" w:hAnsi="宋体" w:eastAsia="宋体"/>
          <w:b/>
          <w:sz w:val="40"/>
        </w:rPr>
      </w:pP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一、财政拨款收入：指财政当年拨付的资金。</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二、事业收入：指事业单位开展专业业务活动及辅助活动所取得的收入。</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三、经营收入：指事业单位在专业业务活动及其辅助活动之外开展非独立核算经营活动取得的收入。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四、其他收入：指除上述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等以外的收入。主要是按规定动用的售房收入、存款利息收入等。</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五、用事业基金弥补收支差额：指事业单位在当年的</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其他收入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color w:val="000000"/>
          <w:kern w:val="0"/>
          <w:sz w:val="32"/>
          <w:szCs w:val="32"/>
        </w:rPr>
        <w:t xml:space="preserve"> </w:t>
      </w:r>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六、年初结转和结余：指以前年度尚未完成、结转到本年按有关规定继续使用的资金。</w:t>
      </w:r>
    </w:p>
    <w:p>
      <w:pPr>
        <w:pStyle w:val="9"/>
        <w:spacing w:line="600" w:lineRule="exact"/>
        <w:ind w:firstLine="640" w:firstLineChars="200"/>
        <w:rPr>
          <w:rFonts w:hAnsi="仿宋"/>
          <w:sz w:val="32"/>
          <w:szCs w:val="32"/>
        </w:rPr>
      </w:pPr>
      <w:r>
        <w:rPr>
          <w:rFonts w:hint="eastAsia" w:hAnsi="仿宋"/>
          <w:sz w:val="32"/>
          <w:szCs w:val="32"/>
        </w:rPr>
        <w:t>七、结余分配：指事业单位按规定提取的职工福利基金、事业基金和缴纳的所得税，以及建设单位按规定应交回的基本建设竣工项目结余资金。</w:t>
      </w:r>
      <w:r>
        <w:rPr>
          <w:rFonts w:hAnsi="仿宋"/>
          <w:sz w:val="32"/>
          <w:szCs w:val="32"/>
        </w:rPr>
        <w:t xml:space="preserve"> </w:t>
      </w:r>
    </w:p>
    <w:p>
      <w:pPr>
        <w:pStyle w:val="9"/>
        <w:spacing w:line="600" w:lineRule="exact"/>
        <w:ind w:firstLine="640"/>
        <w:rPr>
          <w:rFonts w:hAnsi="仿宋"/>
          <w:sz w:val="32"/>
          <w:szCs w:val="32"/>
        </w:rPr>
      </w:pPr>
      <w:r>
        <w:rPr>
          <w:rFonts w:hint="eastAsia" w:hAnsi="仿宋"/>
          <w:sz w:val="32"/>
          <w:szCs w:val="32"/>
        </w:rPr>
        <w:t>八、年末结转和结余：指本年度或以前年度预算安排、因客观条件发生变化无法按原计划实施，需延迟到以后年度按有关规定继续使用的资金。</w:t>
      </w:r>
      <w:r>
        <w:rPr>
          <w:rFonts w:hAnsi="仿宋"/>
          <w:sz w:val="32"/>
          <w:szCs w:val="32"/>
        </w:rPr>
        <w:t xml:space="preserve"> </w:t>
      </w:r>
    </w:p>
    <w:p>
      <w:pPr>
        <w:pStyle w:val="9"/>
        <w:spacing w:line="600" w:lineRule="exact"/>
        <w:ind w:firstLine="640"/>
        <w:rPr>
          <w:rFonts w:hAnsi="仿宋"/>
          <w:sz w:val="32"/>
          <w:szCs w:val="32"/>
        </w:rPr>
      </w:pPr>
      <w:r>
        <w:rPr>
          <w:rFonts w:hint="eastAsia" w:hAnsi="仿宋"/>
          <w:sz w:val="32"/>
          <w:szCs w:val="32"/>
        </w:rPr>
        <w:t>九、基本支出：指为保障机构正常运转、完成日常工作任务而发生的人员支出和公用支出。</w:t>
      </w:r>
      <w:r>
        <w:rPr>
          <w:rFonts w:hAnsi="仿宋"/>
          <w:sz w:val="32"/>
          <w:szCs w:val="32"/>
        </w:rPr>
        <w:t xml:space="preserve"> </w:t>
      </w:r>
    </w:p>
    <w:p>
      <w:pPr>
        <w:pStyle w:val="9"/>
        <w:spacing w:line="600" w:lineRule="exact"/>
        <w:ind w:firstLine="640"/>
        <w:rPr>
          <w:rFonts w:hAnsi="仿宋"/>
          <w:sz w:val="32"/>
          <w:szCs w:val="32"/>
        </w:rPr>
      </w:pPr>
      <w:r>
        <w:rPr>
          <w:rFonts w:hint="eastAsia" w:hAnsi="仿宋"/>
          <w:sz w:val="32"/>
          <w:szCs w:val="32"/>
        </w:rPr>
        <w:t>十、项目支出：指在基本支出之外为完成特定行政任务和事业发展目标所发生的支出。</w:t>
      </w:r>
      <w:r>
        <w:rPr>
          <w:rFonts w:hAnsi="仿宋"/>
          <w:sz w:val="32"/>
          <w:szCs w:val="32"/>
        </w:rPr>
        <w:t xml:space="preserve"> </w:t>
      </w:r>
    </w:p>
    <w:p>
      <w:pPr>
        <w:pStyle w:val="9"/>
        <w:spacing w:line="600" w:lineRule="exact"/>
        <w:ind w:firstLine="640"/>
        <w:rPr>
          <w:rFonts w:hAnsi="仿宋"/>
          <w:sz w:val="32"/>
          <w:szCs w:val="32"/>
        </w:rPr>
      </w:pPr>
      <w:r>
        <w:rPr>
          <w:rFonts w:hint="eastAsia" w:hAnsi="仿宋"/>
          <w:sz w:val="32"/>
          <w:szCs w:val="32"/>
        </w:rPr>
        <w:t>十一、经营支出：指事业单位在专业业务活动及其辅助活动之外开展非独立核算经营活动发生的支出。</w:t>
      </w:r>
      <w:r>
        <w:rPr>
          <w:rFonts w:hAnsi="仿宋"/>
          <w:sz w:val="32"/>
          <w:szCs w:val="32"/>
        </w:rPr>
        <w:t xml:space="preserve"> </w:t>
      </w:r>
    </w:p>
    <w:p>
      <w:pPr>
        <w:pStyle w:val="9"/>
        <w:spacing w:line="600" w:lineRule="exact"/>
        <w:ind w:firstLine="640"/>
        <w:rPr>
          <w:rFonts w:hAnsi="仿宋"/>
          <w:sz w:val="32"/>
          <w:szCs w:val="32"/>
        </w:rPr>
      </w:pPr>
      <w:r>
        <w:rPr>
          <w:rFonts w:hint="eastAsia" w:hAnsi="仿宋"/>
          <w:sz w:val="32"/>
          <w:szCs w:val="32"/>
        </w:rPr>
        <w:t>十二、</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w:t>
      </w:r>
      <w:r>
        <w:rPr>
          <w:rFonts w:hAnsi="仿宋"/>
          <w:sz w:val="32"/>
          <w:szCs w:val="32"/>
        </w:rPr>
        <w:t xml:space="preserve"> </w:t>
      </w:r>
    </w:p>
    <w:p>
      <w:pPr>
        <w:ind w:firstLine="640" w:firstLineChars="200"/>
        <w:jc w:val="left"/>
        <w:rPr>
          <w:rFonts w:ascii="宋体" w:hAnsi="宋体" w:eastAsia="宋体"/>
          <w:b/>
          <w:sz w:val="40"/>
        </w:rPr>
      </w:pPr>
      <w:r>
        <w:rPr>
          <w:rFonts w:hint="eastAsia" w:ascii="仿宋" w:hAnsi="仿宋" w:eastAsia="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bookmarkEnd w:id="2"/>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10</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585176"/>
    <w:multiLevelType w:val="singleLevel"/>
    <w:tmpl w:val="BD585176"/>
    <w:lvl w:ilvl="0" w:tentative="0">
      <w:start w:val="5"/>
      <w:numFmt w:val="chineseCounting"/>
      <w:suff w:val="nothing"/>
      <w:lvlText w:val="%1、"/>
      <w:lvlJc w:val="left"/>
      <w:rPr>
        <w:rFonts w:hint="eastAsia"/>
      </w:rPr>
    </w:lvl>
  </w:abstractNum>
  <w:abstractNum w:abstractNumId="1">
    <w:nsid w:val="142D0EA6"/>
    <w:multiLevelType w:val="singleLevel"/>
    <w:tmpl w:val="142D0EA6"/>
    <w:lvl w:ilvl="0" w:tentative="0">
      <w:start w:val="2"/>
      <w:numFmt w:val="chineseCounting"/>
      <w:suff w:val="nothing"/>
      <w:lvlText w:val="%1、"/>
      <w:lvlJc w:val="left"/>
      <w:rPr>
        <w:rFonts w:hint="eastAsia"/>
      </w:rPr>
    </w:lvl>
  </w:abstractNum>
  <w:abstractNum w:abstractNumId="2">
    <w:nsid w:val="417D660B"/>
    <w:multiLevelType w:val="singleLevel"/>
    <w:tmpl w:val="417D660B"/>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0"/>
    <w:rsid w:val="00134215"/>
    <w:rsid w:val="0014464B"/>
    <w:rsid w:val="00162161"/>
    <w:rsid w:val="00167378"/>
    <w:rsid w:val="00244E2B"/>
    <w:rsid w:val="00317140"/>
    <w:rsid w:val="00353125"/>
    <w:rsid w:val="00445C9B"/>
    <w:rsid w:val="004D696A"/>
    <w:rsid w:val="005B00AC"/>
    <w:rsid w:val="006C4713"/>
    <w:rsid w:val="00753E47"/>
    <w:rsid w:val="007C60CF"/>
    <w:rsid w:val="008071E4"/>
    <w:rsid w:val="00880C2D"/>
    <w:rsid w:val="008A73C5"/>
    <w:rsid w:val="009C7FB5"/>
    <w:rsid w:val="00A4118D"/>
    <w:rsid w:val="00A855BE"/>
    <w:rsid w:val="00C02DE3"/>
    <w:rsid w:val="00C43C36"/>
    <w:rsid w:val="00C7095D"/>
    <w:rsid w:val="00CC6B40"/>
    <w:rsid w:val="00E05319"/>
    <w:rsid w:val="00E332A8"/>
    <w:rsid w:val="00FE6949"/>
    <w:rsid w:val="06127B07"/>
    <w:rsid w:val="085A7F31"/>
    <w:rsid w:val="0BCB0E68"/>
    <w:rsid w:val="125A0C7C"/>
    <w:rsid w:val="17D5541C"/>
    <w:rsid w:val="35B93933"/>
    <w:rsid w:val="39D440D8"/>
    <w:rsid w:val="45433AAF"/>
    <w:rsid w:val="4D424BF3"/>
    <w:rsid w:val="51A173B9"/>
    <w:rsid w:val="554F625A"/>
    <w:rsid w:val="5BCD1176"/>
    <w:rsid w:val="6B333AEC"/>
    <w:rsid w:val="72A641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link w:val="13"/>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4">
    <w:name w:val="Balloon Text"/>
    <w:basedOn w:val="1"/>
    <w:link w:val="14"/>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9">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0">
    <w:name w:val="列出段落1"/>
    <w:basedOn w:val="1"/>
    <w:qFormat/>
    <w:uiPriority w:val="34"/>
    <w:pPr>
      <w:ind w:firstLine="420" w:firstLineChars="200"/>
    </w:p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正文文本 Char"/>
    <w:basedOn w:val="8"/>
    <w:link w:val="3"/>
    <w:qFormat/>
    <w:uiPriority w:val="1"/>
    <w:rPr>
      <w:rFonts w:ascii="Times New Roman" w:hAnsi="Times New Roman" w:eastAsia="Times New Roman" w:cs="Times New Roman"/>
      <w:kern w:val="0"/>
      <w:sz w:val="20"/>
      <w:szCs w:val="20"/>
      <w:lang w:eastAsia="en-US"/>
    </w:rPr>
  </w:style>
  <w:style w:type="character" w:customStyle="1" w:styleId="14">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2102</Words>
  <Characters>2230</Characters>
  <Lines>278</Lines>
  <Paragraphs>196</Paragraphs>
  <TotalTime>6</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游较瘦游来游去</cp:lastModifiedBy>
  <dcterms:modified xsi:type="dcterms:W3CDTF">2020-02-27T01:42:24Z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