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21"/>
        </w:rPr>
      </w:pPr>
    </w:p>
    <w:p>
      <w:pPr>
        <w:jc w:val="distribute"/>
        <w:rPr>
          <w:rFonts w:hint="eastAsia" w:ascii="方正小标宋简体" w:eastAsia="方正小标宋简体"/>
          <w:color w:val="FF0000"/>
          <w:w w:val="75"/>
          <w:sz w:val="124"/>
          <w:szCs w:val="124"/>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1287780</wp:posOffset>
                </wp:positionV>
                <wp:extent cx="5715000" cy="0"/>
                <wp:effectExtent l="0" t="28575" r="0" b="32385"/>
                <wp:wrapNone/>
                <wp:docPr id="2" name="直接连接符 2"/>
                <wp:cNvGraphicFramePr/>
                <a:graphic xmlns:a="http://schemas.openxmlformats.org/drawingml/2006/main">
                  <a:graphicData uri="http://schemas.microsoft.com/office/word/2010/wordprocessingShape">
                    <wps:wsp>
                      <wps:cNvSpPr/>
                      <wps:spPr>
                        <a:xfrm flipV="1">
                          <a:off x="0" y="0"/>
                          <a:ext cx="57150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101.4pt;height:0pt;width:450pt;z-index:251658240;mso-width-relative:page;mso-height-relative:page;" filled="f" stroked="t" coordsize="21600,21600" o:gfxdata="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ZCN1wAAAAsB&#10;AAAPAAAAAAAAAAEAIAAAACIAAABkcnMvZG93bnJldi54bWxQSwECFAAUAAAACACHTuJAgc7wJOMB&#10;AACnAwAADgAAAAAAAAABACAAAAAmAQAAZHJzL2Uyb0RvYy54bWxQSwUGAAAAAAYABgBZAQAAewUA&#10;AAAA&#10;">
                <v:path arrowok="t"/>
                <v:fill on="f" focussize="0,0"/>
                <v:stroke weight="4.5pt" color="#FF0000" linestyle="thickThin"/>
                <v:imagedata o:title=""/>
                <o:lock v:ext="edit"/>
              </v:line>
            </w:pict>
          </mc:Fallback>
        </mc:AlternateContent>
      </w:r>
      <w:r>
        <w:rPr>
          <w:rFonts w:hint="eastAsia" w:ascii="方正小标宋简体" w:eastAsia="方正小标宋简体"/>
          <w:color w:val="FF0000"/>
          <w:w w:val="75"/>
          <w:sz w:val="124"/>
          <w:szCs w:val="124"/>
        </w:rPr>
        <w:t>福州市教育局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福州市教育局</w:t>
      </w: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开展</w:t>
      </w:r>
      <w:r>
        <w:rPr>
          <w:rFonts w:hint="eastAsia" w:ascii="方正小标宋简体" w:hAnsi="方正小标宋简体" w:eastAsia="方正小标宋简体" w:cs="方正小标宋简体"/>
          <w:b w:val="0"/>
          <w:bCs w:val="0"/>
          <w:sz w:val="44"/>
          <w:szCs w:val="44"/>
          <w:lang w:val="en-US" w:eastAsia="zh-CN"/>
        </w:rPr>
        <w:t>农村义务教育学生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营养改善计划调研工作的通知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各有关县（市)区教育局：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为贯彻落实好《福建省教育厅等十</w:t>
      </w:r>
      <w:r>
        <w:rPr>
          <w:rFonts w:hint="eastAsia" w:ascii="仿宋_GB2312" w:hAnsi="仿宋_GB2312" w:eastAsia="仿宋_GB2312" w:cs="仿宋_GB2312"/>
          <w:sz w:val="32"/>
          <w:szCs w:val="32"/>
          <w:lang w:val="en-US" w:eastAsia="zh-CN"/>
        </w:rPr>
        <w:t>二部门关于印发福建省义务教育学生营养改善计划（2018—2020年）实施方案的通知》（闽教财〔2018〕3号）、《福建省教育厅关于开展“克扣义务教育阶段学生营养餐费及补助”等问题整治工作的通知》（闽教学[2020]30号）等文件精神，做好农村义务教育营养改善计划“集中采购、统一配送、协同监管”等工作，拟计划前往泉州洛江区教育局开展农村义务教育学生营养改善计划调研工作。现将有关事宜通知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一、时间</w:t>
      </w:r>
      <w:r>
        <w:rPr>
          <w:rFonts w:hint="eastAsia" w:ascii="黑体" w:hAnsi="黑体" w:eastAsia="黑体" w:cs="黑体"/>
          <w:b w:val="0"/>
          <w:bCs/>
          <w:sz w:val="32"/>
          <w:szCs w:val="32"/>
          <w:lang w:eastAsia="zh-CN"/>
        </w:rPr>
        <w:t>安排</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10-11</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调研泉州洛江区农村义务教育学生营养改善计划的实施现状，学习其食材集采，学生营养监测，食堂智能化管理等先进经验</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调研组</w:t>
      </w:r>
      <w:r>
        <w:rPr>
          <w:rFonts w:hint="eastAsia" w:ascii="黑体" w:hAnsi="黑体" w:eastAsia="黑体" w:cs="黑体"/>
          <w:b w:val="0"/>
          <w:bCs/>
          <w:sz w:val="32"/>
          <w:szCs w:val="32"/>
        </w:rPr>
        <w:t>成员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各县（市）区学生资助工作负责人或经办</w:t>
      </w:r>
      <w:r>
        <w:rPr>
          <w:rFonts w:hint="eastAsia" w:ascii="仿宋_GB2312" w:hAnsi="仿宋_GB2312" w:eastAsia="仿宋_GB2312" w:cs="仿宋_GB2312"/>
          <w:sz w:val="32"/>
          <w:szCs w:val="32"/>
          <w:lang w:val="en-US" w:eastAsia="zh-CN"/>
        </w:rPr>
        <w:t>1名及辖区学校资助工作负责人或经办1名，共计2名；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2.福州市教育局财务处工作人员1名；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3.福州市教育服务与学生资助中心工作人员1名。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人员交通、住宿等差旅费用回原单位报销。</w:t>
      </w:r>
      <w:r>
        <w:rPr>
          <w:rFonts w:hint="eastAsia" w:ascii="仿宋_GB2312" w:hAnsi="仿宋_GB2312" w:eastAsia="仿宋_GB2312" w:cs="仿宋_GB2312"/>
          <w:sz w:val="32"/>
          <w:szCs w:val="32"/>
          <w:lang w:eastAsia="zh-CN"/>
        </w:rPr>
        <w:t>请各单位于</w:t>
      </w:r>
      <w:r>
        <w:rPr>
          <w:rFonts w:hint="eastAsia" w:ascii="仿宋_GB2312" w:hAnsi="仿宋_GB2312" w:eastAsia="仿宋_GB2312" w:cs="仿宋_GB2312"/>
          <w:sz w:val="32"/>
          <w:szCs w:val="32"/>
          <w:lang w:val="en-US" w:eastAsia="zh-CN"/>
        </w:rPr>
        <w:t>2020年6月7日前填报“</w:t>
      </w:r>
      <w:r>
        <w:rPr>
          <w:rFonts w:hint="eastAsia" w:ascii="仿宋_GB2312" w:hAnsi="仿宋_GB2312" w:eastAsia="仿宋_GB2312" w:cs="仿宋_GB2312"/>
          <w:sz w:val="32"/>
          <w:szCs w:val="32"/>
          <w:lang w:eastAsia="zh-CN"/>
        </w:rPr>
        <w:t>各县（市）区参加</w:t>
      </w:r>
      <w:r>
        <w:rPr>
          <w:rFonts w:hint="eastAsia" w:ascii="仿宋_GB2312" w:hAnsi="仿宋_GB2312" w:eastAsia="仿宋_GB2312" w:cs="仿宋_GB2312"/>
          <w:sz w:val="32"/>
          <w:szCs w:val="32"/>
          <w:lang w:val="en-US" w:eastAsia="zh-CN"/>
        </w:rPr>
        <w:t>农村义务教育学生营养改善计划调研名单”，加盖公章，拍照传至邮箱：17606206@qq.com。</w:t>
      </w:r>
      <w:r>
        <w:rPr>
          <w:rFonts w:hint="eastAsia" w:ascii="仿宋_GB2312" w:hAnsi="仿宋_GB2312" w:eastAsia="仿宋_GB2312" w:cs="仿宋_GB2312"/>
          <w:sz w:val="32"/>
          <w:szCs w:val="32"/>
          <w:lang w:eastAsia="zh-CN"/>
        </w:rPr>
        <w:t>联系人：林冬梅，电话：</w:t>
      </w:r>
      <w:r>
        <w:rPr>
          <w:rFonts w:hint="eastAsia" w:ascii="仿宋_GB2312" w:hAnsi="仿宋_GB2312" w:eastAsia="仿宋_GB2312" w:cs="仿宋_GB2312"/>
          <w:sz w:val="32"/>
          <w:szCs w:val="32"/>
          <w:lang w:val="en-US" w:eastAsia="zh-CN"/>
        </w:rPr>
        <w:t>15305013677。</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附件：各县（市）区参加</w:t>
      </w:r>
      <w:r>
        <w:rPr>
          <w:rFonts w:hint="eastAsia" w:ascii="仿宋_GB2312" w:hAnsi="仿宋_GB2312" w:eastAsia="仿宋_GB2312" w:cs="仿宋_GB2312"/>
          <w:sz w:val="32"/>
          <w:szCs w:val="32"/>
          <w:lang w:val="en-US" w:eastAsia="zh-CN"/>
        </w:rPr>
        <w:t>农村义务教育学生营养改善调研名单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福州市教育局</w:t>
      </w:r>
    </w:p>
    <w:p>
      <w:pPr>
        <w:keepNext w:val="0"/>
        <w:keepLines w:val="0"/>
        <w:pageBreakBefore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2020年6月4日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p>
    <w:p>
      <w:pPr>
        <w:spacing w:line="240" w:lineRule="auto"/>
        <w:ind w:firstLine="640" w:firstLineChars="200"/>
        <w:rPr>
          <w:rFonts w:hint="eastAsia" w:ascii="仿宋_GB2312" w:hAnsi="仿宋_GB2312" w:eastAsia="仿宋_GB2312" w:cs="仿宋_GB2312"/>
          <w:sz w:val="32"/>
          <w:szCs w:val="32"/>
          <w:lang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24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各县（市）区参加</w:t>
      </w:r>
      <w:r>
        <w:rPr>
          <w:rFonts w:hint="eastAsia" w:ascii="仿宋_GB2312" w:hAnsi="仿宋_GB2312" w:eastAsia="仿宋_GB2312" w:cs="仿宋_GB2312"/>
          <w:b/>
          <w:bCs/>
          <w:sz w:val="32"/>
          <w:szCs w:val="32"/>
          <w:lang w:val="en-US" w:eastAsia="zh-CN"/>
        </w:rPr>
        <w:t>农村义务教育学生营养改善计划调研名单</w:t>
      </w:r>
    </w:p>
    <w:p>
      <w:pPr>
        <w:spacing w:line="240" w:lineRule="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填报单位（盖章）：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填报日期：</w:t>
      </w:r>
      <w:r>
        <w:rPr>
          <w:rFonts w:hint="eastAsia" w:ascii="仿宋_GB2312" w:hAnsi="仿宋_GB2312" w:eastAsia="仿宋_GB2312" w:cs="仿宋_GB2312"/>
          <w:sz w:val="32"/>
          <w:szCs w:val="32"/>
          <w:u w:val="single"/>
          <w:lang w:val="en-US" w:eastAsia="zh-CN"/>
        </w:rPr>
        <w:t xml:space="preserve">         </w:t>
      </w:r>
    </w:p>
    <w:tbl>
      <w:tblPr>
        <w:tblStyle w:val="6"/>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392"/>
        <w:gridCol w:w="1812"/>
        <w:gridCol w:w="1860"/>
        <w:gridCol w:w="172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1" w:type="dxa"/>
          </w:tcPr>
          <w:p>
            <w:pPr>
              <w:spacing w:line="24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392" w:type="dxa"/>
          </w:tcPr>
          <w:p>
            <w:pPr>
              <w:spacing w:line="24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1812" w:type="dxa"/>
          </w:tcPr>
          <w:p>
            <w:pPr>
              <w:spacing w:line="24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860" w:type="dxa"/>
          </w:tcPr>
          <w:p>
            <w:pPr>
              <w:spacing w:line="24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职务</w:t>
            </w:r>
          </w:p>
        </w:tc>
        <w:tc>
          <w:tcPr>
            <w:tcW w:w="1728" w:type="dxa"/>
          </w:tcPr>
          <w:p>
            <w:pPr>
              <w:spacing w:line="24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电话</w:t>
            </w:r>
          </w:p>
        </w:tc>
        <w:tc>
          <w:tcPr>
            <w:tcW w:w="1188" w:type="dxa"/>
          </w:tcPr>
          <w:p>
            <w:pPr>
              <w:spacing w:line="24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spacing w:line="240" w:lineRule="auto"/>
              <w:rPr>
                <w:rFonts w:hint="eastAsia" w:ascii="仿宋_GB2312" w:hAnsi="仿宋_GB2312" w:eastAsia="仿宋_GB2312" w:cs="仿宋_GB2312"/>
                <w:sz w:val="32"/>
                <w:szCs w:val="32"/>
                <w:vertAlign w:val="baseline"/>
                <w:lang w:val="en-US" w:eastAsia="zh-CN"/>
              </w:rPr>
            </w:pPr>
          </w:p>
        </w:tc>
        <w:tc>
          <w:tcPr>
            <w:tcW w:w="1392" w:type="dxa"/>
          </w:tcPr>
          <w:p>
            <w:pPr>
              <w:spacing w:line="240" w:lineRule="auto"/>
              <w:rPr>
                <w:rFonts w:hint="eastAsia" w:ascii="仿宋_GB2312" w:hAnsi="仿宋_GB2312" w:eastAsia="仿宋_GB2312" w:cs="仿宋_GB2312"/>
                <w:sz w:val="32"/>
                <w:szCs w:val="32"/>
                <w:vertAlign w:val="baseline"/>
                <w:lang w:val="en-US" w:eastAsia="zh-CN"/>
              </w:rPr>
            </w:pPr>
          </w:p>
        </w:tc>
        <w:tc>
          <w:tcPr>
            <w:tcW w:w="1812" w:type="dxa"/>
          </w:tcPr>
          <w:p>
            <w:pPr>
              <w:spacing w:line="240" w:lineRule="auto"/>
              <w:rPr>
                <w:rFonts w:hint="eastAsia" w:ascii="仿宋_GB2312" w:hAnsi="仿宋_GB2312" w:eastAsia="仿宋_GB2312" w:cs="仿宋_GB2312"/>
                <w:sz w:val="32"/>
                <w:szCs w:val="32"/>
                <w:vertAlign w:val="baseline"/>
                <w:lang w:val="en-US" w:eastAsia="zh-CN"/>
              </w:rPr>
            </w:pPr>
          </w:p>
        </w:tc>
        <w:tc>
          <w:tcPr>
            <w:tcW w:w="1860" w:type="dxa"/>
          </w:tcPr>
          <w:p>
            <w:pPr>
              <w:spacing w:line="240" w:lineRule="auto"/>
              <w:rPr>
                <w:rFonts w:hint="eastAsia" w:ascii="仿宋_GB2312" w:hAnsi="仿宋_GB2312" w:eastAsia="仿宋_GB2312" w:cs="仿宋_GB2312"/>
                <w:sz w:val="32"/>
                <w:szCs w:val="32"/>
                <w:vertAlign w:val="baseline"/>
                <w:lang w:val="en-US" w:eastAsia="zh-CN"/>
              </w:rPr>
            </w:pPr>
          </w:p>
        </w:tc>
        <w:tc>
          <w:tcPr>
            <w:tcW w:w="1728" w:type="dxa"/>
          </w:tcPr>
          <w:p>
            <w:pPr>
              <w:spacing w:line="240" w:lineRule="auto"/>
              <w:rPr>
                <w:rFonts w:hint="eastAsia" w:ascii="仿宋_GB2312" w:hAnsi="仿宋_GB2312" w:eastAsia="仿宋_GB2312" w:cs="仿宋_GB2312"/>
                <w:sz w:val="32"/>
                <w:szCs w:val="32"/>
                <w:vertAlign w:val="baseline"/>
                <w:lang w:val="en-US" w:eastAsia="zh-CN"/>
              </w:rPr>
            </w:pPr>
          </w:p>
        </w:tc>
        <w:tc>
          <w:tcPr>
            <w:tcW w:w="1188" w:type="dxa"/>
          </w:tcPr>
          <w:p>
            <w:pPr>
              <w:spacing w:line="240" w:lineRule="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spacing w:line="240" w:lineRule="auto"/>
              <w:rPr>
                <w:rFonts w:hint="eastAsia" w:ascii="仿宋_GB2312" w:hAnsi="仿宋_GB2312" w:eastAsia="仿宋_GB2312" w:cs="仿宋_GB2312"/>
                <w:sz w:val="32"/>
                <w:szCs w:val="32"/>
                <w:vertAlign w:val="baseline"/>
                <w:lang w:val="en-US" w:eastAsia="zh-CN"/>
              </w:rPr>
            </w:pPr>
          </w:p>
        </w:tc>
        <w:tc>
          <w:tcPr>
            <w:tcW w:w="1392" w:type="dxa"/>
          </w:tcPr>
          <w:p>
            <w:pPr>
              <w:spacing w:line="240" w:lineRule="auto"/>
              <w:rPr>
                <w:rFonts w:hint="eastAsia" w:ascii="仿宋_GB2312" w:hAnsi="仿宋_GB2312" w:eastAsia="仿宋_GB2312" w:cs="仿宋_GB2312"/>
                <w:sz w:val="32"/>
                <w:szCs w:val="32"/>
                <w:vertAlign w:val="baseline"/>
                <w:lang w:val="en-US" w:eastAsia="zh-CN"/>
              </w:rPr>
            </w:pPr>
          </w:p>
        </w:tc>
        <w:tc>
          <w:tcPr>
            <w:tcW w:w="1812" w:type="dxa"/>
          </w:tcPr>
          <w:p>
            <w:pPr>
              <w:spacing w:line="240" w:lineRule="auto"/>
              <w:rPr>
                <w:rFonts w:hint="eastAsia" w:ascii="仿宋_GB2312" w:hAnsi="仿宋_GB2312" w:eastAsia="仿宋_GB2312" w:cs="仿宋_GB2312"/>
                <w:sz w:val="32"/>
                <w:szCs w:val="32"/>
                <w:vertAlign w:val="baseline"/>
                <w:lang w:val="en-US" w:eastAsia="zh-CN"/>
              </w:rPr>
            </w:pPr>
          </w:p>
        </w:tc>
        <w:tc>
          <w:tcPr>
            <w:tcW w:w="1860" w:type="dxa"/>
          </w:tcPr>
          <w:p>
            <w:pPr>
              <w:spacing w:line="240" w:lineRule="auto"/>
              <w:rPr>
                <w:rFonts w:hint="eastAsia" w:ascii="仿宋_GB2312" w:hAnsi="仿宋_GB2312" w:eastAsia="仿宋_GB2312" w:cs="仿宋_GB2312"/>
                <w:sz w:val="32"/>
                <w:szCs w:val="32"/>
                <w:vertAlign w:val="baseline"/>
                <w:lang w:val="en-US" w:eastAsia="zh-CN"/>
              </w:rPr>
            </w:pPr>
          </w:p>
        </w:tc>
        <w:tc>
          <w:tcPr>
            <w:tcW w:w="1728" w:type="dxa"/>
          </w:tcPr>
          <w:p>
            <w:pPr>
              <w:spacing w:line="240" w:lineRule="auto"/>
              <w:rPr>
                <w:rFonts w:hint="eastAsia" w:ascii="仿宋_GB2312" w:hAnsi="仿宋_GB2312" w:eastAsia="仿宋_GB2312" w:cs="仿宋_GB2312"/>
                <w:sz w:val="32"/>
                <w:szCs w:val="32"/>
                <w:vertAlign w:val="baseline"/>
                <w:lang w:val="en-US" w:eastAsia="zh-CN"/>
              </w:rPr>
            </w:pPr>
          </w:p>
        </w:tc>
        <w:tc>
          <w:tcPr>
            <w:tcW w:w="1188" w:type="dxa"/>
          </w:tcPr>
          <w:p>
            <w:pPr>
              <w:spacing w:line="240" w:lineRule="auto"/>
              <w:rPr>
                <w:rFonts w:hint="eastAsia" w:ascii="仿宋_GB2312" w:hAnsi="仿宋_GB2312" w:eastAsia="仿宋_GB2312" w:cs="仿宋_GB2312"/>
                <w:sz w:val="32"/>
                <w:szCs w:val="32"/>
                <w:vertAlign w:val="baseline"/>
                <w:lang w:val="en-US" w:eastAsia="zh-CN"/>
              </w:rPr>
            </w:pPr>
          </w:p>
        </w:tc>
      </w:tr>
    </w:tbl>
    <w:p>
      <w:pPr>
        <w:spacing w:line="240" w:lineRule="auto"/>
        <w:ind w:firstLine="640" w:firstLineChars="200"/>
        <w:rPr>
          <w:rFonts w:hint="eastAsia" w:ascii="仿宋_GB2312" w:hAnsi="仿宋_GB2312" w:eastAsia="仿宋_GB2312" w:cs="仿宋_GB2312"/>
          <w:sz w:val="32"/>
          <w:szCs w:val="32"/>
          <w:lang w:val="en-US" w:eastAsia="zh-CN"/>
        </w:rPr>
      </w:pPr>
    </w:p>
    <w:p>
      <w:pPr>
        <w:rPr>
          <w:rFonts w:hint="eastAsia" w:ascii="方正小标宋简体" w:hAnsi="方正小标宋简体" w:eastAsia="方正小标宋简体" w:cs="方正小标宋简体"/>
          <w:b w:val="0"/>
          <w:bCs w:val="0"/>
          <w:sz w:val="44"/>
          <w:szCs w:val="44"/>
          <w:lang w:val="en-US" w:eastAsia="zh-CN"/>
        </w:rPr>
      </w:pPr>
    </w:p>
    <w:sectPr>
      <w:headerReference r:id="rId3" w:type="default"/>
      <w:footerReference r:id="rId4" w:type="default"/>
      <w:pgSz w:w="11906" w:h="16838"/>
      <w:pgMar w:top="2041" w:right="1587"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E3362"/>
    <w:rsid w:val="0BA94ED8"/>
    <w:rsid w:val="0BCC2AF2"/>
    <w:rsid w:val="17467173"/>
    <w:rsid w:val="19C9473C"/>
    <w:rsid w:val="1D0E3362"/>
    <w:rsid w:val="36C0717B"/>
    <w:rsid w:val="58F1419A"/>
    <w:rsid w:val="63F518EB"/>
    <w:rsid w:val="6673679A"/>
    <w:rsid w:val="66BA593D"/>
    <w:rsid w:val="6D66371E"/>
    <w:rsid w:val="798F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2020-06-03T08:58:00Z</dcterms:created>
  <dc:creator>ldm</dc:creator>
  <cp:lastModifiedBy>邱悦</cp:lastModifiedBy>
  <cp:lastPrinted>2020-06-04T02:21:36Z</cp:lastPrinted>
  <dcterms:modified xsi:type="dcterms:W3CDTF">2020-06-04T02:21:58Z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