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985"/>
        <w:gridCol w:w="1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865" w:hRule="exact"/>
          <w:jc w:val="center"/>
        </w:trPr>
        <w:tc>
          <w:tcPr>
            <w:tcW w:w="8843" w:type="dxa"/>
            <w:gridSpan w:val="2"/>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both"/>
              <w:textAlignment w:val="top"/>
              <w:outlineLvl w:val="9"/>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both"/>
              <w:textAlignment w:val="top"/>
              <w:outlineLvl w:val="9"/>
              <w:rPr>
                <w:rFonts w:hint="eastAsia" w:ascii="黑体" w:hAnsi="黑体" w:eastAsia="黑体" w:cs="黑体"/>
                <w:sz w:val="31"/>
                <w:szCs w:val="31"/>
                <w:lang w:val="en-US" w:eastAsia="zh-CN"/>
              </w:rPr>
            </w:pPr>
            <w:r>
              <w:rPr>
                <w:rFonts w:hint="default" w:ascii="黑体" w:hAnsi="黑体" w:eastAsia="黑体" w:cs="黑体"/>
                <w:sz w:val="31"/>
                <w:szCs w:val="31"/>
                <w:lang w:val="en"/>
              </w:rPr>
              <w:t xml:space="preserve"> </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both"/>
              <w:textAlignment w:val="top"/>
              <w:outlineLvl w:val="9"/>
              <w:rPr>
                <w:rFonts w:hint="eastAsia" w:ascii="黑体" w:hAnsi="黑体" w:eastAsia="黑体" w:cs="黑体"/>
                <w:sz w:val="31"/>
                <w:szCs w:val="3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446" w:hRule="atLeast"/>
          <w:jc w:val="center"/>
        </w:trPr>
        <w:tc>
          <w:tcPr>
            <w:tcW w:w="6985" w:type="dxa"/>
            <w:tcBorders>
              <w:tl2br w:val="nil"/>
              <w:tr2bl w:val="nil"/>
            </w:tcBorders>
            <w:noWrap w:val="0"/>
            <w:vAlign w:val="center"/>
          </w:tcPr>
          <w:p>
            <w:pPr>
              <w:keepNext w:val="0"/>
              <w:keepLines w:val="0"/>
              <w:pageBreakBefore w:val="0"/>
              <w:widowControl w:val="0"/>
              <w:tabs>
                <w:tab w:val="right" w:pos="210"/>
              </w:tabs>
              <w:kinsoku/>
              <w:wordWrap/>
              <w:overflowPunct/>
              <w:topLinePunct w:val="0"/>
              <w:autoSpaceDE/>
              <w:autoSpaceDN/>
              <w:bidi w:val="0"/>
              <w:adjustRightInd/>
              <w:snapToGrid/>
              <w:spacing w:line="1240" w:lineRule="exact"/>
              <w:ind w:left="-301" w:leftChars="-95" w:right="0" w:rightChars="0" w:firstLine="196" w:firstLineChars="30"/>
              <w:jc w:val="right"/>
              <w:textAlignment w:val="center"/>
              <w:outlineLvl w:val="9"/>
              <w:rPr>
                <w:rFonts w:hint="eastAsia" w:ascii="方正小标宋_GBK" w:eastAsia="方正小标宋_GBK"/>
                <w:color w:val="FF0000"/>
                <w:sz w:val="108"/>
                <w:szCs w:val="108"/>
              </w:rPr>
            </w:pPr>
            <w:r>
              <w:rPr>
                <w:rFonts w:hint="eastAsia" w:ascii="方正小标宋简体" w:hAnsi="方正小标宋简体" w:eastAsia="方正小标宋简体" w:cs="方正小标宋简体"/>
                <w:snapToGrid w:val="0"/>
                <w:color w:val="FF0000"/>
                <w:spacing w:val="0"/>
                <w:w w:val="60"/>
                <w:kern w:val="0"/>
                <w:sz w:val="108"/>
                <w:szCs w:val="108"/>
                <w:lang w:eastAsia="zh-CN"/>
              </w:rPr>
              <w:t>福建省人民政府办公厅</w:t>
            </w:r>
          </w:p>
        </w:tc>
        <w:tc>
          <w:tcPr>
            <w:tcW w:w="18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1240" w:lineRule="exact"/>
              <w:ind w:left="0" w:leftChars="0" w:right="0" w:rightChars="0" w:firstLine="0" w:firstLineChars="0"/>
              <w:jc w:val="both"/>
              <w:textAlignment w:val="center"/>
              <w:outlineLvl w:val="9"/>
              <w:rPr>
                <w:rFonts w:hint="eastAsia" w:ascii="方正小标宋_GBK" w:eastAsia="方正小标宋_GBK"/>
                <w:color w:val="FF0000"/>
                <w:sz w:val="110"/>
                <w:szCs w:val="110"/>
              </w:rPr>
            </w:pPr>
            <w:r>
              <w:rPr>
                <w:rFonts w:hint="eastAsia" w:ascii="方正小标宋简体" w:hAnsi="方正小标宋简体" w:eastAsia="方正小标宋简体" w:cs="方正小标宋简体"/>
                <w:snapToGrid w:val="0"/>
                <w:color w:val="FF0000"/>
                <w:spacing w:val="0"/>
                <w:w w:val="60"/>
                <w:kern w:val="0"/>
                <w:sz w:val="108"/>
                <w:szCs w:val="108"/>
                <w:lang w:eastAsia="zh-CN"/>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2" w:hRule="exact"/>
          <w:jc w:val="center"/>
        </w:trPr>
        <w:tc>
          <w:tcPr>
            <w:tcW w:w="884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96" w:lineRule="exact"/>
              <w:jc w:val="both"/>
              <w:textAlignment w:val="auto"/>
              <w:outlineLvl w:val="9"/>
              <w:rPr>
                <w:rFonts w:hint="eastAsia" w:ascii="仿宋_GB2312" w:hAnsi="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0" w:hRule="atLeast"/>
          <w:jc w:val="center"/>
        </w:trPr>
        <w:tc>
          <w:tcPr>
            <w:tcW w:w="884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96" w:lineRule="exact"/>
              <w:ind w:left="317" w:leftChars="100" w:right="317" w:rightChars="1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1"/>
                <w:szCs w:val="32"/>
                <w:lang w:val="en"/>
              </w:rPr>
              <w:t>闽政办</w:t>
            </w:r>
            <w:r>
              <w:rPr>
                <w:rFonts w:hint="eastAsia" w:ascii="仿宋_GB2312" w:hAnsi="仿宋_GB2312" w:eastAsia="仿宋_GB2312" w:cs="仿宋_GB2312"/>
                <w:sz w:val="32"/>
                <w:szCs w:val="32"/>
              </w:rPr>
              <w:t>〔</w:t>
            </w:r>
            <w:r>
              <w:rPr>
                <w:rFonts w:hint="eastAsia" w:ascii="仿宋_GB2312" w:hAnsi="仿宋_GB2312" w:eastAsia="仿宋_GB2312" w:cs="仿宋_GB2312"/>
                <w:sz w:val="31"/>
                <w:szCs w:val="32"/>
                <w:lang w:val="en"/>
              </w:rPr>
              <w:t>2021</w:t>
            </w:r>
            <w:r>
              <w:rPr>
                <w:rFonts w:hint="eastAsia" w:ascii="仿宋_GB2312" w:hAnsi="仿宋_GB2312" w:eastAsia="仿宋_GB2312" w:cs="仿宋_GB2312"/>
                <w:sz w:val="32"/>
                <w:szCs w:val="32"/>
              </w:rPr>
              <w:t>〕</w:t>
            </w:r>
            <w:r>
              <w:rPr>
                <w:rFonts w:hint="default" w:ascii="仿宋_GB2312" w:hAnsi="仿宋_GB2312" w:cs="仿宋_GB2312"/>
                <w:sz w:val="32"/>
                <w:szCs w:val="32"/>
                <w:lang w:val="en"/>
              </w:rPr>
              <w:t>39</w:t>
            </w:r>
            <w:r>
              <w:rPr>
                <w:rFonts w:hint="eastAsia" w:ascii="仿宋_GB2312" w:hAnsi="仿宋_GB2312" w:eastAsia="仿宋_GB2312" w:cs="仿宋_GB2312"/>
                <w:sz w:val="32"/>
                <w:szCs w:val="32"/>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02" w:hRule="exact"/>
          <w:jc w:val="center"/>
        </w:trPr>
        <w:tc>
          <w:tcPr>
            <w:tcW w:w="8843" w:type="dxa"/>
            <w:gridSpan w:val="2"/>
            <w:tcBorders>
              <w:bottom w:val="single" w:color="FF0000" w:sz="18" w:space="0"/>
              <w:tl2br w:val="nil"/>
              <w:tr2bl w:val="nil"/>
            </w:tcBorders>
            <w:noWrap w:val="0"/>
            <w:vAlign w:val="center"/>
          </w:tcPr>
          <w:p>
            <w:pPr>
              <w:keepNext w:val="0"/>
              <w:keepLines w:val="0"/>
              <w:pageBreakBefore w:val="0"/>
              <w:widowControl w:val="0"/>
              <w:kinsoku/>
              <w:overflowPunct/>
              <w:topLinePunct w:val="0"/>
              <w:autoSpaceDE/>
              <w:bidi w:val="0"/>
              <w:adjustRightInd/>
              <w:snapToGrid/>
              <w:spacing w:line="596" w:lineRule="exact"/>
              <w:jc w:val="center"/>
              <w:textAlignment w:val="auto"/>
              <w:outlineLvl w:val="9"/>
              <w:rPr>
                <w:rFonts w:hint="eastAsia" w:ascii="方正仿宋_GBK" w:hAnsi="方正仿宋_GBK"/>
                <w:b/>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83" w:hRule="atLeast"/>
          <w:jc w:val="center"/>
        </w:trPr>
        <w:tc>
          <w:tcPr>
            <w:tcW w:w="8843" w:type="dxa"/>
            <w:gridSpan w:val="2"/>
            <w:tcBorders>
              <w:top w:val="single" w:color="FF0000" w:sz="18" w:space="0"/>
              <w:tl2br w:val="nil"/>
              <w:tr2bl w:val="nil"/>
            </w:tcBorders>
            <w:noWrap w:val="0"/>
            <w:vAlign w:val="center"/>
          </w:tcPr>
          <w:p>
            <w:pPr>
              <w:keepNext w:val="0"/>
              <w:keepLines w:val="0"/>
              <w:pageBreakBefore w:val="0"/>
              <w:widowControl w:val="0"/>
              <w:tabs>
                <w:tab w:val="left" w:pos="3808"/>
              </w:tabs>
              <w:kinsoku/>
              <w:wordWrap/>
              <w:overflowPunct/>
              <w:topLinePunct w:val="0"/>
              <w:autoSpaceDE/>
              <w:autoSpaceDN/>
              <w:bidi w:val="0"/>
              <w:adjustRightInd w:val="0"/>
              <w:snapToGrid w:val="0"/>
              <w:spacing w:line="596" w:lineRule="exact"/>
              <w:jc w:val="center"/>
              <w:textAlignment w:val="top"/>
              <w:outlineLvl w:val="9"/>
              <w:rPr>
                <w:rFonts w:hint="eastAsia" w:ascii="仿宋_GB2312" w:hAnsi="仿宋_GB2312"/>
                <w:bCs/>
              </w:rPr>
            </w:pPr>
          </w:p>
          <w:p>
            <w:pPr>
              <w:keepNext w:val="0"/>
              <w:keepLines w:val="0"/>
              <w:pageBreakBefore w:val="0"/>
              <w:widowControl w:val="0"/>
              <w:tabs>
                <w:tab w:val="left" w:pos="3808"/>
              </w:tabs>
              <w:kinsoku/>
              <w:overflowPunct/>
              <w:topLinePunct w:val="0"/>
              <w:autoSpaceDE/>
              <w:bidi w:val="0"/>
              <w:adjustRightInd/>
              <w:snapToGrid/>
              <w:spacing w:line="596" w:lineRule="exact"/>
              <w:jc w:val="center"/>
              <w:textAlignment w:val="auto"/>
              <w:outlineLvl w:val="9"/>
              <w:rPr>
                <w:rFonts w:hint="eastAsia" w:ascii="仿宋_GB2312" w:hAnsi="仿宋_GB2312"/>
                <w:bCs/>
              </w:rPr>
            </w:pPr>
          </w:p>
        </w:tc>
      </w:tr>
    </w:tbl>
    <w:p>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right="0" w:rightChars="0" w:firstLine="0" w:firstLineChars="0"/>
        <w:jc w:val="center"/>
        <w:textAlignment w:val="top"/>
        <w:outlineLvl w:val="9"/>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福建省人民政府办公厅关于印发</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0" w:firstLineChars="0"/>
        <w:jc w:val="center"/>
        <w:textAlignment w:val="top"/>
        <w:outlineLvl w:val="9"/>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福建省服务“六稳”“六保”进一步做好“放管服”</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0" w:firstLineChars="0"/>
        <w:jc w:val="center"/>
        <w:textAlignment w:val="top"/>
        <w:outlineLvl w:val="9"/>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改革有关工作实施方案的通知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right="0" w:rightChars="0" w:firstLine="0" w:firstLineChars="0"/>
        <w:jc w:val="both"/>
        <w:textAlignment w:val="top"/>
        <w:outlineLvl w:val="9"/>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56" w:lineRule="exact"/>
        <w:ind w:right="0" w:rightChars="0" w:firstLine="0" w:firstLineChars="0"/>
        <w:jc w:val="both"/>
        <w:textAlignment w:val="top"/>
        <w:outlineLvl w:val="9"/>
        <w:rPr>
          <w:rFonts w:hint="eastAsia" w:ascii="仿宋_GB2312" w:hAnsi="仿宋_GB2312" w:eastAsia="仿宋_GB2312" w:cs="仿宋_GB2312"/>
          <w:spacing w:val="-11"/>
          <w:sz w:val="31"/>
          <w:szCs w:val="31"/>
          <w:highlight w:val="none"/>
        </w:rPr>
      </w:pPr>
      <w:r>
        <w:rPr>
          <w:rFonts w:hint="eastAsia" w:ascii="仿宋_GB2312" w:hAnsi="仿宋_GB2312" w:cs="仿宋_GB2312"/>
          <w:spacing w:val="-11"/>
          <w:sz w:val="31"/>
          <w:szCs w:val="31"/>
          <w:highlight w:val="none"/>
          <w:lang w:eastAsia="zh-CN"/>
        </w:rPr>
        <w:t>各市、县（区）人民政府，平潭综合实验区管委会，省人民政府各部门、各直属机构，各大企业，各高等院校</w:t>
      </w:r>
      <w:r>
        <w:rPr>
          <w:rFonts w:hint="eastAsia" w:ascii="仿宋_GB2312" w:hAnsi="仿宋_GB2312" w:eastAsia="仿宋_GB2312" w:cs="仿宋_GB2312"/>
          <w:spacing w:val="-11"/>
          <w:sz w:val="31"/>
          <w:szCs w:val="31"/>
          <w:highlight w:val="none"/>
        </w:rPr>
        <w:t>：</w:t>
      </w:r>
    </w:p>
    <w:p>
      <w:pPr>
        <w:keepNext w:val="0"/>
        <w:keepLines w:val="0"/>
        <w:pageBreakBefore w:val="0"/>
        <w:widowControl w:val="0"/>
        <w:kinsoku/>
        <w:wordWrap/>
        <w:overflowPunct/>
        <w:topLinePunct w:val="0"/>
        <w:autoSpaceDE/>
        <w:autoSpaceDN/>
        <w:bidi w:val="0"/>
        <w:adjustRightInd/>
        <w:snapToGrid/>
        <w:spacing w:before="0" w:beforeLines="0" w:after="0" w:afterLines="0" w:line="456" w:lineRule="exact"/>
        <w:ind w:right="0" w:rightChars="0" w:firstLine="590" w:firstLineChars="200"/>
        <w:jc w:val="both"/>
        <w:textAlignment w:val="top"/>
        <w:outlineLvl w:val="9"/>
        <w:rPr>
          <w:rFonts w:hint="default" w:ascii="仿宋_GB2312" w:hAnsi="仿宋_GB2312" w:eastAsia="仿宋_GB2312" w:cs="仿宋_GB2312"/>
          <w:spacing w:val="-11"/>
          <w:sz w:val="31"/>
          <w:szCs w:val="31"/>
          <w:highlight w:val="none"/>
          <w:lang w:val="en"/>
        </w:rPr>
      </w:pPr>
      <w:r>
        <w:rPr>
          <w:rFonts w:hint="eastAsia" w:ascii="仿宋_GB2312" w:hAnsi="仿宋_GB2312" w:cs="仿宋_GB2312"/>
          <w:color w:val="auto"/>
          <w:spacing w:val="-11"/>
          <w:sz w:val="31"/>
          <w:szCs w:val="31"/>
          <w:u w:val="none" w:color="auto"/>
          <w:lang w:val="en-US" w:eastAsia="zh-CN"/>
        </w:rPr>
        <w:t>经省政府研究同意，现将《</w:t>
      </w:r>
      <w:r>
        <w:rPr>
          <w:rFonts w:hint="eastAsia" w:ascii="仿宋_GB2312" w:hAnsi="仿宋_GB2312" w:eastAsia="仿宋_GB2312" w:cs="仿宋_GB2312"/>
          <w:color w:val="auto"/>
          <w:spacing w:val="-11"/>
          <w:sz w:val="31"/>
          <w:szCs w:val="31"/>
          <w:u w:val="none" w:color="auto"/>
          <w:lang w:val="en-US" w:eastAsia="zh-CN"/>
        </w:rPr>
        <w:t>福建省服务“六稳”“六保”进一步做好“放管服”改革</w:t>
      </w:r>
      <w:r>
        <w:rPr>
          <w:rFonts w:hint="eastAsia" w:ascii="仿宋_GB2312" w:hAnsi="仿宋_GB2312" w:cs="仿宋_GB2312"/>
          <w:color w:val="auto"/>
          <w:spacing w:val="-11"/>
          <w:sz w:val="31"/>
          <w:szCs w:val="31"/>
          <w:u w:val="none" w:color="auto"/>
          <w:lang w:val="en-US" w:eastAsia="zh-CN"/>
        </w:rPr>
        <w:t>有关</w:t>
      </w:r>
      <w:r>
        <w:rPr>
          <w:rFonts w:hint="eastAsia" w:ascii="仿宋_GB2312" w:hAnsi="仿宋_GB2312" w:eastAsia="仿宋_GB2312" w:cs="仿宋_GB2312"/>
          <w:color w:val="auto"/>
          <w:spacing w:val="-11"/>
          <w:sz w:val="31"/>
          <w:szCs w:val="31"/>
          <w:u w:val="none" w:color="auto"/>
          <w:lang w:val="en-US" w:eastAsia="zh-CN"/>
        </w:rPr>
        <w:t>工作</w:t>
      </w:r>
      <w:r>
        <w:rPr>
          <w:rFonts w:hint="eastAsia" w:ascii="仿宋_GB2312" w:hAnsi="仿宋_GB2312" w:cs="仿宋_GB2312"/>
          <w:color w:val="auto"/>
          <w:spacing w:val="-11"/>
          <w:sz w:val="31"/>
          <w:szCs w:val="31"/>
          <w:u w:val="none" w:color="auto"/>
          <w:lang w:val="en-US" w:eastAsia="zh-CN"/>
        </w:rPr>
        <w:t>实施方案》</w:t>
      </w:r>
      <w:r>
        <w:rPr>
          <w:rFonts w:hint="eastAsia" w:ascii="仿宋_GB2312" w:hAnsi="仿宋_GB2312" w:eastAsia="仿宋_GB2312" w:cs="仿宋_GB2312"/>
          <w:spacing w:val="-11"/>
          <w:sz w:val="31"/>
          <w:szCs w:val="31"/>
          <w:highlight w:val="none"/>
          <w:lang w:val="en-US" w:eastAsia="zh-CN"/>
        </w:rPr>
        <w:t>印发给你们，</w:t>
      </w:r>
      <w:r>
        <w:rPr>
          <w:rFonts w:hint="eastAsia" w:ascii="仿宋_GB2312" w:hAnsi="仿宋_GB2312" w:cs="仿宋_GB2312"/>
          <w:spacing w:val="-11"/>
          <w:sz w:val="31"/>
          <w:szCs w:val="31"/>
          <w:highlight w:val="none"/>
          <w:lang w:val="en-US" w:eastAsia="zh-CN"/>
        </w:rPr>
        <w:t>请认真贯彻执行。</w:t>
      </w:r>
    </w:p>
    <w:p>
      <w:pPr>
        <w:keepNext w:val="0"/>
        <w:keepLines w:val="0"/>
        <w:pageBreakBefore w:val="0"/>
        <w:widowControl w:val="0"/>
        <w:kinsoku/>
        <w:wordWrap/>
        <w:overflowPunct/>
        <w:topLinePunct w:val="0"/>
        <w:autoSpaceDE/>
        <w:autoSpaceDN/>
        <w:bidi w:val="0"/>
        <w:adjustRightInd/>
        <w:snapToGrid/>
        <w:spacing w:beforeLines="0" w:afterLines="0" w:line="596" w:lineRule="exact"/>
        <w:ind w:firstLine="634" w:firstLineChars="200"/>
        <w:jc w:val="both"/>
        <w:textAlignment w:val="auto"/>
        <w:outlineLvl w:val="9"/>
        <w:rPr>
          <w:rFonts w:hint="eastAsia" w:ascii="仿宋_GB2312" w:hAnsi="仿宋_GB2312" w:cs="仿宋_GB2312"/>
          <w:color w:val="auto"/>
          <w:sz w:val="31"/>
          <w:szCs w:val="31"/>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96" w:lineRule="exact"/>
        <w:ind w:firstLine="634" w:firstLineChars="200"/>
        <w:jc w:val="both"/>
        <w:textAlignment w:val="auto"/>
        <w:outlineLvl w:val="9"/>
        <w:rPr>
          <w:rFonts w:hint="eastAsia" w:ascii="仿宋_GB2312" w:hAnsi="仿宋_GB2312" w:cs="仿宋_GB2312"/>
          <w:color w:val="auto"/>
          <w:sz w:val="31"/>
          <w:szCs w:val="31"/>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96" w:lineRule="exact"/>
        <w:ind w:right="0" w:rightChars="0" w:firstLine="634" w:firstLineChars="200"/>
        <w:jc w:val="both"/>
        <w:textAlignment w:val="auto"/>
        <w:outlineLvl w:val="9"/>
        <w:rPr>
          <w:rFonts w:hint="eastAsia" w:ascii="仿宋_GB2312" w:hAnsi="仿宋_GB2312" w:eastAsia="仿宋_GB2312" w:cs="仿宋_GB2312"/>
          <w:color w:val="auto"/>
          <w:sz w:val="31"/>
          <w:szCs w:val="31"/>
          <w:lang w:eastAsia="zh-CN"/>
        </w:rPr>
      </w:pPr>
    </w:p>
    <w:p>
      <w:pPr>
        <w:keepNext w:val="0"/>
        <w:keepLines w:val="0"/>
        <w:pageBreakBefore w:val="0"/>
        <w:widowControl w:val="0"/>
        <w:kinsoku/>
        <w:wordWrap w:val="0"/>
        <w:overflowPunct/>
        <w:topLinePunct w:val="0"/>
        <w:autoSpaceDE/>
        <w:autoSpaceDN/>
        <w:bidi w:val="0"/>
        <w:adjustRightInd/>
        <w:snapToGrid/>
        <w:spacing w:beforeLines="0" w:afterLines="0" w:line="596" w:lineRule="exact"/>
        <w:ind w:right="0" w:rightChars="0" w:firstLine="634" w:firstLineChars="200"/>
        <w:jc w:val="right"/>
        <w:textAlignment w:val="auto"/>
        <w:outlineLvl w:val="9"/>
        <w:rPr>
          <w:rFonts w:hint="default" w:ascii="仿宋_GB2312" w:hAnsi="仿宋_GB2312" w:eastAsia="仿宋_GB2312" w:cs="仿宋_GB2312"/>
          <w:color w:val="auto"/>
          <w:sz w:val="31"/>
          <w:szCs w:val="31"/>
          <w:lang w:val="en" w:eastAsia="zh-CN"/>
        </w:rPr>
      </w:pPr>
      <w:r>
        <w:rPr>
          <w:rFonts w:hint="eastAsia" w:ascii="仿宋_GB2312" w:hAnsi="仿宋_GB2312" w:eastAsia="仿宋_GB2312" w:cs="仿宋_GB2312"/>
          <w:color w:val="auto"/>
          <w:sz w:val="31"/>
          <w:szCs w:val="31"/>
          <w:lang w:eastAsia="zh-CN"/>
        </w:rPr>
        <w:t>福建省人民政府办公厅</w:t>
      </w:r>
      <w:r>
        <w:rPr>
          <w:rFonts w:hint="default" w:ascii="仿宋_GB2312" w:hAnsi="仿宋_GB2312" w:cs="仿宋_GB2312"/>
          <w:color w:val="auto"/>
          <w:sz w:val="31"/>
          <w:szCs w:val="31"/>
          <w:lang w:val="en" w:eastAsia="zh-CN"/>
        </w:rPr>
        <w:t xml:space="preserve">      </w:t>
      </w:r>
    </w:p>
    <w:p>
      <w:pPr>
        <w:keepNext w:val="0"/>
        <w:keepLines w:val="0"/>
        <w:pageBreakBefore w:val="0"/>
        <w:widowControl w:val="0"/>
        <w:kinsoku/>
        <w:wordWrap w:val="0"/>
        <w:overflowPunct/>
        <w:topLinePunct w:val="0"/>
        <w:autoSpaceDE/>
        <w:autoSpaceDN/>
        <w:bidi w:val="0"/>
        <w:adjustRightInd/>
        <w:snapToGrid/>
        <w:spacing w:beforeLines="0" w:afterLines="0" w:line="596" w:lineRule="exact"/>
        <w:ind w:firstLine="634" w:firstLineChars="200"/>
        <w:jc w:val="right"/>
        <w:textAlignment w:val="auto"/>
        <w:outlineLvl w:val="9"/>
        <w:rPr>
          <w:rFonts w:hint="default" w:ascii="仿宋_GB2312" w:hAnsi="仿宋_GB2312" w:cs="仿宋_GB2312"/>
          <w:color w:val="auto"/>
          <w:sz w:val="31"/>
          <w:szCs w:val="31"/>
          <w:lang w:val="en" w:eastAsia="zh-CN"/>
        </w:rPr>
      </w:pPr>
      <w:r>
        <w:rPr>
          <w:rFonts w:hint="eastAsia" w:ascii="仿宋_GB2312" w:hAnsi="仿宋_GB2312" w:cs="仿宋_GB2312"/>
          <w:color w:val="auto"/>
          <w:sz w:val="31"/>
          <w:szCs w:val="31"/>
          <w:lang w:val="en-US" w:eastAsia="zh-CN"/>
        </w:rPr>
        <w:t>2021年8月12日</w:t>
      </w:r>
      <w:r>
        <w:rPr>
          <w:rFonts w:hint="default" w:ascii="仿宋_GB2312" w:hAnsi="仿宋_GB2312" w:cs="仿宋_GB2312"/>
          <w:color w:val="auto"/>
          <w:sz w:val="31"/>
          <w:szCs w:val="31"/>
          <w:lang w:val="en"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96" w:lineRule="exact"/>
        <w:ind w:firstLine="634" w:firstLineChars="200"/>
        <w:jc w:val="both"/>
        <w:textAlignment w:val="auto"/>
        <w:outlineLvl w:val="9"/>
        <w:rPr>
          <w:rFonts w:hint="eastAsia" w:ascii="仿宋_GB2312" w:hAnsi="仿宋_GB2312" w:cs="仿宋_GB2312"/>
          <w:color w:val="auto"/>
          <w:sz w:val="31"/>
          <w:szCs w:val="31"/>
          <w:lang w:eastAsia="zh-CN"/>
        </w:rPr>
      </w:pPr>
      <w:r>
        <w:rPr>
          <w:rFonts w:hint="eastAsia" w:ascii="仿宋_GB2312" w:hAnsi="仿宋_GB2312" w:cs="仿宋_GB2312"/>
          <w:color w:val="auto"/>
          <w:sz w:val="31"/>
          <w:szCs w:val="31"/>
          <w:lang w:eastAsia="zh-CN"/>
        </w:rPr>
        <w:t>（此件主动公开）</w:t>
      </w:r>
    </w:p>
    <w:p>
      <w:pPr>
        <w:keepNext w:val="0"/>
        <w:keepLines w:val="0"/>
        <w:pageBreakBefore w:val="0"/>
        <w:widowControl w:val="0"/>
        <w:kinsoku/>
        <w:wordWrap/>
        <w:overflowPunct/>
        <w:topLinePunct w:val="0"/>
        <w:autoSpaceDE/>
        <w:autoSpaceDN/>
        <w:bidi w:val="0"/>
        <w:adjustRightInd/>
        <w:snapToGrid/>
        <w:spacing w:line="596" w:lineRule="exact"/>
        <w:ind w:firstLine="634" w:firstLineChars="200"/>
        <w:jc w:val="both"/>
        <w:textAlignment w:val="top"/>
        <w:outlineLvl w:val="0"/>
        <w:rPr>
          <w:rFonts w:hint="eastAsia" w:ascii="仿宋_GB2312" w:hAnsi="仿宋_GB2312" w:cs="仿宋_GB2312"/>
          <w:sz w:val="31"/>
          <w:szCs w:val="31"/>
          <w:lang w:eastAsia="zh-CN"/>
        </w:rPr>
      </w:pPr>
      <w:r>
        <w:rPr>
          <w:rFonts w:hint="eastAsia" w:ascii="仿宋_GB2312" w:hAnsi="仿宋_GB2312" w:cs="仿宋_GB2312"/>
          <w:sz w:val="31"/>
          <w:szCs w:val="31"/>
          <w:lang w:eastAsia="zh-CN"/>
        </w:rPr>
        <w:br w:type="page"/>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pacing w:val="0"/>
          <w:sz w:val="40"/>
          <w:szCs w:val="40"/>
          <w:u w:val="none" w:color="auto"/>
          <w:lang w:val="en-US" w:eastAsia="zh-CN"/>
        </w:rPr>
      </w:pPr>
      <w:r>
        <w:rPr>
          <w:rFonts w:hint="eastAsia" w:ascii="方正小标宋简体" w:hAnsi="方正小标宋简体" w:eastAsia="方正小标宋简体" w:cs="方正小标宋简体"/>
          <w:color w:val="auto"/>
          <w:spacing w:val="0"/>
          <w:sz w:val="40"/>
          <w:szCs w:val="40"/>
          <w:u w:val="none" w:color="auto"/>
          <w:lang w:val="en-US" w:eastAsia="zh-CN"/>
        </w:rPr>
        <w:t>福建省服务“六稳”“六保”进一步</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pacing w:val="0"/>
          <w:sz w:val="40"/>
          <w:szCs w:val="40"/>
          <w:u w:val="none" w:color="auto"/>
          <w:lang w:val="en-US" w:eastAsia="zh-CN"/>
        </w:rPr>
      </w:pPr>
      <w:r>
        <w:rPr>
          <w:rFonts w:hint="eastAsia" w:ascii="方正小标宋简体" w:hAnsi="方正小标宋简体" w:eastAsia="方正小标宋简体" w:cs="方正小标宋简体"/>
          <w:color w:val="auto"/>
          <w:spacing w:val="0"/>
          <w:sz w:val="40"/>
          <w:szCs w:val="40"/>
          <w:u w:val="none" w:color="auto"/>
          <w:lang w:val="en-US" w:eastAsia="zh-CN"/>
        </w:rPr>
        <w:t>做好“放管服”改革有关工作实施方案</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4" w:firstLineChars="200"/>
        <w:jc w:val="both"/>
        <w:textAlignment w:val="auto"/>
        <w:outlineLvl w:val="9"/>
        <w:rPr>
          <w:rFonts w:hint="eastAsia" w:ascii="仿宋_GB2312" w:hAnsi="仿宋_GB2312" w:eastAsia="仿宋_GB2312" w:cs="仿宋_GB2312"/>
          <w:color w:val="auto"/>
          <w:spacing w:val="0"/>
          <w:kern w:val="2"/>
          <w:sz w:val="31"/>
          <w:szCs w:val="31"/>
          <w:u w:val="none" w:color="auto"/>
          <w:lang w:val="en-US" w:eastAsia="zh-CN" w:bidi="ar-SA"/>
        </w:rPr>
      </w:pP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4" w:firstLineChars="200"/>
        <w:jc w:val="both"/>
        <w:textAlignment w:val="auto"/>
        <w:outlineLvl w:val="9"/>
        <w:rPr>
          <w:rFonts w:hint="eastAsia" w:ascii="仿宋_GB2312" w:hAnsi="仿宋_GB2312" w:eastAsia="仿宋_GB2312" w:cs="仿宋_GB2312"/>
          <w:color w:val="auto"/>
          <w:spacing w:val="0"/>
          <w:kern w:val="2"/>
          <w:sz w:val="31"/>
          <w:szCs w:val="31"/>
          <w:u w:val="none" w:color="auto"/>
          <w:lang w:val="en-US" w:eastAsia="zh-CN" w:bidi="ar-SA"/>
        </w:rPr>
      </w:pPr>
      <w:r>
        <w:rPr>
          <w:rFonts w:hint="eastAsia" w:ascii="仿宋_GB2312" w:hAnsi="仿宋_GB2312" w:eastAsia="仿宋_GB2312" w:cs="仿宋_GB2312"/>
          <w:color w:val="auto"/>
          <w:spacing w:val="0"/>
          <w:kern w:val="2"/>
          <w:sz w:val="31"/>
          <w:szCs w:val="31"/>
          <w:u w:val="none" w:color="auto"/>
          <w:lang w:val="en-US" w:eastAsia="zh-CN" w:bidi="ar-SA"/>
        </w:rPr>
        <w:t>为深入贯彻</w:t>
      </w:r>
      <w:r>
        <w:rPr>
          <w:rFonts w:hint="eastAsia" w:ascii="仿宋_GB2312" w:hAnsi="仿宋_GB2312" w:eastAsia="仿宋_GB2312" w:cs="仿宋_GB2312"/>
          <w:color w:val="auto"/>
          <w:kern w:val="2"/>
          <w:sz w:val="31"/>
          <w:szCs w:val="31"/>
          <w:u w:val="none" w:color="auto"/>
          <w:lang w:val="en-US" w:eastAsia="zh-CN" w:bidi="ar-SA"/>
        </w:rPr>
        <w:t>落实党中央、国务院决策部署，</w:t>
      </w:r>
      <w:r>
        <w:rPr>
          <w:rFonts w:hint="eastAsia" w:ascii="仿宋_GB2312" w:hAnsi="仿宋_GB2312" w:eastAsia="仿宋_GB2312" w:cs="仿宋_GB2312"/>
          <w:color w:val="auto"/>
          <w:spacing w:val="0"/>
          <w:kern w:val="2"/>
          <w:sz w:val="31"/>
          <w:szCs w:val="31"/>
          <w:u w:val="none" w:color="auto"/>
          <w:lang w:val="en-US" w:eastAsia="zh-CN" w:bidi="ar-SA"/>
        </w:rPr>
        <w:t>进一步深化“放管服”改革，切实做好“六稳”“六保”工作，</w:t>
      </w:r>
      <w:r>
        <w:rPr>
          <w:rFonts w:hint="eastAsia" w:ascii="仿宋_GB2312" w:hAnsi="仿宋_GB2312" w:eastAsia="仿宋_GB2312" w:cs="仿宋_GB2312"/>
          <w:color w:val="auto"/>
          <w:kern w:val="2"/>
          <w:sz w:val="31"/>
          <w:szCs w:val="31"/>
          <w:u w:val="none" w:color="auto"/>
          <w:shd w:val="clear" w:color="auto" w:fill="auto"/>
          <w:lang w:val="en-US" w:eastAsia="zh-CN" w:bidi="ar-SA"/>
        </w:rPr>
        <w:t>全方位</w:t>
      </w:r>
      <w:r>
        <w:rPr>
          <w:rFonts w:hint="default" w:ascii="仿宋_GB2312" w:hAnsi="仿宋_GB2312" w:eastAsia="仿宋_GB2312" w:cs="仿宋_GB2312"/>
          <w:color w:val="auto"/>
          <w:kern w:val="2"/>
          <w:sz w:val="31"/>
          <w:szCs w:val="31"/>
          <w:u w:val="none" w:color="auto"/>
          <w:shd w:val="clear" w:color="auto" w:fill="auto"/>
          <w:lang w:val="en" w:eastAsia="zh-CN" w:bidi="ar-SA"/>
        </w:rPr>
        <w:t>推进</w:t>
      </w:r>
      <w:r>
        <w:rPr>
          <w:rFonts w:hint="eastAsia" w:ascii="仿宋_GB2312" w:hAnsi="仿宋_GB2312" w:eastAsia="仿宋_GB2312" w:cs="仿宋_GB2312"/>
          <w:color w:val="auto"/>
          <w:kern w:val="2"/>
          <w:sz w:val="31"/>
          <w:szCs w:val="31"/>
          <w:u w:val="none" w:color="auto"/>
          <w:shd w:val="clear" w:color="auto" w:fill="auto"/>
          <w:lang w:val="en-US" w:eastAsia="zh-CN" w:bidi="ar-SA"/>
        </w:rPr>
        <w:t>高质量发展</w:t>
      </w:r>
      <w:r>
        <w:rPr>
          <w:rFonts w:hint="eastAsia" w:ascii="仿宋_GB2312" w:hAnsi="仿宋_GB2312" w:eastAsia="仿宋_GB2312" w:cs="仿宋_GB2312"/>
          <w:color w:val="auto"/>
          <w:spacing w:val="0"/>
          <w:kern w:val="2"/>
          <w:sz w:val="31"/>
          <w:szCs w:val="31"/>
          <w:u w:val="none" w:color="auto"/>
          <w:lang w:val="en-US" w:eastAsia="zh-CN" w:bidi="ar-SA"/>
        </w:rPr>
        <w:t>超越</w:t>
      </w:r>
      <w:r>
        <w:rPr>
          <w:rFonts w:hint="eastAsia" w:ascii="仿宋_GB2312" w:hAnsi="仿宋_GB2312" w:eastAsia="仿宋_GB2312" w:cs="仿宋_GB2312"/>
          <w:color w:val="auto"/>
          <w:kern w:val="2"/>
          <w:sz w:val="31"/>
          <w:szCs w:val="31"/>
          <w:u w:val="none" w:color="auto"/>
          <w:shd w:val="clear" w:color="auto" w:fill="auto"/>
          <w:lang w:val="en-US" w:eastAsia="zh-CN" w:bidi="ar-SA"/>
        </w:rPr>
        <w:t>，</w:t>
      </w:r>
      <w:r>
        <w:rPr>
          <w:rFonts w:hint="eastAsia" w:ascii="仿宋_GB2312" w:hAnsi="仿宋_GB2312" w:eastAsia="仿宋_GB2312" w:cs="仿宋_GB2312"/>
          <w:color w:val="auto"/>
          <w:kern w:val="2"/>
          <w:sz w:val="31"/>
          <w:szCs w:val="31"/>
          <w:u w:val="none" w:color="auto"/>
          <w:lang w:val="en-US" w:eastAsia="zh-CN" w:bidi="ar-SA"/>
        </w:rPr>
        <w:t>根据</w:t>
      </w:r>
      <w:r>
        <w:rPr>
          <w:rFonts w:hint="eastAsia" w:ascii="仿宋_GB2312" w:hAnsi="仿宋_GB2312" w:eastAsia="仿宋_GB2312" w:cs="仿宋_GB2312"/>
          <w:color w:val="auto"/>
          <w:spacing w:val="0"/>
          <w:kern w:val="2"/>
          <w:sz w:val="31"/>
          <w:szCs w:val="31"/>
          <w:u w:val="none" w:color="auto"/>
          <w:lang w:val="en-US" w:eastAsia="zh-CN" w:bidi="ar-SA"/>
        </w:rPr>
        <w:t>《国务院办公厅关于服务“六稳”“六保”进一步做好“放管服”改革有关工作的意见》（国办发〔2021〕10号）要求，</w:t>
      </w:r>
      <w:r>
        <w:rPr>
          <w:rFonts w:hint="eastAsia" w:ascii="仿宋_GB2312" w:hAnsi="仿宋_GB2312" w:eastAsia="仿宋_GB2312" w:cs="仿宋_GB2312"/>
          <w:color w:val="auto"/>
          <w:kern w:val="2"/>
          <w:sz w:val="31"/>
          <w:szCs w:val="31"/>
          <w:u w:val="none" w:color="auto"/>
          <w:shd w:val="clear" w:color="auto" w:fill="auto"/>
          <w:lang w:val="en-US" w:eastAsia="zh-CN" w:bidi="ar-SA"/>
        </w:rPr>
        <w:t>结合我省实际，</w:t>
      </w:r>
      <w:r>
        <w:rPr>
          <w:rFonts w:hint="eastAsia" w:ascii="仿宋_GB2312" w:hAnsi="仿宋_GB2312" w:cs="仿宋_GB2312"/>
          <w:color w:val="auto"/>
          <w:kern w:val="2"/>
          <w:sz w:val="31"/>
          <w:szCs w:val="31"/>
          <w:u w:val="none" w:color="auto"/>
          <w:shd w:val="clear" w:color="auto" w:fill="auto"/>
          <w:lang w:val="en-US" w:eastAsia="zh-CN" w:bidi="ar-SA"/>
        </w:rPr>
        <w:t>提出</w:t>
      </w:r>
      <w:r>
        <w:rPr>
          <w:rFonts w:hint="eastAsia" w:ascii="仿宋_GB2312" w:hAnsi="仿宋_GB2312" w:eastAsia="仿宋_GB2312" w:cs="仿宋_GB2312"/>
          <w:color w:val="auto"/>
          <w:spacing w:val="0"/>
          <w:kern w:val="2"/>
          <w:sz w:val="31"/>
          <w:szCs w:val="31"/>
          <w:u w:val="none" w:color="auto"/>
          <w:lang w:val="en-US" w:eastAsia="zh-CN" w:bidi="ar-SA"/>
        </w:rPr>
        <w:t>以下实施方案。</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4" w:firstLineChars="200"/>
        <w:jc w:val="both"/>
        <w:textAlignment w:val="auto"/>
        <w:outlineLvl w:val="9"/>
        <w:rPr>
          <w:rFonts w:hint="eastAsia" w:ascii="黑体" w:hAnsi="黑体" w:eastAsia="黑体" w:cs="黑体"/>
          <w:color w:val="auto"/>
          <w:spacing w:val="0"/>
          <w:kern w:val="2"/>
          <w:sz w:val="31"/>
          <w:szCs w:val="31"/>
          <w:u w:val="none" w:color="auto"/>
          <w:lang w:val="en-US" w:eastAsia="zh-CN" w:bidi="ar-SA"/>
        </w:rPr>
      </w:pPr>
      <w:r>
        <w:rPr>
          <w:rFonts w:hint="eastAsia" w:ascii="黑体" w:hAnsi="黑体" w:eastAsia="黑体" w:cs="黑体"/>
          <w:color w:val="auto"/>
          <w:spacing w:val="0"/>
          <w:kern w:val="2"/>
          <w:sz w:val="31"/>
          <w:szCs w:val="31"/>
          <w:u w:val="none" w:color="auto"/>
          <w:lang w:val="en-US" w:eastAsia="zh-CN" w:bidi="ar-SA"/>
        </w:rPr>
        <w:t>一、总体要求</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4" w:firstLineChars="200"/>
        <w:textAlignment w:val="auto"/>
        <w:outlineLvl w:val="9"/>
        <w:rPr>
          <w:rFonts w:hint="eastAsia" w:ascii="仿宋_GB2312" w:hAnsi="仿宋_GB2312" w:eastAsia="仿宋_GB2312" w:cs="仿宋_GB2312"/>
          <w:color w:val="auto"/>
          <w:sz w:val="31"/>
          <w:szCs w:val="31"/>
          <w:u w:val="none" w:color="auto"/>
          <w:lang w:val="en-US"/>
        </w:rPr>
      </w:pPr>
      <w:r>
        <w:rPr>
          <w:rFonts w:hint="eastAsia" w:ascii="仿宋_GB2312" w:hAnsi="仿宋_GB2312" w:eastAsia="仿宋_GB2312" w:cs="仿宋_GB2312"/>
          <w:color w:val="auto"/>
          <w:sz w:val="31"/>
          <w:szCs w:val="31"/>
          <w:u w:val="none" w:color="auto"/>
          <w:lang w:val="en-US"/>
        </w:rPr>
        <w:t>以习近平新时代中国特色社会主义思想为指导，</w:t>
      </w:r>
      <w:r>
        <w:rPr>
          <w:rFonts w:hint="eastAsia" w:ascii="仿宋_GB2312" w:hAnsi="仿宋_GB2312" w:cs="仿宋_GB2312"/>
          <w:color w:val="auto"/>
          <w:sz w:val="31"/>
          <w:szCs w:val="31"/>
          <w:u w:val="none" w:color="auto"/>
          <w:lang w:val="en-US" w:eastAsia="zh-CN"/>
        </w:rPr>
        <w:t>深入</w:t>
      </w:r>
      <w:r>
        <w:rPr>
          <w:rFonts w:hint="eastAsia" w:ascii="仿宋_GB2312" w:hAnsi="仿宋_GB2312" w:eastAsia="仿宋_GB2312" w:cs="仿宋_GB2312"/>
          <w:color w:val="auto"/>
          <w:sz w:val="31"/>
          <w:szCs w:val="31"/>
          <w:u w:val="none" w:color="auto"/>
          <w:lang w:val="en-US"/>
        </w:rPr>
        <w:t>贯彻党的十九大和十九届二中、三中、四中、五中全会</w:t>
      </w:r>
      <w:r>
        <w:rPr>
          <w:rFonts w:hint="eastAsia" w:ascii="仿宋_GB2312" w:hAnsi="仿宋_GB2312" w:eastAsia="仿宋_GB2312" w:cs="仿宋_GB2312"/>
          <w:color w:val="auto"/>
          <w:sz w:val="31"/>
          <w:szCs w:val="31"/>
          <w:u w:val="none" w:color="auto"/>
          <w:lang w:val="en-US" w:eastAsia="zh-CN"/>
        </w:rPr>
        <w:t>精神，</w:t>
      </w:r>
      <w:r>
        <w:rPr>
          <w:rFonts w:hint="eastAsia" w:ascii="仿宋_GB2312" w:hAnsi="仿宋_GB2312" w:cs="仿宋_GB2312"/>
          <w:color w:val="auto"/>
          <w:sz w:val="31"/>
          <w:szCs w:val="31"/>
          <w:u w:val="none" w:color="auto"/>
          <w:lang w:val="en-US" w:eastAsia="zh-CN"/>
        </w:rPr>
        <w:t>认真</w:t>
      </w:r>
      <w:r>
        <w:rPr>
          <w:rFonts w:hint="eastAsia" w:ascii="仿宋_GB2312" w:hAnsi="仿宋_GB2312" w:eastAsia="仿宋_GB2312" w:cs="仿宋_GB2312"/>
          <w:color w:val="auto"/>
          <w:sz w:val="31"/>
          <w:szCs w:val="31"/>
          <w:u w:val="none" w:color="auto"/>
          <w:lang w:val="en-US" w:eastAsia="zh-CN"/>
        </w:rPr>
        <w:t>贯彻落实习近平总书记来闽考察重要讲话精神</w:t>
      </w:r>
      <w:r>
        <w:rPr>
          <w:rFonts w:hint="eastAsia" w:ascii="仿宋_GB2312" w:hAnsi="仿宋_GB2312" w:eastAsia="仿宋_GB2312" w:cs="仿宋_GB2312"/>
          <w:color w:val="auto"/>
          <w:sz w:val="31"/>
          <w:szCs w:val="31"/>
          <w:u w:val="none" w:color="auto"/>
          <w:lang w:val="en-US"/>
        </w:rPr>
        <w:t>，立足新发展阶段</w:t>
      </w:r>
      <w:r>
        <w:rPr>
          <w:rFonts w:hint="eastAsia" w:ascii="仿宋_GB2312" w:hAnsi="仿宋_GB2312" w:eastAsia="仿宋_GB2312" w:cs="仿宋_GB2312"/>
          <w:color w:val="auto"/>
          <w:sz w:val="31"/>
          <w:szCs w:val="31"/>
          <w:u w:val="none" w:color="auto"/>
          <w:lang w:val="en-US" w:eastAsia="zh-CN"/>
        </w:rPr>
        <w:t>，</w:t>
      </w:r>
      <w:r>
        <w:rPr>
          <w:rFonts w:hint="eastAsia" w:ascii="仿宋_GB2312" w:hAnsi="仿宋_GB2312" w:eastAsia="仿宋_GB2312" w:cs="仿宋_GB2312"/>
          <w:color w:val="auto"/>
          <w:sz w:val="31"/>
          <w:szCs w:val="31"/>
          <w:u w:val="none" w:color="auto"/>
          <w:lang w:val="en-US"/>
        </w:rPr>
        <w:t>贯彻新发展理念</w:t>
      </w:r>
      <w:r>
        <w:rPr>
          <w:rFonts w:hint="eastAsia" w:ascii="仿宋_GB2312" w:hAnsi="仿宋_GB2312" w:eastAsia="仿宋_GB2312" w:cs="仿宋_GB2312"/>
          <w:color w:val="auto"/>
          <w:sz w:val="31"/>
          <w:szCs w:val="31"/>
          <w:u w:val="none" w:color="auto"/>
          <w:lang w:val="en-US" w:eastAsia="zh-CN"/>
        </w:rPr>
        <w:t>，积极服务和深度融入</w:t>
      </w:r>
      <w:r>
        <w:rPr>
          <w:rFonts w:hint="eastAsia" w:ascii="仿宋_GB2312" w:hAnsi="仿宋_GB2312" w:eastAsia="仿宋_GB2312" w:cs="仿宋_GB2312"/>
          <w:color w:val="auto"/>
          <w:sz w:val="31"/>
          <w:szCs w:val="31"/>
          <w:u w:val="none" w:color="auto"/>
          <w:lang w:val="en-US"/>
        </w:rPr>
        <w:t>新发展格局，坚持目标导向、问题导向</w:t>
      </w:r>
      <w:r>
        <w:rPr>
          <w:rFonts w:hint="eastAsia" w:ascii="仿宋_GB2312" w:hAnsi="仿宋_GB2312" w:eastAsia="仿宋_GB2312" w:cs="仿宋_GB2312"/>
          <w:color w:val="auto"/>
          <w:sz w:val="31"/>
          <w:szCs w:val="31"/>
          <w:u w:val="none" w:color="auto"/>
          <w:lang w:val="en-US" w:eastAsia="zh-CN"/>
        </w:rPr>
        <w:t>和</w:t>
      </w:r>
      <w:r>
        <w:rPr>
          <w:rFonts w:hint="eastAsia" w:ascii="仿宋_GB2312" w:hAnsi="仿宋_GB2312" w:eastAsia="仿宋_GB2312" w:cs="仿宋_GB2312"/>
          <w:color w:val="auto"/>
          <w:sz w:val="31"/>
          <w:szCs w:val="31"/>
          <w:u w:val="none" w:color="auto"/>
          <w:lang w:val="en-US"/>
        </w:rPr>
        <w:t>系统集成</w:t>
      </w:r>
      <w:r>
        <w:rPr>
          <w:rFonts w:hint="eastAsia" w:ascii="仿宋_GB2312" w:hAnsi="仿宋_GB2312" w:eastAsia="仿宋_GB2312" w:cs="仿宋_GB2312"/>
          <w:color w:val="auto"/>
          <w:sz w:val="31"/>
          <w:szCs w:val="31"/>
          <w:u w:val="none" w:color="auto"/>
          <w:lang w:val="en-US" w:eastAsia="zh-CN"/>
        </w:rPr>
        <w:t>，</w:t>
      </w:r>
      <w:r>
        <w:rPr>
          <w:rFonts w:hint="eastAsia" w:ascii="仿宋_GB2312" w:hAnsi="仿宋_GB2312" w:eastAsia="仿宋_GB2312" w:cs="仿宋_GB2312"/>
          <w:color w:val="auto"/>
          <w:sz w:val="31"/>
          <w:szCs w:val="31"/>
          <w:u w:val="none" w:color="auto"/>
          <w:lang w:val="en-US"/>
        </w:rPr>
        <w:t>围绕“六稳”“六保”，</w:t>
      </w:r>
      <w:r>
        <w:rPr>
          <w:rFonts w:hint="eastAsia" w:ascii="仿宋_GB2312" w:hAnsi="仿宋_GB2312" w:eastAsia="仿宋_GB2312" w:cs="仿宋_GB2312"/>
          <w:color w:val="auto"/>
          <w:sz w:val="31"/>
          <w:szCs w:val="31"/>
          <w:u w:val="none" w:color="auto"/>
          <w:lang w:val="en-US" w:eastAsia="zh-CN"/>
        </w:rPr>
        <w:t>力行简政之道</w:t>
      </w:r>
      <w:r>
        <w:rPr>
          <w:rFonts w:hint="eastAsia" w:ascii="仿宋_GB2312" w:hAnsi="仿宋_GB2312" w:eastAsia="仿宋_GB2312" w:cs="仿宋_GB2312"/>
          <w:color w:val="auto"/>
          <w:sz w:val="31"/>
          <w:szCs w:val="31"/>
          <w:u w:val="none" w:color="auto"/>
          <w:lang w:val="en-US"/>
        </w:rPr>
        <w:t>，加快转变政府职能，深化“放管服”改革</w:t>
      </w:r>
      <w:r>
        <w:rPr>
          <w:rFonts w:hint="eastAsia" w:ascii="仿宋_GB2312" w:hAnsi="仿宋_GB2312" w:eastAsia="仿宋_GB2312" w:cs="仿宋_GB2312"/>
          <w:color w:val="auto"/>
          <w:sz w:val="31"/>
          <w:szCs w:val="31"/>
          <w:u w:val="none" w:color="auto"/>
          <w:lang w:val="en-US" w:eastAsia="zh-CN"/>
        </w:rPr>
        <w:t>，</w:t>
      </w:r>
      <w:r>
        <w:rPr>
          <w:rFonts w:hint="eastAsia" w:ascii="仿宋_GB2312" w:hAnsi="仿宋_GB2312" w:cs="仿宋_GB2312"/>
          <w:color w:val="auto"/>
          <w:sz w:val="31"/>
          <w:szCs w:val="31"/>
          <w:u w:val="none" w:color="auto"/>
          <w:lang w:val="en-US" w:eastAsia="zh-CN"/>
        </w:rPr>
        <w:t>进一步</w:t>
      </w:r>
      <w:r>
        <w:rPr>
          <w:rFonts w:hint="eastAsia" w:ascii="仿宋_GB2312" w:hAnsi="仿宋_GB2312" w:eastAsia="仿宋_GB2312" w:cs="仿宋_GB2312"/>
          <w:color w:val="auto"/>
          <w:sz w:val="31"/>
          <w:szCs w:val="31"/>
          <w:u w:val="none" w:color="auto"/>
          <w:lang w:val="en-US" w:eastAsia="zh-CN"/>
        </w:rPr>
        <w:t>激发市场主体活力，</w:t>
      </w:r>
      <w:r>
        <w:rPr>
          <w:rFonts w:hint="eastAsia" w:ascii="仿宋_GB2312" w:hAnsi="仿宋_GB2312" w:eastAsia="仿宋_GB2312" w:cs="仿宋_GB2312"/>
          <w:color w:val="auto"/>
          <w:sz w:val="31"/>
          <w:szCs w:val="31"/>
          <w:u w:val="none" w:color="auto"/>
          <w:lang w:val="en-US"/>
        </w:rPr>
        <w:t>促进要素资源高效配置，切实维护公平竞争，建设国际一流营商环境，推进政府治理体系和治理能力现代化，</w:t>
      </w:r>
      <w:r>
        <w:rPr>
          <w:rFonts w:hint="eastAsia" w:ascii="仿宋_GB2312" w:hAnsi="仿宋_GB2312" w:eastAsia="仿宋_GB2312" w:cs="仿宋_GB2312"/>
          <w:color w:val="auto"/>
          <w:sz w:val="31"/>
          <w:szCs w:val="31"/>
          <w:u w:val="none" w:color="auto"/>
          <w:lang w:val="en-US" w:eastAsia="zh-CN"/>
        </w:rPr>
        <w:t>奋力谱写全面建设社会主义现代化国家福建篇章。</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4" w:firstLineChars="200"/>
        <w:textAlignment w:val="auto"/>
        <w:outlineLvl w:val="9"/>
        <w:rPr>
          <w:rFonts w:hint="eastAsia" w:ascii="黑体" w:hAnsi="黑体" w:eastAsia="黑体" w:cs="黑体"/>
          <w:color w:val="auto"/>
          <w:sz w:val="31"/>
          <w:szCs w:val="31"/>
          <w:u w:val="none" w:color="auto"/>
          <w:lang w:val="en"/>
        </w:rPr>
      </w:pPr>
      <w:r>
        <w:rPr>
          <w:rFonts w:hint="eastAsia" w:ascii="黑体" w:hAnsi="黑体" w:eastAsia="黑体" w:cs="黑体"/>
          <w:color w:val="auto"/>
          <w:sz w:val="31"/>
          <w:szCs w:val="31"/>
          <w:u w:val="none" w:color="auto"/>
          <w:lang w:val="en-US"/>
        </w:rPr>
        <w:t>二、进一步推动优化就业环境</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4" w:firstLineChars="200"/>
        <w:textAlignment w:val="auto"/>
        <w:outlineLvl w:val="9"/>
        <w:rPr>
          <w:rFonts w:hint="eastAsia" w:ascii="仿宋_GB2312" w:hAnsi="仿宋_GB2312" w:eastAsia="仿宋_GB2312" w:cs="仿宋_GB2312"/>
          <w:color w:val="auto"/>
          <w:sz w:val="31"/>
          <w:szCs w:val="31"/>
          <w:u w:val="none" w:color="auto"/>
          <w:lang w:val="en-US" w:eastAsia="zh-CN"/>
        </w:rPr>
      </w:pPr>
      <w:r>
        <w:rPr>
          <w:rFonts w:hint="eastAsia" w:ascii="楷体_GB2312" w:hAnsi="楷体_GB2312" w:eastAsia="楷体_GB2312" w:cs="楷体_GB2312"/>
          <w:b/>
          <w:bCs/>
          <w:color w:val="auto"/>
          <w:sz w:val="31"/>
          <w:szCs w:val="31"/>
          <w:u w:val="none" w:color="auto"/>
          <w:lang w:val="en-US"/>
        </w:rPr>
        <w:t>（</w:t>
      </w:r>
      <w:r>
        <w:rPr>
          <w:rFonts w:hint="eastAsia" w:ascii="楷体_GB2312" w:hAnsi="楷体_GB2312" w:eastAsia="楷体_GB2312" w:cs="楷体_GB2312"/>
          <w:b/>
          <w:bCs/>
          <w:color w:val="auto"/>
          <w:sz w:val="31"/>
          <w:szCs w:val="31"/>
          <w:u w:val="none" w:color="auto"/>
          <w:lang w:val="en-US" w:eastAsia="zh-CN"/>
        </w:rPr>
        <w:t>一</w:t>
      </w:r>
      <w:r>
        <w:rPr>
          <w:rFonts w:hint="eastAsia" w:ascii="楷体_GB2312" w:hAnsi="楷体_GB2312" w:eastAsia="楷体_GB2312" w:cs="楷体_GB2312"/>
          <w:b/>
          <w:bCs/>
          <w:color w:val="auto"/>
          <w:sz w:val="31"/>
          <w:szCs w:val="31"/>
          <w:u w:val="none" w:color="auto"/>
          <w:lang w:val="en-US"/>
        </w:rPr>
        <w:t>）推动降低就业门槛。</w:t>
      </w:r>
      <w:r>
        <w:rPr>
          <w:rFonts w:hint="eastAsia" w:ascii="仿宋_GB2312" w:hAnsi="仿宋_GB2312" w:eastAsia="仿宋_GB2312" w:cs="仿宋_GB2312"/>
          <w:color w:val="auto"/>
          <w:sz w:val="31"/>
          <w:szCs w:val="31"/>
          <w:u w:val="none" w:color="auto"/>
          <w:lang w:val="en-US" w:eastAsia="zh-CN"/>
        </w:rPr>
        <w:t>根据国家统一部署，压减准入类职业资格数量，降低或取消准入类专业技术人员职业资格限制；取消勘察设计注册石油天然气工程师职业资格；</w:t>
      </w:r>
      <w:r>
        <w:rPr>
          <w:rFonts w:hint="eastAsia" w:ascii="仿宋_GB2312" w:hAnsi="仿宋_GB2312" w:eastAsia="仿宋_GB2312" w:cs="仿宋_GB2312"/>
          <w:color w:val="auto"/>
          <w:sz w:val="31"/>
          <w:szCs w:val="31"/>
          <w:u w:val="none" w:color="auto"/>
          <w:lang w:val="en-US" w:eastAsia="en-US"/>
        </w:rPr>
        <w:t>开展乡村兽医备案</w:t>
      </w:r>
      <w:r>
        <w:rPr>
          <w:rFonts w:hint="eastAsia" w:ascii="仿宋_GB2312" w:hAnsi="仿宋_GB2312" w:eastAsia="仿宋_GB2312" w:cs="仿宋_GB2312"/>
          <w:color w:val="auto"/>
          <w:sz w:val="31"/>
          <w:szCs w:val="31"/>
          <w:u w:val="none" w:color="auto"/>
          <w:lang w:val="en-US" w:eastAsia="zh-CN"/>
        </w:rPr>
        <w:t>，</w:t>
      </w:r>
      <w:r>
        <w:rPr>
          <w:rFonts w:hint="eastAsia" w:ascii="仿宋_GB2312" w:hAnsi="仿宋_GB2312" w:eastAsia="仿宋_GB2312" w:cs="仿宋_GB2312"/>
          <w:color w:val="auto"/>
          <w:sz w:val="31"/>
          <w:szCs w:val="31"/>
          <w:u w:val="none" w:color="auto"/>
          <w:lang w:val="en-US" w:eastAsia="en-US"/>
        </w:rPr>
        <w:t>加强事中事后监管，</w:t>
      </w:r>
      <w:r>
        <w:rPr>
          <w:rFonts w:hint="eastAsia" w:ascii="仿宋_GB2312" w:hAnsi="仿宋_GB2312" w:eastAsia="仿宋_GB2312" w:cs="仿宋_GB2312"/>
          <w:color w:val="auto"/>
          <w:sz w:val="31"/>
          <w:szCs w:val="31"/>
          <w:u w:val="none" w:color="auto"/>
          <w:lang w:val="en-US" w:eastAsia="zh-CN"/>
        </w:rPr>
        <w:t>依法查处违法违规行为；</w:t>
      </w:r>
      <w:r>
        <w:rPr>
          <w:rFonts w:hint="eastAsia" w:ascii="仿宋_GB2312" w:hAnsi="仿宋_GB2312" w:eastAsia="仿宋_GB2312" w:cs="仿宋_GB2312"/>
          <w:b w:val="0"/>
          <w:bCs/>
          <w:strike w:val="0"/>
          <w:dstrike w:val="0"/>
          <w:color w:val="auto"/>
          <w:sz w:val="31"/>
          <w:szCs w:val="31"/>
          <w:u w:val="none" w:color="auto"/>
          <w:lang w:eastAsia="zh-CN"/>
        </w:rPr>
        <w:t>规范</w:t>
      </w:r>
      <w:r>
        <w:rPr>
          <w:rFonts w:hint="eastAsia" w:ascii="仿宋_GB2312" w:hAnsi="仿宋_GB2312" w:eastAsia="仿宋_GB2312" w:cs="仿宋_GB2312"/>
          <w:b w:val="0"/>
          <w:bCs/>
          <w:color w:val="auto"/>
          <w:sz w:val="31"/>
          <w:szCs w:val="31"/>
          <w:u w:val="none" w:color="auto"/>
        </w:rPr>
        <w:t>小微电商准入，</w:t>
      </w:r>
      <w:r>
        <w:rPr>
          <w:rFonts w:hint="eastAsia" w:ascii="仿宋_GB2312" w:hAnsi="仿宋_GB2312" w:eastAsia="仿宋_GB2312" w:cs="仿宋_GB2312"/>
          <w:b w:val="0"/>
          <w:bCs/>
          <w:color w:val="auto"/>
          <w:sz w:val="31"/>
          <w:szCs w:val="31"/>
          <w:u w:val="none" w:color="auto"/>
          <w:lang w:eastAsia="zh-CN"/>
        </w:rPr>
        <w:t>“</w:t>
      </w:r>
      <w:r>
        <w:rPr>
          <w:rFonts w:hint="eastAsia" w:ascii="仿宋_GB2312" w:hAnsi="仿宋_GB2312" w:eastAsia="仿宋_GB2312" w:cs="仿宋_GB2312"/>
          <w:b w:val="0"/>
          <w:bCs/>
          <w:color w:val="auto"/>
          <w:sz w:val="31"/>
          <w:szCs w:val="31"/>
          <w:u w:val="none" w:color="auto"/>
        </w:rPr>
        <w:t>便民劳务活动</w:t>
      </w:r>
      <w:r>
        <w:rPr>
          <w:rFonts w:hint="eastAsia" w:ascii="仿宋_GB2312" w:hAnsi="仿宋_GB2312" w:eastAsia="仿宋_GB2312" w:cs="仿宋_GB2312"/>
          <w:b w:val="0"/>
          <w:bCs/>
          <w:color w:val="auto"/>
          <w:sz w:val="31"/>
          <w:szCs w:val="31"/>
          <w:u w:val="none" w:color="auto"/>
          <w:lang w:eastAsia="zh-CN"/>
        </w:rPr>
        <w:t>”“</w:t>
      </w:r>
      <w:r>
        <w:rPr>
          <w:rFonts w:hint="eastAsia" w:ascii="仿宋_GB2312" w:hAnsi="仿宋_GB2312" w:eastAsia="仿宋_GB2312" w:cs="仿宋_GB2312"/>
          <w:b w:val="0"/>
          <w:bCs/>
          <w:color w:val="auto"/>
          <w:sz w:val="31"/>
          <w:szCs w:val="31"/>
          <w:u w:val="none" w:color="auto"/>
        </w:rPr>
        <w:t>零星小额交易活动</w:t>
      </w:r>
      <w:r>
        <w:rPr>
          <w:rFonts w:hint="eastAsia" w:ascii="仿宋_GB2312" w:hAnsi="仿宋_GB2312" w:eastAsia="仿宋_GB2312" w:cs="仿宋_GB2312"/>
          <w:b w:val="0"/>
          <w:bCs/>
          <w:color w:val="auto"/>
          <w:sz w:val="31"/>
          <w:szCs w:val="31"/>
          <w:u w:val="none" w:color="auto"/>
          <w:lang w:eastAsia="zh-CN"/>
        </w:rPr>
        <w:t>”</w:t>
      </w:r>
      <w:r>
        <w:rPr>
          <w:rFonts w:hint="eastAsia" w:ascii="仿宋_GB2312" w:hAnsi="仿宋_GB2312" w:eastAsia="仿宋_GB2312" w:cs="仿宋_GB2312"/>
          <w:b w:val="0"/>
          <w:bCs/>
          <w:color w:val="auto"/>
          <w:sz w:val="31"/>
          <w:szCs w:val="31"/>
          <w:u w:val="none" w:color="auto"/>
        </w:rPr>
        <w:t>标准</w:t>
      </w:r>
      <w:r>
        <w:rPr>
          <w:rFonts w:hint="eastAsia" w:ascii="仿宋_GB2312" w:hAnsi="仿宋_GB2312" w:eastAsia="仿宋_GB2312" w:cs="仿宋_GB2312"/>
          <w:b w:val="0"/>
          <w:bCs/>
          <w:color w:val="auto"/>
          <w:sz w:val="31"/>
          <w:szCs w:val="31"/>
          <w:u w:val="none" w:color="auto"/>
          <w:lang w:eastAsia="zh-CN"/>
        </w:rPr>
        <w:t>按国家要求</w:t>
      </w:r>
      <w:r>
        <w:rPr>
          <w:rFonts w:hint="eastAsia" w:ascii="仿宋_GB2312" w:hAnsi="仿宋_GB2312" w:eastAsia="仿宋_GB2312" w:cs="仿宋_GB2312"/>
          <w:b w:val="0"/>
          <w:bCs/>
          <w:color w:val="auto"/>
          <w:sz w:val="31"/>
          <w:szCs w:val="31"/>
          <w:u w:val="none" w:color="auto"/>
        </w:rPr>
        <w:t>执行</w:t>
      </w:r>
      <w:r>
        <w:rPr>
          <w:rFonts w:hint="eastAsia" w:ascii="仿宋_GB2312" w:hAnsi="仿宋_GB2312" w:eastAsia="仿宋_GB2312" w:cs="仿宋_GB2312"/>
          <w:b w:val="0"/>
          <w:bCs/>
          <w:color w:val="auto"/>
          <w:sz w:val="31"/>
          <w:szCs w:val="31"/>
          <w:u w:val="none" w:color="auto"/>
          <w:lang w:eastAsia="zh-CN"/>
        </w:rPr>
        <w:t>。</w:t>
      </w:r>
      <w:r>
        <w:rPr>
          <w:rFonts w:hint="eastAsia" w:ascii="楷体_GB2312" w:hAnsi="楷体_GB2312" w:eastAsia="楷体_GB2312" w:cs="楷体_GB2312"/>
          <w:color w:val="auto"/>
          <w:sz w:val="31"/>
          <w:szCs w:val="31"/>
          <w:u w:val="none" w:color="auto"/>
          <w:lang w:val="en-US" w:eastAsia="zh-CN"/>
        </w:rPr>
        <w:t>（省人社厅、住建厅、农业农村厅、市场监管局等部门及各设区市人民政府、平潭综合实验区管委会按职责分工负责。以下任务均需各设区市人民政府、平潭综合实验区管委会落实，不再列出）</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right="0" w:rightChars="0" w:firstLine="634" w:firstLineChars="200"/>
        <w:textAlignment w:val="auto"/>
        <w:outlineLvl w:val="9"/>
        <w:rPr>
          <w:rFonts w:hint="eastAsia" w:ascii="楷体_GB2312" w:hAnsi="楷体_GB2312" w:eastAsia="楷体_GB2312" w:cs="楷体_GB2312"/>
          <w:color w:val="auto"/>
          <w:sz w:val="31"/>
          <w:szCs w:val="31"/>
          <w:u w:val="none" w:color="auto"/>
          <w:lang w:val="en-US" w:eastAsia="zh-CN"/>
        </w:rPr>
      </w:pPr>
      <w:r>
        <w:rPr>
          <w:rFonts w:hint="eastAsia" w:ascii="楷体_GB2312" w:hAnsi="楷体_GB2312" w:eastAsia="楷体_GB2312" w:cs="楷体_GB2312"/>
          <w:b/>
          <w:bCs/>
          <w:color w:val="auto"/>
          <w:sz w:val="31"/>
          <w:szCs w:val="31"/>
          <w:u w:val="none" w:color="auto"/>
          <w:lang w:val="en-US" w:eastAsia="zh-CN"/>
        </w:rPr>
        <w:t>（二）支持提升职业技能。</w:t>
      </w:r>
      <w:r>
        <w:rPr>
          <w:rFonts w:hint="eastAsia" w:ascii="仿宋_GB2312" w:hAnsi="仿宋_GB2312" w:eastAsia="仿宋_GB2312" w:cs="仿宋_GB2312"/>
          <w:strike w:val="0"/>
          <w:dstrike w:val="0"/>
          <w:color w:val="auto"/>
          <w:sz w:val="31"/>
          <w:szCs w:val="31"/>
          <w:u w:val="none" w:color="auto"/>
          <w:lang w:val="en-US" w:eastAsia="zh-CN"/>
        </w:rPr>
        <w:t>实施职业技能提升行动，</w:t>
      </w:r>
      <w:r>
        <w:rPr>
          <w:rFonts w:hint="eastAsia" w:ascii="仿宋_GB2312" w:hAnsi="仿宋_GB2312" w:eastAsia="仿宋_GB2312" w:cs="仿宋_GB2312"/>
          <w:color w:val="auto"/>
          <w:sz w:val="31"/>
          <w:szCs w:val="31"/>
          <w:u w:val="none" w:color="auto"/>
          <w:lang w:val="en-US" w:eastAsia="zh-CN"/>
        </w:rPr>
        <w:t>根据各地实际确定</w:t>
      </w:r>
      <w:r>
        <w:rPr>
          <w:rFonts w:hint="eastAsia" w:ascii="仿宋_GB2312" w:hAnsi="仿宋_GB2312" w:cs="仿宋_GB2312"/>
          <w:color w:val="auto"/>
          <w:sz w:val="31"/>
          <w:szCs w:val="31"/>
          <w:u w:val="none" w:color="auto"/>
          <w:lang w:val="en-US" w:eastAsia="zh-CN"/>
        </w:rPr>
        <w:t>职业技能培训</w:t>
      </w:r>
      <w:r>
        <w:rPr>
          <w:rFonts w:hint="eastAsia" w:ascii="仿宋_GB2312" w:hAnsi="仿宋_GB2312" w:eastAsia="仿宋_GB2312" w:cs="仿宋_GB2312"/>
          <w:color w:val="auto"/>
          <w:sz w:val="31"/>
          <w:szCs w:val="31"/>
          <w:u w:val="none" w:color="auto"/>
          <w:lang w:val="en-US" w:eastAsia="zh-CN"/>
        </w:rPr>
        <w:t>补贴标准，将以工代训政策实施期限延长至2021年底，简化申请材料。</w:t>
      </w:r>
      <w:r>
        <w:rPr>
          <w:rFonts w:hint="eastAsia" w:ascii="仿宋_GB2312" w:hAnsi="仿宋_GB2312" w:eastAsia="仿宋_GB2312" w:cs="仿宋_GB2312"/>
          <w:color w:val="auto"/>
          <w:sz w:val="31"/>
          <w:szCs w:val="31"/>
          <w:u w:val="none" w:color="auto"/>
          <w:lang w:eastAsia="zh-CN"/>
        </w:rPr>
        <w:t>加强对家政、养老等行业从业人员职业技能培训，全面提升就业能力。完善企校双师带徒、工学交替培养等模式，创新开展“行校合作”，鼓励行业协会、跨企业培训中心等开展企业新型学徒制培训，并按规定给予培训补贴。</w:t>
      </w:r>
      <w:r>
        <w:rPr>
          <w:rFonts w:hint="eastAsia" w:ascii="仿宋_GB2312" w:hAnsi="仿宋_GB2312" w:eastAsia="仿宋_GB2312" w:cs="仿宋_GB2312"/>
          <w:color w:val="auto"/>
          <w:kern w:val="0"/>
          <w:sz w:val="31"/>
          <w:szCs w:val="31"/>
          <w:u w:val="none" w:color="auto"/>
          <w:lang w:val="en-US" w:eastAsia="zh-CN"/>
        </w:rPr>
        <w:t>优化民办</w:t>
      </w:r>
      <w:r>
        <w:rPr>
          <w:rFonts w:hint="eastAsia" w:ascii="仿宋_GB2312" w:hAnsi="仿宋_GB2312" w:eastAsia="仿宋_GB2312" w:cs="仿宋_GB2312"/>
          <w:color w:val="auto"/>
          <w:kern w:val="0"/>
          <w:sz w:val="31"/>
          <w:szCs w:val="31"/>
          <w:u w:val="none" w:color="auto"/>
          <w:lang w:val="en-US"/>
        </w:rPr>
        <w:t>职业培训机构设立</w:t>
      </w:r>
      <w:r>
        <w:rPr>
          <w:rFonts w:hint="eastAsia" w:ascii="仿宋_GB2312" w:hAnsi="仿宋_GB2312" w:eastAsia="仿宋_GB2312" w:cs="仿宋_GB2312"/>
          <w:color w:val="auto"/>
          <w:kern w:val="0"/>
          <w:sz w:val="31"/>
          <w:szCs w:val="31"/>
          <w:u w:val="none" w:color="auto"/>
          <w:lang w:val="en-US" w:eastAsia="zh-CN"/>
        </w:rPr>
        <w:t>审批流程，在自贸试验区开展民办</w:t>
      </w:r>
      <w:r>
        <w:rPr>
          <w:rFonts w:hint="eastAsia" w:ascii="仿宋_GB2312" w:hAnsi="仿宋_GB2312" w:eastAsia="仿宋_GB2312" w:cs="仿宋_GB2312"/>
          <w:color w:val="auto"/>
          <w:kern w:val="0"/>
          <w:sz w:val="31"/>
          <w:szCs w:val="31"/>
          <w:u w:val="none" w:color="auto"/>
          <w:lang w:val="en-US"/>
        </w:rPr>
        <w:t>职业培训机构设立</w:t>
      </w:r>
      <w:r>
        <w:rPr>
          <w:rFonts w:hint="eastAsia" w:ascii="仿宋_GB2312" w:hAnsi="仿宋_GB2312" w:eastAsia="仿宋_GB2312" w:cs="仿宋_GB2312"/>
          <w:color w:val="auto"/>
          <w:kern w:val="0"/>
          <w:sz w:val="31"/>
          <w:szCs w:val="31"/>
          <w:u w:val="none" w:color="auto"/>
          <w:lang w:val="en-US" w:eastAsia="zh-CN"/>
        </w:rPr>
        <w:t>告知承诺制试点。</w:t>
      </w:r>
      <w:r>
        <w:rPr>
          <w:rFonts w:hint="eastAsia" w:ascii="楷体_GB2312" w:hAnsi="楷体_GB2312" w:eastAsia="楷体_GB2312" w:cs="楷体_GB2312"/>
          <w:color w:val="auto"/>
          <w:sz w:val="31"/>
          <w:szCs w:val="31"/>
          <w:u w:val="none" w:color="auto"/>
          <w:lang w:val="en-US" w:eastAsia="zh-CN"/>
        </w:rPr>
        <w:t>（省人社厅、商务厅、民政厅、财政厅等部门按职责分工负责）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right="0" w:rightChars="0" w:firstLine="634" w:firstLineChars="200"/>
        <w:textAlignment w:val="auto"/>
        <w:outlineLvl w:val="9"/>
        <w:rPr>
          <w:rFonts w:hint="eastAsia" w:ascii="楷体_GB2312" w:hAnsi="楷体_GB2312" w:eastAsia="楷体_GB2312" w:cs="楷体_GB2312"/>
          <w:color w:val="auto"/>
          <w:sz w:val="31"/>
          <w:szCs w:val="31"/>
          <w:u w:val="none" w:color="auto"/>
          <w:lang w:val="en-US" w:eastAsia="zh-CN"/>
        </w:rPr>
      </w:pPr>
      <w:r>
        <w:rPr>
          <w:rFonts w:hint="eastAsia" w:ascii="楷体_GB2312" w:hAnsi="楷体_GB2312" w:eastAsia="楷体_GB2312" w:cs="楷体_GB2312"/>
          <w:b/>
          <w:bCs/>
          <w:color w:val="auto"/>
          <w:sz w:val="31"/>
          <w:szCs w:val="31"/>
          <w:u w:val="none" w:color="auto"/>
          <w:lang w:val="en-US" w:eastAsia="zh-CN"/>
        </w:rPr>
        <w:t>（三）支持和规范新就业形态发展。</w:t>
      </w:r>
      <w:r>
        <w:rPr>
          <w:rFonts w:hint="eastAsia" w:ascii="仿宋_GB2312" w:hAnsi="仿宋_GB2312" w:eastAsia="仿宋_GB2312" w:cs="仿宋_GB2312"/>
          <w:color w:val="auto"/>
          <w:kern w:val="0"/>
          <w:sz w:val="31"/>
          <w:szCs w:val="31"/>
          <w:u w:val="none" w:color="auto"/>
          <w:lang w:val="zh-CN" w:eastAsia="zh-CN"/>
        </w:rPr>
        <w:t>组织实施2021年创业带动就业示范行动，将全省国家双创示范基地新增就业机会能力提升到3万个以上。</w:t>
      </w:r>
      <w:r>
        <w:rPr>
          <w:rFonts w:hint="eastAsia" w:ascii="仿宋_GB2312" w:hAnsi="仿宋_GB2312" w:eastAsia="仿宋_GB2312" w:cs="仿宋_GB2312"/>
          <w:color w:val="auto"/>
          <w:kern w:val="0"/>
          <w:sz w:val="31"/>
          <w:szCs w:val="31"/>
          <w:u w:val="none" w:color="auto"/>
          <w:lang w:val="en-US" w:eastAsia="zh-CN"/>
        </w:rPr>
        <w:t>推动平台企业依法依规履行主体责任，合理确定收费标准，改进管理服务。</w:t>
      </w:r>
      <w:r>
        <w:rPr>
          <w:rFonts w:hint="eastAsia" w:ascii="仿宋_GB2312" w:hAnsi="仿宋_GB2312" w:eastAsia="仿宋_GB2312" w:cs="仿宋_GB2312"/>
          <w:color w:val="auto"/>
          <w:spacing w:val="0"/>
          <w:sz w:val="31"/>
          <w:szCs w:val="31"/>
          <w:u w:val="none" w:color="auto"/>
          <w:lang w:val="en-US" w:eastAsia="zh-CN"/>
        </w:rPr>
        <w:t>提升退役军人就业创业服务水平，做好退役军人创业孵化工作。建设“三创教育示范院校”和“产创融合教育实践示范基地”，推动创新创业</w:t>
      </w:r>
      <w:r>
        <w:rPr>
          <w:rFonts w:hint="eastAsia" w:ascii="仿宋_GB2312" w:hAnsi="仿宋_GB2312" w:eastAsia="仿宋_GB2312" w:cs="仿宋_GB2312"/>
          <w:strike w:val="0"/>
          <w:dstrike w:val="0"/>
          <w:color w:val="auto"/>
          <w:spacing w:val="0"/>
          <w:sz w:val="31"/>
          <w:szCs w:val="31"/>
          <w:u w:val="none" w:color="auto"/>
          <w:lang w:val="en-US" w:eastAsia="zh-CN"/>
        </w:rPr>
        <w:t>优秀</w:t>
      </w:r>
      <w:r>
        <w:rPr>
          <w:rFonts w:hint="eastAsia" w:ascii="仿宋_GB2312" w:hAnsi="仿宋_GB2312" w:eastAsia="仿宋_GB2312" w:cs="仿宋_GB2312"/>
          <w:color w:val="auto"/>
          <w:spacing w:val="0"/>
          <w:sz w:val="31"/>
          <w:szCs w:val="31"/>
          <w:u w:val="none" w:color="auto"/>
          <w:lang w:val="en-US" w:eastAsia="zh-CN"/>
        </w:rPr>
        <w:t>项目落地见效。积极培育一批扎根乡村、创办乡产、带动乡亲的创业就业主体，</w:t>
      </w:r>
      <w:r>
        <w:rPr>
          <w:rFonts w:hint="eastAsia" w:ascii="仿宋_GB2312" w:hAnsi="仿宋_GB2312" w:eastAsia="仿宋_GB2312" w:cs="仿宋_GB2312"/>
          <w:strike w:val="0"/>
          <w:dstrike w:val="0"/>
          <w:color w:val="auto"/>
          <w:spacing w:val="0"/>
          <w:sz w:val="31"/>
          <w:szCs w:val="31"/>
          <w:u w:val="none" w:color="auto"/>
          <w:lang w:val="en-US" w:eastAsia="zh-CN"/>
        </w:rPr>
        <w:t>到2025年全省培育3万名农村创业创新带头人；鼓励各地</w:t>
      </w:r>
      <w:r>
        <w:rPr>
          <w:rFonts w:hint="eastAsia" w:ascii="仿宋_GB2312" w:hAnsi="仿宋_GB2312" w:eastAsia="仿宋_GB2312" w:cs="仿宋_GB2312"/>
          <w:color w:val="auto"/>
          <w:spacing w:val="0"/>
          <w:sz w:val="31"/>
          <w:szCs w:val="31"/>
          <w:u w:val="none" w:color="auto"/>
          <w:lang w:val="en-US" w:eastAsia="zh-CN"/>
        </w:rPr>
        <w:t>持续推介优秀创意项目和创业主体。引导城镇灵活就业人员、被征地农民和其他有条件的人员参加企业职工基本养老保险；加大力度推动小微企业、有雇工的个体工商户和部分符合条件的特殊群体人员参加工伤保险；推动达到法定劳动年龄的灵活就业人员可凭居住证办理医保登记。</w:t>
      </w:r>
      <w:r>
        <w:rPr>
          <w:rFonts w:hint="eastAsia" w:ascii="楷体_GB2312" w:hAnsi="楷体_GB2312" w:eastAsia="楷体_GB2312" w:cs="楷体_GB2312"/>
          <w:color w:val="auto"/>
          <w:sz w:val="31"/>
          <w:szCs w:val="31"/>
          <w:u w:val="none" w:color="auto"/>
          <w:lang w:val="en-US" w:eastAsia="zh-CN"/>
        </w:rPr>
        <w:t>（省发改委、教育厅、人社厅、农业农村厅、退役军人厅、市场监管局、医保局等部门按职责分工负责）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right="0" w:rightChars="0" w:firstLine="634" w:firstLineChars="200"/>
        <w:textAlignment w:val="auto"/>
        <w:outlineLvl w:val="9"/>
        <w:rPr>
          <w:rFonts w:hint="eastAsia" w:ascii="仿宋_GB2312" w:hAnsi="仿宋_GB2312" w:eastAsia="仿宋_GB2312" w:cs="仿宋_GB2312"/>
          <w:color w:val="auto"/>
          <w:sz w:val="31"/>
          <w:szCs w:val="31"/>
          <w:u w:val="none" w:color="auto"/>
          <w:lang w:val="en-US" w:eastAsia="zh-CN"/>
        </w:rPr>
      </w:pPr>
      <w:r>
        <w:rPr>
          <w:rFonts w:hint="eastAsia" w:ascii="楷体_GB2312" w:hAnsi="楷体_GB2312" w:eastAsia="楷体_GB2312" w:cs="楷体_GB2312"/>
          <w:b/>
          <w:bCs/>
          <w:color w:val="auto"/>
          <w:sz w:val="31"/>
          <w:szCs w:val="31"/>
          <w:u w:val="none" w:color="auto"/>
          <w:lang w:val="en-US" w:eastAsia="zh-CN"/>
        </w:rPr>
        <w:t>（四）加强就业创业财税金融支持。</w:t>
      </w:r>
      <w:r>
        <w:rPr>
          <w:rFonts w:hint="eastAsia" w:ascii="仿宋_GB2312" w:hAnsi="仿宋_GB2312" w:eastAsia="仿宋_GB2312" w:cs="仿宋_GB2312"/>
          <w:strike w:val="0"/>
          <w:dstrike w:val="0"/>
          <w:color w:val="auto"/>
          <w:kern w:val="0"/>
          <w:sz w:val="31"/>
          <w:szCs w:val="31"/>
          <w:u w:val="none" w:color="auto"/>
          <w:lang w:val="en-US" w:eastAsia="zh-CN"/>
        </w:rPr>
        <w:t>充分发挥创业支持资金作用，</w:t>
      </w:r>
      <w:r>
        <w:rPr>
          <w:rFonts w:hint="eastAsia" w:ascii="仿宋_GB2312" w:hAnsi="仿宋_GB2312" w:eastAsia="仿宋_GB2312" w:cs="仿宋_GB2312"/>
          <w:strike w:val="0"/>
          <w:dstrike w:val="0"/>
          <w:color w:val="auto"/>
          <w:spacing w:val="0"/>
          <w:sz w:val="31"/>
          <w:szCs w:val="31"/>
          <w:u w:val="none" w:color="auto"/>
          <w:lang w:val="en-US" w:eastAsia="zh-CN"/>
        </w:rPr>
        <w:t>为落实各项就业创业政策提供资金保障</w:t>
      </w:r>
      <w:r>
        <w:rPr>
          <w:rFonts w:hint="eastAsia" w:ascii="仿宋_GB2312" w:hAnsi="仿宋_GB2312" w:eastAsia="仿宋_GB2312" w:cs="仿宋_GB2312"/>
          <w:strike w:val="0"/>
          <w:dstrike w:val="0"/>
          <w:color w:val="auto"/>
          <w:kern w:val="0"/>
          <w:sz w:val="31"/>
          <w:szCs w:val="31"/>
          <w:u w:val="none" w:color="auto"/>
          <w:lang w:val="en-US" w:eastAsia="zh-CN"/>
        </w:rPr>
        <w:t>。</w:t>
      </w:r>
      <w:r>
        <w:rPr>
          <w:rFonts w:hint="eastAsia" w:ascii="仿宋_GB2312" w:hAnsi="仿宋_GB2312" w:eastAsia="仿宋_GB2312" w:cs="仿宋_GB2312"/>
          <w:color w:val="auto"/>
          <w:kern w:val="0"/>
          <w:sz w:val="31"/>
          <w:szCs w:val="31"/>
          <w:u w:val="none" w:color="auto"/>
          <w:lang w:val="en-US" w:eastAsia="zh-CN"/>
        </w:rPr>
        <w:t>对招用自主就业退役士兵的企业，以及自主就业退役士兵从事个体经营的，落实税额减免政策。</w:t>
      </w:r>
      <w:r>
        <w:rPr>
          <w:rFonts w:hint="eastAsia" w:ascii="仿宋_GB2312" w:hAnsi="仿宋_GB2312" w:eastAsia="仿宋_GB2312" w:cs="仿宋_GB2312"/>
          <w:color w:val="auto"/>
          <w:spacing w:val="0"/>
          <w:sz w:val="31"/>
          <w:szCs w:val="31"/>
          <w:u w:val="none" w:color="auto"/>
          <w:lang w:val="en-US" w:eastAsia="zh-CN"/>
        </w:rPr>
        <w:t>发挥创业就业金融服务中心作用，支持返乡下乡人员就业创业；持续推动金融机构加大创业就业贷款投放，简化申请审批资料和流程。</w:t>
      </w:r>
      <w:r>
        <w:rPr>
          <w:rFonts w:hint="eastAsia" w:ascii="楷体_GB2312" w:hAnsi="楷体_GB2312" w:eastAsia="楷体_GB2312" w:cs="楷体_GB2312"/>
          <w:color w:val="auto"/>
          <w:sz w:val="31"/>
          <w:szCs w:val="31"/>
          <w:u w:val="none" w:color="auto"/>
          <w:lang w:val="en-US" w:eastAsia="zh-CN"/>
        </w:rPr>
        <w:t>（省财政厅、金融监管局、人社厅，人行福州中心支行、福建省税务局、厦门市税务局、福建银保监局、厦门银保监局等部门按职责分工负责）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right="0" w:rightChars="0" w:firstLine="634" w:firstLineChars="200"/>
        <w:textAlignment w:val="auto"/>
        <w:outlineLvl w:val="9"/>
        <w:rPr>
          <w:rFonts w:hint="eastAsia" w:ascii="黑体" w:hAnsi="黑体" w:eastAsia="黑体" w:cs="黑体"/>
          <w:color w:val="auto"/>
          <w:spacing w:val="0"/>
          <w:sz w:val="31"/>
          <w:szCs w:val="31"/>
          <w:u w:val="none" w:color="auto"/>
          <w:lang w:val="en" w:eastAsia="zh-CN"/>
        </w:rPr>
      </w:pPr>
      <w:r>
        <w:rPr>
          <w:rFonts w:hint="eastAsia" w:ascii="黑体" w:hAnsi="黑体" w:eastAsia="黑体" w:cs="黑体"/>
          <w:color w:val="auto"/>
          <w:spacing w:val="0"/>
          <w:sz w:val="31"/>
          <w:szCs w:val="31"/>
          <w:u w:val="none" w:color="auto"/>
          <w:lang w:val="en-US" w:eastAsia="zh-CN"/>
        </w:rPr>
        <w:t>三、进一步推动减轻市场主体负担</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4" w:firstLineChars="200"/>
        <w:textAlignment w:val="auto"/>
        <w:outlineLvl w:val="9"/>
        <w:rPr>
          <w:rFonts w:hint="eastAsia" w:ascii="楷体_GB2312" w:hAnsi="楷体_GB2312" w:eastAsia="楷体_GB2312" w:cs="楷体_GB2312"/>
          <w:color w:val="auto"/>
          <w:sz w:val="31"/>
          <w:szCs w:val="31"/>
          <w:u w:val="none" w:color="auto"/>
          <w:lang w:val="en-US" w:eastAsia="zh-CN"/>
        </w:rPr>
      </w:pPr>
      <w:r>
        <w:rPr>
          <w:rFonts w:hint="eastAsia" w:ascii="楷体_GB2312" w:hAnsi="楷体_GB2312" w:eastAsia="楷体_GB2312" w:cs="楷体_GB2312"/>
          <w:b/>
          <w:bCs/>
          <w:color w:val="auto"/>
          <w:sz w:val="31"/>
          <w:szCs w:val="31"/>
          <w:u w:val="none" w:color="auto"/>
          <w:lang w:val="en-US" w:eastAsia="zh-CN"/>
        </w:rPr>
        <w:t>（一）优化惠企财税政策。</w:t>
      </w:r>
      <w:r>
        <w:rPr>
          <w:rFonts w:hint="eastAsia" w:ascii="仿宋_GB2312" w:hAnsi="仿宋_GB2312" w:eastAsia="仿宋_GB2312" w:cs="仿宋_GB2312"/>
          <w:strike w:val="0"/>
          <w:dstrike w:val="0"/>
          <w:color w:val="auto"/>
          <w:sz w:val="31"/>
          <w:szCs w:val="31"/>
          <w:u w:val="none" w:color="auto"/>
          <w:lang w:val="en-US" w:eastAsia="zh-CN"/>
        </w:rPr>
        <w:t>完善</w:t>
      </w:r>
      <w:r>
        <w:rPr>
          <w:rFonts w:hint="eastAsia" w:ascii="仿宋_GB2312" w:hAnsi="仿宋_GB2312" w:eastAsia="仿宋_GB2312" w:cs="仿宋_GB2312"/>
          <w:color w:val="auto"/>
          <w:sz w:val="31"/>
          <w:szCs w:val="31"/>
          <w:u w:val="none" w:color="auto"/>
          <w:lang w:val="en-US"/>
        </w:rPr>
        <w:t>直达惠企资金</w:t>
      </w:r>
      <w:r>
        <w:rPr>
          <w:rFonts w:hint="eastAsia" w:ascii="仿宋_GB2312" w:hAnsi="仿宋_GB2312" w:eastAsia="仿宋_GB2312" w:cs="仿宋_GB2312"/>
          <w:color w:val="auto"/>
          <w:sz w:val="31"/>
          <w:szCs w:val="31"/>
          <w:u w:val="none" w:color="auto"/>
          <w:lang w:val="en-US" w:eastAsia="zh-CN"/>
        </w:rPr>
        <w:t>使用、</w:t>
      </w:r>
      <w:r>
        <w:rPr>
          <w:rFonts w:hint="eastAsia" w:ascii="仿宋_GB2312" w:hAnsi="仿宋_GB2312" w:eastAsia="仿宋_GB2312" w:cs="仿宋_GB2312"/>
          <w:color w:val="auto"/>
          <w:sz w:val="31"/>
          <w:szCs w:val="31"/>
          <w:u w:val="none" w:color="auto"/>
          <w:lang w:val="en-US"/>
        </w:rPr>
        <w:t>监</w:t>
      </w:r>
      <w:r>
        <w:rPr>
          <w:rFonts w:hint="eastAsia" w:ascii="仿宋_GB2312" w:hAnsi="仿宋_GB2312" w:eastAsia="仿宋_GB2312" w:cs="仿宋_GB2312"/>
          <w:color w:val="auto"/>
          <w:sz w:val="31"/>
          <w:szCs w:val="31"/>
          <w:u w:val="none" w:color="auto"/>
          <w:lang w:val="en-US" w:eastAsia="zh-CN"/>
        </w:rPr>
        <w:t>管全过程管理</w:t>
      </w:r>
      <w:r>
        <w:rPr>
          <w:rFonts w:hint="eastAsia" w:ascii="仿宋_GB2312" w:hAnsi="仿宋_GB2312" w:eastAsia="仿宋_GB2312" w:cs="仿宋_GB2312"/>
          <w:color w:val="auto"/>
          <w:sz w:val="31"/>
          <w:szCs w:val="31"/>
          <w:u w:val="none" w:color="auto"/>
          <w:lang w:val="en-US"/>
        </w:rPr>
        <w:t>，加强专项对账，确保资金快速、精准直达企业。</w:t>
      </w:r>
      <w:r>
        <w:rPr>
          <w:rFonts w:hint="eastAsia" w:ascii="仿宋_GB2312" w:hAnsi="仿宋_GB2312" w:eastAsia="仿宋_GB2312" w:cs="仿宋_GB2312"/>
          <w:color w:val="auto"/>
          <w:sz w:val="31"/>
          <w:szCs w:val="31"/>
          <w:u w:val="none" w:color="auto"/>
          <w:lang w:val="en-US" w:eastAsia="zh-CN"/>
        </w:rPr>
        <w:t>精简</w:t>
      </w:r>
      <w:r>
        <w:rPr>
          <w:rFonts w:hint="eastAsia" w:ascii="仿宋_GB2312" w:hAnsi="仿宋_GB2312" w:eastAsia="仿宋_GB2312" w:cs="仿宋_GB2312"/>
          <w:color w:val="auto"/>
          <w:sz w:val="31"/>
          <w:szCs w:val="31"/>
          <w:u w:val="none" w:color="auto"/>
          <w:lang w:val="en-US"/>
        </w:rPr>
        <w:t>退税流程</w:t>
      </w:r>
      <w:r>
        <w:rPr>
          <w:rFonts w:hint="eastAsia" w:ascii="仿宋_GB2312" w:hAnsi="仿宋_GB2312" w:eastAsia="仿宋_GB2312" w:cs="仿宋_GB2312"/>
          <w:color w:val="auto"/>
          <w:sz w:val="31"/>
          <w:szCs w:val="31"/>
          <w:u w:val="none" w:color="auto"/>
          <w:lang w:val="en-US" w:eastAsia="zh-CN"/>
        </w:rPr>
        <w:t>，</w:t>
      </w:r>
      <w:r>
        <w:rPr>
          <w:rFonts w:hint="eastAsia" w:ascii="仿宋_GB2312" w:hAnsi="仿宋_GB2312" w:eastAsia="仿宋_GB2312" w:cs="仿宋_GB2312"/>
          <w:color w:val="auto"/>
          <w:spacing w:val="0"/>
          <w:sz w:val="31"/>
          <w:szCs w:val="31"/>
          <w:u w:val="none" w:color="auto"/>
          <w:lang w:val="en-US" w:eastAsia="zh-CN"/>
        </w:rPr>
        <w:t>实现无纸化退税。完善非税收入收缴系统，搭建手机银行、网上银行、第三方支付等多种线上支付渠道，打破缴款的省域限制。扩大税收优惠政策资料备案改备查范围，2022年底前除增值税即征即退、先征后退（返）、加计抵减以及自然人税收外的其他税收优惠备案全部改为资料留存备查。2021年6月1日起全省实行财产和行为税10税合并申报，厦门2021年5月1日起开展增值税、消费税分别与城市维护建设税、教育费附加、地方教育附加申报表整合试点。</w:t>
      </w:r>
      <w:r>
        <w:rPr>
          <w:rFonts w:hint="eastAsia" w:ascii="楷体_GB2312" w:hAnsi="楷体_GB2312" w:eastAsia="楷体_GB2312" w:cs="楷体_GB2312"/>
          <w:color w:val="auto"/>
          <w:sz w:val="31"/>
          <w:szCs w:val="31"/>
          <w:u w:val="none" w:color="auto"/>
          <w:lang w:val="en-US" w:eastAsia="zh-CN"/>
        </w:rPr>
        <w:t>（省财政厅，福建省税务局、厦门市税务局等部门按职责分工负责）</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4" w:firstLineChars="200"/>
        <w:textAlignment w:val="auto"/>
        <w:outlineLvl w:val="9"/>
        <w:rPr>
          <w:rFonts w:hint="eastAsia" w:ascii="楷体_GB2312" w:hAnsi="楷体_GB2312" w:eastAsia="楷体_GB2312" w:cs="楷体_GB2312"/>
          <w:color w:val="auto"/>
          <w:spacing w:val="0"/>
          <w:sz w:val="31"/>
          <w:szCs w:val="31"/>
          <w:u w:val="none" w:color="auto"/>
          <w:lang w:val="en-US" w:eastAsia="zh-CN"/>
        </w:rPr>
      </w:pPr>
      <w:r>
        <w:rPr>
          <w:rFonts w:hint="eastAsia" w:ascii="楷体_GB2312" w:hAnsi="楷体_GB2312" w:eastAsia="楷体_GB2312" w:cs="楷体_GB2312"/>
          <w:b/>
          <w:bCs/>
          <w:color w:val="auto"/>
          <w:sz w:val="31"/>
          <w:szCs w:val="31"/>
          <w:u w:val="none" w:color="auto"/>
          <w:lang w:val="en-US" w:eastAsia="zh-CN"/>
        </w:rPr>
        <w:t>（二）完善信用惠企机制。</w:t>
      </w:r>
      <w:r>
        <w:rPr>
          <w:rFonts w:hint="eastAsia" w:ascii="仿宋_GB2312" w:hAnsi="仿宋_GB2312" w:eastAsia="仿宋_GB2312" w:cs="仿宋_GB2312"/>
          <w:color w:val="auto"/>
          <w:spacing w:val="0"/>
          <w:sz w:val="31"/>
          <w:szCs w:val="31"/>
          <w:u w:val="none" w:color="auto"/>
          <w:lang w:val="en-US" w:eastAsia="zh-CN"/>
        </w:rPr>
        <w:t>开展信用服务机构违法失信行为专项治理，鼓励信用服务机构开展信用承诺；加快推进医社保等相关信用信息汇聚至省政务数据汇聚共享平台；推动省内融资服务平台与全国“信易贷”平台共建共享公共信用信息；鼓励银行业</w:t>
      </w:r>
      <w:r>
        <w:rPr>
          <w:rFonts w:hint="eastAsia" w:ascii="仿宋_GB2312" w:hAnsi="仿宋_GB2312" w:cs="仿宋_GB2312"/>
          <w:color w:val="auto"/>
          <w:spacing w:val="0"/>
          <w:sz w:val="31"/>
          <w:szCs w:val="31"/>
          <w:u w:val="none" w:color="auto"/>
          <w:lang w:val="en-US" w:eastAsia="zh-CN"/>
        </w:rPr>
        <w:t>金融</w:t>
      </w:r>
      <w:r>
        <w:rPr>
          <w:rFonts w:hint="eastAsia" w:ascii="仿宋_GB2312" w:hAnsi="仿宋_GB2312" w:eastAsia="仿宋_GB2312" w:cs="仿宋_GB2312"/>
          <w:color w:val="auto"/>
          <w:spacing w:val="0"/>
          <w:sz w:val="31"/>
          <w:szCs w:val="31"/>
          <w:u w:val="none" w:color="auto"/>
          <w:lang w:val="en-US" w:eastAsia="zh-CN"/>
        </w:rPr>
        <w:t>机构在做好数据安全管理的基础上，将公共涉企数据与机构内部金融数据有机结合，鼓励银行</w:t>
      </w:r>
      <w:r>
        <w:rPr>
          <w:rFonts w:hint="eastAsia" w:ascii="仿宋_GB2312" w:hAnsi="仿宋_GB2312" w:cs="仿宋_GB2312"/>
          <w:color w:val="auto"/>
          <w:spacing w:val="0"/>
          <w:sz w:val="31"/>
          <w:szCs w:val="31"/>
          <w:u w:val="none" w:color="auto"/>
          <w:lang w:val="en-US" w:eastAsia="zh-CN"/>
        </w:rPr>
        <w:t>业</w:t>
      </w:r>
      <w:r>
        <w:rPr>
          <w:rFonts w:hint="eastAsia" w:ascii="仿宋_GB2312" w:hAnsi="仿宋_GB2312" w:eastAsia="仿宋_GB2312" w:cs="仿宋_GB2312"/>
          <w:color w:val="auto"/>
          <w:spacing w:val="0"/>
          <w:sz w:val="31"/>
          <w:szCs w:val="31"/>
          <w:u w:val="none" w:color="auto"/>
          <w:lang w:val="en-US" w:eastAsia="zh-CN"/>
        </w:rPr>
        <w:t>金融机构与第三方信用服务机构联合建模，改进业务审批技术和风险管理模型，为小微企业准确“画像”；建立中小微企业“信易贷”免责机制，探索非信贷类“替代数据”在征信领域的应用，创新开发符合行业特点和小微企业特性的征信产品和服务，推动征信产品在金融领域应用。</w:t>
      </w:r>
      <w:r>
        <w:rPr>
          <w:rFonts w:hint="eastAsia" w:ascii="楷体_GB2312" w:hAnsi="楷体_GB2312" w:eastAsia="楷体_GB2312" w:cs="楷体_GB2312"/>
          <w:color w:val="auto"/>
          <w:sz w:val="31"/>
          <w:szCs w:val="31"/>
          <w:u w:val="none" w:color="auto"/>
          <w:lang w:val="en-US" w:eastAsia="zh-CN"/>
        </w:rPr>
        <w:t>（省发改委、人社厅、市场监管局、医保局、金融监管局，人行福州中心支行、福建银保监局、厦门银保监局等部门按职责分工负责）</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4" w:firstLineChars="200"/>
        <w:textAlignment w:val="auto"/>
        <w:outlineLvl w:val="9"/>
        <w:rPr>
          <w:rFonts w:hint="eastAsia" w:ascii="楷体_GB2312" w:hAnsi="楷体_GB2312" w:eastAsia="楷体_GB2312" w:cs="楷体_GB2312"/>
          <w:color w:val="auto"/>
          <w:sz w:val="31"/>
          <w:szCs w:val="31"/>
          <w:u w:val="none" w:color="auto"/>
          <w:lang w:val="en-US" w:eastAsia="zh-CN"/>
        </w:rPr>
      </w:pPr>
      <w:r>
        <w:rPr>
          <w:rFonts w:hint="eastAsia" w:ascii="楷体_GB2312" w:hAnsi="楷体_GB2312" w:eastAsia="楷体_GB2312" w:cs="楷体_GB2312"/>
          <w:b/>
          <w:bCs/>
          <w:color w:val="auto"/>
          <w:sz w:val="31"/>
          <w:szCs w:val="31"/>
          <w:u w:val="none" w:color="auto"/>
          <w:lang w:val="en-US" w:eastAsia="zh-CN"/>
        </w:rPr>
        <w:t>（三）建立健全合规经营制度。</w:t>
      </w:r>
      <w:r>
        <w:rPr>
          <w:rFonts w:hint="eastAsia" w:ascii="仿宋_GB2312" w:hAnsi="仿宋_GB2312" w:eastAsia="仿宋_GB2312" w:cs="仿宋_GB2312"/>
          <w:color w:val="auto"/>
          <w:spacing w:val="0"/>
          <w:sz w:val="31"/>
          <w:szCs w:val="31"/>
          <w:u w:val="none" w:color="auto"/>
          <w:lang w:val="en-US" w:eastAsia="zh-CN"/>
        </w:rPr>
        <w:t>清理规范城镇供水供电供气行业收费。依法查处民生领域市场垄断和滥用市场支配地位违法行为，维护市场公平竞争秩序和消费者合法权益。</w:t>
      </w:r>
      <w:r>
        <w:rPr>
          <w:rFonts w:hint="eastAsia" w:ascii="仿宋_GB2312" w:hAnsi="仿宋_GB2312" w:eastAsia="仿宋_GB2312" w:cs="仿宋_GB2312"/>
          <w:color w:val="auto"/>
          <w:sz w:val="31"/>
          <w:szCs w:val="31"/>
          <w:u w:val="none" w:color="auto"/>
          <w:lang w:val="en-US" w:eastAsia="zh-CN"/>
        </w:rPr>
        <w:t>深入开展“蓝天”专项整治行动，加强对知识产权领域服务机构监管。</w:t>
      </w:r>
      <w:r>
        <w:rPr>
          <w:rFonts w:hint="eastAsia" w:ascii="楷体_GB2312" w:hAnsi="楷体_GB2312" w:eastAsia="楷体_GB2312" w:cs="楷体_GB2312"/>
          <w:color w:val="auto"/>
          <w:sz w:val="31"/>
          <w:szCs w:val="31"/>
          <w:u w:val="none" w:color="auto"/>
          <w:lang w:val="en-US" w:eastAsia="zh-CN"/>
        </w:rPr>
        <w:t>（省发改委、市场监管局等部门按职责分工负责）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right="0" w:rightChars="0" w:firstLine="634" w:firstLineChars="200"/>
        <w:textAlignment w:val="auto"/>
        <w:outlineLvl w:val="9"/>
        <w:rPr>
          <w:rFonts w:hint="eastAsia" w:ascii="楷体_GB2312" w:hAnsi="楷体_GB2312" w:eastAsia="楷体_GB2312" w:cs="楷体_GB2312"/>
          <w:color w:val="auto"/>
          <w:sz w:val="31"/>
          <w:szCs w:val="31"/>
          <w:u w:val="none" w:color="auto"/>
          <w:lang w:val="en-US" w:eastAsia="zh-CN"/>
        </w:rPr>
      </w:pPr>
      <w:r>
        <w:rPr>
          <w:rFonts w:hint="eastAsia" w:ascii="楷体_GB2312" w:hAnsi="楷体_GB2312" w:eastAsia="楷体_GB2312" w:cs="楷体_GB2312"/>
          <w:b/>
          <w:bCs/>
          <w:color w:val="auto"/>
          <w:sz w:val="31"/>
          <w:szCs w:val="31"/>
          <w:u w:val="none" w:color="auto"/>
          <w:lang w:val="en-US" w:eastAsia="zh-CN"/>
        </w:rPr>
        <w:t>（四）加强中介服务管理。</w:t>
      </w:r>
      <w:r>
        <w:rPr>
          <w:rFonts w:hint="eastAsia" w:ascii="仿宋_GB2312" w:hAnsi="仿宋_GB2312" w:eastAsia="仿宋_GB2312" w:cs="仿宋_GB2312"/>
          <w:color w:val="auto"/>
          <w:sz w:val="31"/>
          <w:szCs w:val="31"/>
          <w:u w:val="none" w:color="auto"/>
          <w:lang w:val="en-US" w:eastAsia="zh-CN"/>
        </w:rPr>
        <w:t>落实行政审批必要条件中介服务事项清单动态调整机制，清单之外政府部门不得对企业群众办事指定特定资质中介机构提供中介服务。加强行政审批中介服务机构收费监管，重点规范行政机关将其自身应承担的中介服务费用转嫁给企业等行为和不按规定明码标价等价格违法行为，推动中介机构公开服务条件、流程、时限。</w:t>
      </w:r>
      <w:r>
        <w:rPr>
          <w:rFonts w:hint="eastAsia" w:ascii="楷体_GB2312" w:hAnsi="楷体_GB2312" w:eastAsia="楷体_GB2312" w:cs="楷体_GB2312"/>
          <w:color w:val="auto"/>
          <w:sz w:val="31"/>
          <w:szCs w:val="31"/>
          <w:u w:val="none" w:color="auto"/>
          <w:lang w:val="en-US" w:eastAsia="zh-CN"/>
        </w:rPr>
        <w:t>（省审改办、市场监管局等部门按职责分工负责）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right="0" w:rightChars="0" w:firstLine="634" w:firstLineChars="200"/>
        <w:textAlignment w:val="auto"/>
        <w:outlineLvl w:val="9"/>
        <w:rPr>
          <w:rFonts w:hint="eastAsia" w:ascii="楷体_GB2312" w:hAnsi="楷体_GB2312" w:eastAsia="楷体_GB2312" w:cs="楷体_GB2312"/>
          <w:color w:val="auto"/>
          <w:sz w:val="31"/>
          <w:szCs w:val="31"/>
          <w:u w:val="none" w:color="auto"/>
          <w:lang w:val="en-US" w:eastAsia="zh-CN"/>
        </w:rPr>
      </w:pPr>
      <w:r>
        <w:rPr>
          <w:rFonts w:hint="eastAsia" w:ascii="楷体_GB2312" w:hAnsi="楷体_GB2312" w:eastAsia="楷体_GB2312" w:cs="楷体_GB2312"/>
          <w:b/>
          <w:bCs/>
          <w:color w:val="auto"/>
          <w:sz w:val="31"/>
          <w:szCs w:val="31"/>
          <w:u w:val="none" w:color="auto"/>
          <w:lang w:val="en-US" w:eastAsia="zh-CN"/>
        </w:rPr>
        <w:t>（五）规范改进认证服务。</w:t>
      </w:r>
      <w:r>
        <w:rPr>
          <w:rFonts w:hint="eastAsia" w:ascii="仿宋_GB2312" w:hAnsi="仿宋_GB2312" w:eastAsia="仿宋_GB2312" w:cs="仿宋_GB2312"/>
          <w:b w:val="0"/>
          <w:bCs/>
          <w:color w:val="auto"/>
          <w:sz w:val="31"/>
          <w:szCs w:val="31"/>
          <w:u w:val="none" w:color="auto"/>
        </w:rPr>
        <w:t>加强对认证机构</w:t>
      </w:r>
      <w:r>
        <w:rPr>
          <w:rFonts w:hint="eastAsia" w:ascii="仿宋_GB2312" w:hAnsi="仿宋_GB2312" w:cs="仿宋_GB2312"/>
          <w:b w:val="0"/>
          <w:bCs/>
          <w:color w:val="auto"/>
          <w:sz w:val="31"/>
          <w:szCs w:val="31"/>
          <w:u w:val="none" w:color="auto"/>
          <w:lang w:eastAsia="zh-CN"/>
        </w:rPr>
        <w:t>的</w:t>
      </w:r>
      <w:r>
        <w:rPr>
          <w:rFonts w:hint="eastAsia" w:ascii="仿宋_GB2312" w:hAnsi="仿宋_GB2312" w:eastAsia="仿宋_GB2312" w:cs="仿宋_GB2312"/>
          <w:b w:val="0"/>
          <w:bCs/>
          <w:color w:val="auto"/>
          <w:sz w:val="31"/>
          <w:szCs w:val="31"/>
          <w:u w:val="none" w:color="auto"/>
        </w:rPr>
        <w:t>监管，督促认证机构及时上传、公布认证信息，提高服务质量，提升机构信誉；</w:t>
      </w:r>
      <w:r>
        <w:rPr>
          <w:rFonts w:hint="eastAsia" w:ascii="仿宋_GB2312" w:hAnsi="仿宋_GB2312" w:eastAsia="仿宋_GB2312" w:cs="仿宋_GB2312"/>
          <w:b w:val="0"/>
          <w:bCs/>
          <w:strike w:val="0"/>
          <w:dstrike w:val="0"/>
          <w:color w:val="auto"/>
          <w:sz w:val="31"/>
          <w:szCs w:val="31"/>
          <w:u w:val="none" w:color="auto"/>
          <w:lang w:eastAsia="zh-CN"/>
        </w:rPr>
        <w:t>规范</w:t>
      </w:r>
      <w:r>
        <w:rPr>
          <w:rFonts w:hint="eastAsia" w:ascii="仿宋_GB2312" w:hAnsi="仿宋_GB2312" w:eastAsia="仿宋_GB2312" w:cs="仿宋_GB2312"/>
          <w:b w:val="0"/>
          <w:bCs/>
          <w:color w:val="auto"/>
          <w:sz w:val="31"/>
          <w:szCs w:val="31"/>
          <w:u w:val="none" w:color="auto"/>
        </w:rPr>
        <w:t>省内涉及认证的评价制度，向国家统一的认证制度转变；加强与相关行业协会等沟通协调，加大宣传力度，</w:t>
      </w:r>
      <w:r>
        <w:rPr>
          <w:rFonts w:hint="eastAsia" w:ascii="仿宋_GB2312" w:hAnsi="仿宋_GB2312" w:eastAsia="仿宋_GB2312" w:cs="仿宋_GB2312"/>
          <w:b w:val="0"/>
          <w:bCs/>
          <w:color w:val="auto"/>
          <w:sz w:val="31"/>
          <w:szCs w:val="31"/>
          <w:u w:val="none" w:color="auto"/>
          <w:lang w:eastAsia="zh-CN"/>
        </w:rPr>
        <w:t>建立健全</w:t>
      </w:r>
      <w:r>
        <w:rPr>
          <w:rFonts w:hint="eastAsia" w:ascii="仿宋_GB2312" w:hAnsi="仿宋_GB2312" w:eastAsia="仿宋_GB2312" w:cs="仿宋_GB2312"/>
          <w:b w:val="0"/>
          <w:bCs/>
          <w:color w:val="auto"/>
          <w:sz w:val="31"/>
          <w:szCs w:val="31"/>
          <w:u w:val="none" w:color="auto"/>
        </w:rPr>
        <w:t>政府、行业、社会等</w:t>
      </w:r>
      <w:r>
        <w:rPr>
          <w:rFonts w:hint="eastAsia" w:ascii="仿宋_GB2312" w:hAnsi="仿宋_GB2312" w:eastAsia="仿宋_GB2312" w:cs="仿宋_GB2312"/>
          <w:b w:val="0"/>
          <w:bCs/>
          <w:strike w:val="0"/>
          <w:dstrike w:val="0"/>
          <w:color w:val="auto"/>
          <w:sz w:val="31"/>
          <w:szCs w:val="31"/>
          <w:u w:val="none" w:color="auto"/>
          <w:lang w:eastAsia="zh-CN"/>
        </w:rPr>
        <w:t>多层面的</w:t>
      </w:r>
      <w:r>
        <w:rPr>
          <w:rFonts w:hint="eastAsia" w:ascii="仿宋_GB2312" w:hAnsi="仿宋_GB2312" w:eastAsia="仿宋_GB2312" w:cs="仿宋_GB2312"/>
          <w:b w:val="0"/>
          <w:bCs/>
          <w:color w:val="auto"/>
          <w:sz w:val="31"/>
          <w:szCs w:val="31"/>
          <w:u w:val="none" w:color="auto"/>
        </w:rPr>
        <w:t>认证采信机制。</w:t>
      </w:r>
      <w:r>
        <w:rPr>
          <w:rFonts w:hint="eastAsia" w:ascii="楷体_GB2312" w:hAnsi="楷体_GB2312" w:eastAsia="楷体_GB2312" w:cs="楷体_GB2312"/>
          <w:color w:val="auto"/>
          <w:sz w:val="31"/>
          <w:szCs w:val="31"/>
          <w:u w:val="none" w:color="auto"/>
          <w:lang w:val="en-US" w:eastAsia="zh-CN"/>
        </w:rPr>
        <w:t>（省市场监管局牵头，省有关部门按职责分工负责）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right="0" w:rightChars="0" w:firstLine="634" w:firstLineChars="200"/>
        <w:textAlignment w:val="auto"/>
        <w:outlineLvl w:val="9"/>
        <w:rPr>
          <w:rFonts w:hint="eastAsia" w:ascii="仿宋_GB2312" w:hAnsi="仿宋_GB2312" w:eastAsia="仿宋_GB2312" w:cs="仿宋_GB2312"/>
          <w:color w:val="auto"/>
          <w:sz w:val="31"/>
          <w:szCs w:val="31"/>
          <w:u w:val="none" w:color="auto"/>
          <w:lang w:val="en-US" w:eastAsia="zh-CN"/>
        </w:rPr>
      </w:pPr>
      <w:r>
        <w:rPr>
          <w:rFonts w:hint="eastAsia" w:ascii="楷体_GB2312" w:hAnsi="楷体_GB2312" w:eastAsia="楷体_GB2312" w:cs="楷体_GB2312"/>
          <w:b/>
          <w:bCs/>
          <w:color w:val="auto"/>
          <w:sz w:val="31"/>
          <w:szCs w:val="31"/>
          <w:u w:val="none" w:color="auto"/>
          <w:lang w:val="en-US" w:eastAsia="zh-CN"/>
        </w:rPr>
        <w:t>（六）优化涉企审批服务。</w:t>
      </w:r>
      <w:r>
        <w:rPr>
          <w:rFonts w:hint="eastAsia" w:ascii="仿宋_GB2312" w:hAnsi="仿宋_GB2312" w:eastAsia="仿宋_GB2312" w:cs="仿宋_GB2312"/>
          <w:color w:val="auto"/>
          <w:sz w:val="31"/>
          <w:szCs w:val="31"/>
          <w:u w:val="none" w:color="auto"/>
          <w:lang w:val="en-US" w:eastAsia="zh-CN"/>
        </w:rPr>
        <w:t>进一步落实“减环节、减材料、减时限、减费用”要求，提升审批效率，降低企业制度性交易成本；各行业主管部门要完善审批改备案事项的办理标准；制定我省“证照分离”改革实施方案，</w:t>
      </w:r>
      <w:r>
        <w:rPr>
          <w:rFonts w:hint="eastAsia" w:ascii="仿宋_GB2312" w:hAnsi="仿宋_GB2312" w:eastAsia="仿宋_GB2312" w:cs="仿宋_GB2312"/>
          <w:b w:val="0"/>
          <w:bCs/>
          <w:color w:val="auto"/>
          <w:sz w:val="31"/>
          <w:szCs w:val="31"/>
          <w:u w:val="none" w:color="auto"/>
        </w:rPr>
        <w:t>2021年底前在全省实现</w:t>
      </w:r>
      <w:r>
        <w:rPr>
          <w:rFonts w:hint="eastAsia" w:ascii="仿宋_GB2312" w:hAnsi="仿宋_GB2312" w:eastAsia="仿宋_GB2312" w:cs="仿宋_GB2312"/>
          <w:b w:val="0"/>
          <w:bCs/>
          <w:color w:val="auto"/>
          <w:sz w:val="31"/>
          <w:szCs w:val="31"/>
          <w:u w:val="none" w:color="auto"/>
          <w:lang w:eastAsia="zh-CN"/>
        </w:rPr>
        <w:t>“</w:t>
      </w:r>
      <w:r>
        <w:rPr>
          <w:rFonts w:hint="eastAsia" w:ascii="仿宋_GB2312" w:hAnsi="仿宋_GB2312" w:eastAsia="仿宋_GB2312" w:cs="仿宋_GB2312"/>
          <w:b w:val="0"/>
          <w:bCs/>
          <w:color w:val="auto"/>
          <w:sz w:val="31"/>
          <w:szCs w:val="31"/>
          <w:u w:val="none" w:color="auto"/>
        </w:rPr>
        <w:t>证照分离</w:t>
      </w:r>
      <w:r>
        <w:rPr>
          <w:rFonts w:hint="eastAsia" w:ascii="仿宋_GB2312" w:hAnsi="仿宋_GB2312" w:eastAsia="仿宋_GB2312" w:cs="仿宋_GB2312"/>
          <w:b w:val="0"/>
          <w:bCs/>
          <w:color w:val="auto"/>
          <w:sz w:val="31"/>
          <w:szCs w:val="31"/>
          <w:u w:val="none" w:color="auto"/>
          <w:lang w:eastAsia="zh-CN"/>
        </w:rPr>
        <w:t>”</w:t>
      </w:r>
      <w:r>
        <w:rPr>
          <w:rFonts w:hint="eastAsia" w:ascii="仿宋_GB2312" w:hAnsi="仿宋_GB2312" w:eastAsia="仿宋_GB2312" w:cs="仿宋_GB2312"/>
          <w:b w:val="0"/>
          <w:bCs/>
          <w:color w:val="auto"/>
          <w:sz w:val="31"/>
          <w:szCs w:val="31"/>
          <w:u w:val="none" w:color="auto"/>
        </w:rPr>
        <w:t>改革全覆盖，对所有涉企经营许可事项实行分类改革，其中，取消审批、改为备案或实行告知承诺的事项力争达到100项以上，自由贸易试验区达到150项</w:t>
      </w:r>
      <w:r>
        <w:rPr>
          <w:rFonts w:hint="eastAsia" w:ascii="仿宋_GB2312" w:hAnsi="仿宋_GB2312" w:eastAsia="仿宋_GB2312" w:cs="仿宋_GB2312"/>
          <w:b w:val="0"/>
          <w:bCs/>
          <w:color w:val="auto"/>
          <w:sz w:val="31"/>
          <w:szCs w:val="31"/>
          <w:u w:val="none" w:color="auto"/>
          <w:lang w:eastAsia="zh-CN"/>
        </w:rPr>
        <w:t>；</w:t>
      </w:r>
      <w:r>
        <w:rPr>
          <w:rFonts w:hint="eastAsia" w:ascii="仿宋_GB2312" w:hAnsi="仿宋_GB2312" w:eastAsia="仿宋_GB2312" w:cs="仿宋_GB2312"/>
          <w:b w:val="0"/>
          <w:bCs/>
          <w:color w:val="auto"/>
          <w:sz w:val="31"/>
          <w:szCs w:val="31"/>
          <w:u w:val="none" w:color="auto"/>
        </w:rPr>
        <w:t>在厦门探索开展市场监管领域内的“一业一证”改革</w:t>
      </w:r>
      <w:r>
        <w:rPr>
          <w:rFonts w:hint="eastAsia" w:ascii="仿宋_GB2312" w:hAnsi="仿宋_GB2312" w:eastAsia="仿宋_GB2312" w:cs="仿宋_GB2312"/>
          <w:b w:val="0"/>
          <w:bCs/>
          <w:color w:val="auto"/>
          <w:sz w:val="31"/>
          <w:szCs w:val="31"/>
          <w:u w:val="none" w:color="auto"/>
          <w:lang w:val="en-US" w:eastAsia="zh-CN"/>
        </w:rPr>
        <w:t>；</w:t>
      </w:r>
      <w:r>
        <w:rPr>
          <w:rFonts w:hint="eastAsia" w:ascii="仿宋_GB2312" w:hAnsi="仿宋_GB2312" w:eastAsia="仿宋_GB2312" w:cs="仿宋_GB2312"/>
          <w:color w:val="auto"/>
          <w:sz w:val="31"/>
          <w:szCs w:val="31"/>
          <w:u w:val="none" w:color="auto"/>
          <w:lang w:val="en-US" w:eastAsia="zh-CN"/>
        </w:rPr>
        <w:t>推进商标注册便利化改革；整治恶意商标注册申请，遏制不以保护创新为目的的专利申请行为；</w:t>
      </w:r>
      <w:r>
        <w:rPr>
          <w:rFonts w:hint="eastAsia" w:ascii="仿宋_GB2312" w:hAnsi="仿宋_GB2312" w:eastAsia="仿宋_GB2312" w:cs="仿宋_GB2312"/>
          <w:color w:val="auto"/>
          <w:spacing w:val="0"/>
          <w:sz w:val="31"/>
          <w:szCs w:val="31"/>
          <w:u w:val="none" w:color="auto"/>
          <w:lang w:val="en-US" w:eastAsia="zh-CN"/>
        </w:rPr>
        <w:t>衔接中央层面设定的企业年检、年报事项，推动年检改年报，年报事项“多报合一、信息共享”。</w:t>
      </w:r>
      <w:r>
        <w:rPr>
          <w:rFonts w:hint="eastAsia" w:ascii="楷体_GB2312" w:hAnsi="楷体_GB2312" w:eastAsia="楷体_GB2312" w:cs="楷体_GB2312"/>
          <w:color w:val="auto"/>
          <w:sz w:val="31"/>
          <w:szCs w:val="31"/>
          <w:u w:val="none" w:color="auto"/>
          <w:lang w:val="en-US" w:eastAsia="zh-CN"/>
        </w:rPr>
        <w:t>（省审改办、市场监管局等部门按职责分工负责）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right="0" w:rightChars="0" w:firstLine="634" w:firstLineChars="200"/>
        <w:textAlignment w:val="auto"/>
        <w:outlineLvl w:val="9"/>
        <w:rPr>
          <w:rFonts w:hint="eastAsia" w:ascii="黑体" w:hAnsi="黑体" w:eastAsia="黑体" w:cs="黑体"/>
          <w:color w:val="auto"/>
          <w:sz w:val="31"/>
          <w:szCs w:val="31"/>
          <w:u w:val="none" w:color="auto"/>
          <w:lang w:val="en" w:eastAsia="zh-CN"/>
        </w:rPr>
      </w:pPr>
      <w:r>
        <w:rPr>
          <w:rFonts w:hint="eastAsia" w:ascii="黑体" w:hAnsi="黑体" w:eastAsia="黑体" w:cs="黑体"/>
          <w:color w:val="auto"/>
          <w:sz w:val="31"/>
          <w:szCs w:val="31"/>
          <w:u w:val="none" w:color="auto"/>
          <w:lang w:val="en-US" w:eastAsia="zh-CN"/>
        </w:rPr>
        <w:t>四、进一步推动扩大有效投资</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right="0" w:rightChars="0" w:firstLine="634" w:firstLineChars="200"/>
        <w:textAlignment w:val="auto"/>
        <w:outlineLvl w:val="9"/>
        <w:rPr>
          <w:rFonts w:hint="eastAsia" w:ascii="楷体_GB2312" w:hAnsi="楷体_GB2312" w:eastAsia="楷体_GB2312" w:cs="楷体_GB2312"/>
          <w:color w:val="auto"/>
          <w:sz w:val="31"/>
          <w:szCs w:val="31"/>
          <w:u w:val="none" w:color="auto"/>
          <w:lang w:val="en-US" w:eastAsia="zh-CN"/>
        </w:rPr>
      </w:pPr>
      <w:r>
        <w:rPr>
          <w:rFonts w:hint="eastAsia" w:ascii="楷体_GB2312" w:hAnsi="楷体_GB2312" w:eastAsia="楷体_GB2312" w:cs="楷体_GB2312"/>
          <w:b/>
          <w:bCs/>
          <w:color w:val="auto"/>
          <w:sz w:val="31"/>
          <w:szCs w:val="31"/>
          <w:u w:val="none" w:color="auto"/>
          <w:lang w:val="en-US" w:eastAsia="zh-CN"/>
        </w:rPr>
        <w:t>（一）持续提高投资审批效率。</w:t>
      </w:r>
      <w:r>
        <w:rPr>
          <w:rFonts w:hint="eastAsia" w:ascii="仿宋_GB2312" w:hAnsi="仿宋_GB2312" w:eastAsia="仿宋_GB2312" w:cs="仿宋_GB2312"/>
          <w:color w:val="auto"/>
          <w:sz w:val="31"/>
          <w:szCs w:val="31"/>
          <w:u w:val="none" w:color="auto"/>
          <w:lang w:val="en-US" w:eastAsia="zh-CN"/>
        </w:rPr>
        <w:t>探索创新投资管理服务方式，简化、整合投资项目报建手续，推进有条件的地方实施企业投资项目承诺制，优化交通、水利、能源等领域重大投资项目审批流程。各地要落实“多审合一、多证合一”改革要求办理规划用地许可。根据国家部署，有条件的市、县（区）探索开展省级以上工业园区“标准地”出让。推动投资在线审批监管平台与省政务数据汇聚共享平台、省政务服务总线的互联互通和数据共享，建立业务协同和数据共享申请、审核及运维机制，解决企业重复填报、部门重复核验的问题。</w:t>
      </w:r>
      <w:r>
        <w:rPr>
          <w:rFonts w:hint="eastAsia" w:ascii="楷体_GB2312" w:hAnsi="楷体_GB2312" w:eastAsia="楷体_GB2312" w:cs="楷体_GB2312"/>
          <w:color w:val="auto"/>
          <w:sz w:val="31"/>
          <w:szCs w:val="31"/>
          <w:u w:val="none" w:color="auto"/>
          <w:lang w:val="en-US" w:eastAsia="zh-CN"/>
        </w:rPr>
        <w:t>（省发改委、自然资源厅、住建厅、交通运输厅、水利厅等部门按职责分工负责）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right="0" w:rightChars="0" w:firstLine="634" w:firstLineChars="200"/>
        <w:textAlignment w:val="auto"/>
        <w:outlineLvl w:val="9"/>
        <w:rPr>
          <w:rFonts w:hint="eastAsia" w:ascii="仿宋_GB2312" w:hAnsi="仿宋_GB2312" w:eastAsia="仿宋_GB2312" w:cs="仿宋_GB2312"/>
          <w:color w:val="auto"/>
          <w:sz w:val="31"/>
          <w:szCs w:val="31"/>
          <w:u w:val="none" w:color="auto"/>
          <w:lang w:val="en-US" w:eastAsia="zh-CN"/>
        </w:rPr>
      </w:pPr>
      <w:r>
        <w:rPr>
          <w:rFonts w:hint="eastAsia" w:ascii="楷体_GB2312" w:hAnsi="楷体_GB2312" w:eastAsia="楷体_GB2312" w:cs="楷体_GB2312"/>
          <w:b/>
          <w:bCs/>
          <w:color w:val="auto"/>
          <w:sz w:val="31"/>
          <w:szCs w:val="31"/>
          <w:u w:val="none" w:color="auto"/>
          <w:lang w:val="en-US" w:eastAsia="zh-CN"/>
        </w:rPr>
        <w:t>（二）优化工程建设项目审批。</w:t>
      </w:r>
      <w:r>
        <w:rPr>
          <w:rFonts w:hint="eastAsia" w:ascii="仿宋_GB2312" w:hAnsi="仿宋_GB2312" w:eastAsia="仿宋_GB2312" w:cs="仿宋_GB2312"/>
          <w:color w:val="auto"/>
          <w:sz w:val="31"/>
          <w:szCs w:val="31"/>
          <w:u w:val="none" w:color="auto"/>
          <w:lang w:val="en-US" w:eastAsia="zh-CN"/>
        </w:rPr>
        <w:t>进一步完善工程建设项目审批管理系统功能，2021年底前将工程项目审批涉及的行政许可、备案、评估评审、中介服务、市政公用服务等全部纳入审批管理系统，实现全流程在线审批。推行市政公用报装申请“一站式”集中服务、主动服务，将市政公用报装服务提前到工程建设规划许可阶段办理，实行与主体工程的同步设计、同步建设及竣工验收。进一步简化或清理工程项目审批前置事项和特殊环节，各地</w:t>
      </w:r>
      <w:r>
        <w:rPr>
          <w:rFonts w:hint="eastAsia" w:ascii="仿宋_GB2312" w:hAnsi="仿宋_GB2312" w:cs="仿宋_GB2312"/>
          <w:color w:val="auto"/>
          <w:sz w:val="31"/>
          <w:szCs w:val="31"/>
          <w:u w:val="none" w:color="auto"/>
          <w:lang w:val="en-US" w:eastAsia="zh-CN"/>
        </w:rPr>
        <w:t>及时</w:t>
      </w:r>
      <w:r>
        <w:rPr>
          <w:rFonts w:hint="eastAsia" w:ascii="仿宋_GB2312" w:hAnsi="仿宋_GB2312" w:eastAsia="仿宋_GB2312" w:cs="仿宋_GB2312"/>
          <w:color w:val="auto"/>
          <w:sz w:val="31"/>
          <w:szCs w:val="31"/>
          <w:u w:val="none" w:color="auto"/>
          <w:lang w:val="en-US" w:eastAsia="zh-CN"/>
        </w:rPr>
        <w:t>公布保留</w:t>
      </w:r>
      <w:r>
        <w:rPr>
          <w:rFonts w:hint="eastAsia" w:ascii="仿宋_GB2312" w:hAnsi="仿宋_GB2312" w:cs="仿宋_GB2312"/>
          <w:color w:val="auto"/>
          <w:sz w:val="31"/>
          <w:szCs w:val="31"/>
          <w:u w:val="none" w:color="auto"/>
          <w:lang w:val="en-US" w:eastAsia="zh-CN"/>
        </w:rPr>
        <w:t>事项</w:t>
      </w:r>
      <w:r>
        <w:rPr>
          <w:rFonts w:hint="eastAsia" w:ascii="仿宋_GB2312" w:hAnsi="仿宋_GB2312" w:eastAsia="仿宋_GB2312" w:cs="仿宋_GB2312"/>
          <w:color w:val="auto"/>
          <w:sz w:val="31"/>
          <w:szCs w:val="31"/>
          <w:u w:val="none" w:color="auto"/>
          <w:lang w:val="en-US" w:eastAsia="zh-CN"/>
        </w:rPr>
        <w:t>清单，规范明确办理流程、申请材料和办理时限。进一步梳理公布工程项目审批涉及的中介服务事项清单，健全完善中介服务管理制度。对社会投资的小型简易低风险新建、改扩建项目，推行“清单制+告知承诺制”审批，其中工程投资额在100万元以下（含100万元）或者建筑面积在500平方米以下（含500平方米）的房屋建筑和市政基础设施工程，无需申请办理施工许可证。2022年底前，出台《福建省工程建设项目审批管理办法》，进一步规范工程审批服务管理。</w:t>
      </w:r>
      <w:r>
        <w:rPr>
          <w:rFonts w:hint="eastAsia" w:ascii="楷体_GB2312" w:hAnsi="楷体_GB2312" w:eastAsia="楷体_GB2312" w:cs="楷体_GB2312"/>
          <w:color w:val="auto"/>
          <w:sz w:val="31"/>
          <w:szCs w:val="31"/>
          <w:u w:val="none" w:color="auto"/>
          <w:lang w:val="en-US" w:eastAsia="zh-CN"/>
        </w:rPr>
        <w:t>（省住建厅牵头，省有关部门按职责分工负责）</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4" w:firstLineChars="200"/>
        <w:textAlignment w:val="auto"/>
        <w:outlineLvl w:val="9"/>
        <w:rPr>
          <w:rFonts w:hint="eastAsia" w:ascii="黑体" w:hAnsi="黑体" w:eastAsia="黑体" w:cs="黑体"/>
          <w:color w:val="auto"/>
          <w:sz w:val="31"/>
          <w:szCs w:val="31"/>
          <w:u w:val="none" w:color="auto"/>
          <w:lang w:val="en"/>
        </w:rPr>
      </w:pPr>
      <w:r>
        <w:rPr>
          <w:rFonts w:hint="eastAsia" w:ascii="黑体" w:hAnsi="黑体" w:eastAsia="黑体" w:cs="黑体"/>
          <w:color w:val="auto"/>
          <w:sz w:val="31"/>
          <w:szCs w:val="31"/>
          <w:u w:val="none" w:color="auto"/>
          <w:lang w:val="en-US"/>
        </w:rPr>
        <w:t>五、进一步推动激发消费潜力</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right="0" w:rightChars="0" w:firstLine="634" w:firstLineChars="200"/>
        <w:textAlignment w:val="auto"/>
        <w:outlineLvl w:val="9"/>
        <w:rPr>
          <w:rFonts w:hint="eastAsia" w:ascii="楷体_GB2312" w:hAnsi="楷体_GB2312" w:eastAsia="楷体_GB2312" w:cs="楷体_GB2312"/>
          <w:color w:val="auto"/>
          <w:sz w:val="31"/>
          <w:szCs w:val="31"/>
          <w:u w:val="none" w:color="auto"/>
          <w:lang w:val="en-US" w:eastAsia="zh-CN"/>
        </w:rPr>
      </w:pPr>
      <w:r>
        <w:rPr>
          <w:rFonts w:hint="eastAsia" w:ascii="楷体_GB2312" w:hAnsi="楷体_GB2312" w:eastAsia="楷体_GB2312" w:cs="楷体_GB2312"/>
          <w:b/>
          <w:bCs/>
          <w:color w:val="auto"/>
          <w:sz w:val="31"/>
          <w:szCs w:val="31"/>
          <w:u w:val="none" w:color="auto"/>
          <w:lang w:val="en-US" w:eastAsia="zh-CN"/>
        </w:rPr>
        <w:t>（一）清除消费隐性壁垒。</w:t>
      </w:r>
      <w:r>
        <w:rPr>
          <w:rFonts w:hint="eastAsia" w:ascii="仿宋_GB2312" w:hAnsi="仿宋_GB2312" w:eastAsia="仿宋_GB2312" w:cs="仿宋_GB2312"/>
          <w:color w:val="auto"/>
          <w:sz w:val="31"/>
          <w:szCs w:val="31"/>
          <w:u w:val="none" w:color="auto"/>
          <w:lang w:val="en-US" w:eastAsia="zh-CN"/>
        </w:rPr>
        <w:t>聚焦关系民生和营商环境的重点领域，制止滥用行政权力排除、限制竞争等不正当行为，打破行业垄断和地方保护。</w:t>
      </w:r>
      <w:r>
        <w:rPr>
          <w:rFonts w:hint="eastAsia" w:ascii="仿宋_GB2312" w:hAnsi="仿宋_GB2312" w:eastAsia="仿宋_GB2312" w:cs="仿宋_GB2312"/>
          <w:color w:val="auto"/>
          <w:sz w:val="31"/>
          <w:szCs w:val="31"/>
          <w:u w:val="none" w:color="auto"/>
          <w:lang w:val="en-US"/>
        </w:rPr>
        <w:t>有序取消行政性限制消费购买的规定，释放消费潜力。</w:t>
      </w:r>
      <w:r>
        <w:rPr>
          <w:rFonts w:hint="eastAsia" w:ascii="仿宋_GB2312" w:hAnsi="仿宋_GB2312" w:eastAsia="仿宋_GB2312" w:cs="仿宋_GB2312"/>
          <w:color w:val="auto"/>
          <w:sz w:val="31"/>
          <w:szCs w:val="31"/>
          <w:u w:val="none" w:color="auto"/>
          <w:lang w:val="en-US" w:eastAsia="zh-CN"/>
        </w:rPr>
        <w:t>按照国家要求，全面取消二手车迁入限制政策，放宽二手车经营条件；规范</w:t>
      </w:r>
      <w:r>
        <w:rPr>
          <w:rFonts w:hint="eastAsia" w:ascii="仿宋_GB2312" w:hAnsi="仿宋_GB2312" w:eastAsia="仿宋_GB2312" w:cs="仿宋_GB2312"/>
          <w:strike w:val="0"/>
          <w:dstrike w:val="0"/>
          <w:color w:val="auto"/>
          <w:sz w:val="31"/>
          <w:szCs w:val="31"/>
          <w:u w:val="none" w:color="auto"/>
          <w:lang w:val="en-US" w:eastAsia="zh-CN"/>
        </w:rPr>
        <w:t>开展</w:t>
      </w:r>
      <w:r>
        <w:rPr>
          <w:rFonts w:hint="eastAsia" w:ascii="仿宋_GB2312" w:hAnsi="仿宋_GB2312" w:eastAsia="仿宋_GB2312" w:cs="仿宋_GB2312"/>
          <w:color w:val="auto"/>
          <w:sz w:val="31"/>
          <w:szCs w:val="31"/>
          <w:u w:val="none" w:color="auto"/>
          <w:lang w:val="en-US" w:eastAsia="zh-CN"/>
        </w:rPr>
        <w:t>报废机动车回收拆解企业资质认定工作，支持具备条件的企业进入回收拆解市场，依法查处非法拆解行为。制定出台《促进我省民宿发展的暂行办法》，</w:t>
      </w:r>
      <w:r>
        <w:rPr>
          <w:rFonts w:hint="eastAsia" w:ascii="仿宋_GB2312" w:hAnsi="仿宋_GB2312" w:eastAsia="仿宋_GB2312" w:cs="仿宋_GB2312"/>
          <w:strike w:val="0"/>
          <w:dstrike w:val="0"/>
          <w:color w:val="auto"/>
          <w:sz w:val="31"/>
          <w:szCs w:val="31"/>
          <w:u w:val="none" w:color="auto"/>
          <w:lang w:val="en-US" w:eastAsia="zh-CN"/>
        </w:rPr>
        <w:t>引导</w:t>
      </w:r>
      <w:r>
        <w:rPr>
          <w:rFonts w:hint="eastAsia" w:ascii="仿宋_GB2312" w:hAnsi="仿宋_GB2312" w:eastAsia="仿宋_GB2312" w:cs="仿宋_GB2312"/>
          <w:color w:val="auto"/>
          <w:sz w:val="31"/>
          <w:szCs w:val="31"/>
          <w:u w:val="none" w:color="auto"/>
          <w:lang w:val="en-US" w:eastAsia="zh-CN"/>
        </w:rPr>
        <w:t>第三方机构或协会组织</w:t>
      </w:r>
      <w:r>
        <w:rPr>
          <w:rFonts w:hint="default" w:ascii="仿宋_GB2312" w:hAnsi="仿宋_GB2312" w:eastAsia="仿宋_GB2312" w:cs="仿宋_GB2312"/>
          <w:color w:val="auto"/>
          <w:sz w:val="31"/>
          <w:szCs w:val="31"/>
          <w:u w:val="none" w:color="auto"/>
          <w:lang w:val="en-US" w:eastAsia="zh-CN"/>
        </w:rPr>
        <w:t>对民宿进行</w:t>
      </w:r>
      <w:r>
        <w:rPr>
          <w:rFonts w:hint="eastAsia" w:ascii="仿宋_GB2312" w:hAnsi="仿宋_GB2312" w:cs="仿宋_GB2312"/>
          <w:color w:val="auto"/>
          <w:sz w:val="31"/>
          <w:szCs w:val="31"/>
          <w:u w:val="none" w:color="auto"/>
          <w:lang w:val="en-US" w:eastAsia="zh-CN"/>
        </w:rPr>
        <w:t>科学</w:t>
      </w:r>
      <w:r>
        <w:rPr>
          <w:rFonts w:hint="default" w:ascii="仿宋_GB2312" w:hAnsi="仿宋_GB2312" w:eastAsia="仿宋_GB2312" w:cs="仿宋_GB2312"/>
          <w:color w:val="auto"/>
          <w:sz w:val="31"/>
          <w:szCs w:val="31"/>
          <w:u w:val="none" w:color="auto"/>
          <w:lang w:val="en-US" w:eastAsia="zh-CN"/>
        </w:rPr>
        <w:t>动态评级</w:t>
      </w:r>
      <w:r>
        <w:rPr>
          <w:rFonts w:hint="eastAsia" w:ascii="仿宋_GB2312" w:hAnsi="仿宋_GB2312" w:eastAsia="仿宋_GB2312" w:cs="仿宋_GB2312"/>
          <w:color w:val="auto"/>
          <w:sz w:val="31"/>
          <w:szCs w:val="31"/>
          <w:u w:val="none" w:color="auto"/>
          <w:lang w:val="en-US" w:eastAsia="zh-CN"/>
        </w:rPr>
        <w:t>。依法依规简化跨地区巡演审批程序。</w:t>
      </w:r>
      <w:r>
        <w:rPr>
          <w:rFonts w:hint="eastAsia" w:ascii="楷体_GB2312" w:hAnsi="楷体_GB2312" w:eastAsia="楷体_GB2312" w:cs="楷体_GB2312"/>
          <w:color w:val="auto"/>
          <w:sz w:val="31"/>
          <w:szCs w:val="31"/>
          <w:u w:val="none" w:color="auto"/>
          <w:lang w:val="en-US" w:eastAsia="zh-CN"/>
        </w:rPr>
        <w:t>（省发改委、公安厅、生态环境厅、商务厅、文旅厅、市场监管局等部门按职责分工负责）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right="0" w:rightChars="0" w:firstLine="634" w:firstLineChars="200"/>
        <w:textAlignment w:val="auto"/>
        <w:outlineLvl w:val="9"/>
        <w:rPr>
          <w:rFonts w:hint="eastAsia" w:ascii="仿宋_GB2312" w:hAnsi="仿宋_GB2312" w:eastAsia="仿宋_GB2312" w:cs="仿宋_GB2312"/>
          <w:color w:val="auto"/>
          <w:sz w:val="31"/>
          <w:szCs w:val="31"/>
          <w:u w:val="none" w:color="auto"/>
          <w:lang w:val="en-US" w:eastAsia="zh-CN"/>
        </w:rPr>
      </w:pPr>
      <w:r>
        <w:rPr>
          <w:rFonts w:hint="eastAsia" w:ascii="楷体_GB2312" w:hAnsi="楷体_GB2312" w:eastAsia="楷体_GB2312" w:cs="楷体_GB2312"/>
          <w:b/>
          <w:bCs/>
          <w:color w:val="auto"/>
          <w:sz w:val="31"/>
          <w:szCs w:val="31"/>
          <w:u w:val="none" w:color="auto"/>
          <w:lang w:val="en-US" w:eastAsia="zh-CN"/>
        </w:rPr>
        <w:t>（二）便利新产品市场准入。</w:t>
      </w:r>
      <w:r>
        <w:rPr>
          <w:rFonts w:hint="eastAsia" w:ascii="仿宋_GB2312" w:hAnsi="仿宋_GB2312" w:eastAsia="仿宋_GB2312" w:cs="仿宋_GB2312"/>
          <w:color w:val="auto"/>
          <w:sz w:val="31"/>
          <w:szCs w:val="31"/>
          <w:u w:val="none" w:color="auto"/>
          <w:lang w:val="en-US" w:eastAsia="zh-CN"/>
        </w:rPr>
        <w:t>优化新产品地方标准制修订流程，形成政府主导制定的标准与市场自主制定的标准协同发展、协调配套的新型标准体系。推动实施企业标准、团体标准自我声明公开和监督制度，加快形成可推广、可复制的经验模式。加强跨境电商配套软硬件设施建设，对于确认符合监管要求的城市（及区域），准予开展跨境电商网购保税进口业务；支持福州、厦门、泉州</w:t>
      </w:r>
      <w:r>
        <w:rPr>
          <w:rFonts w:hint="eastAsia" w:ascii="仿宋_GB2312" w:hAnsi="仿宋_GB2312" w:cs="仿宋_GB2312"/>
          <w:color w:val="auto"/>
          <w:sz w:val="31"/>
          <w:szCs w:val="31"/>
          <w:u w:val="none" w:color="auto"/>
          <w:lang w:val="en-US" w:eastAsia="zh-CN"/>
        </w:rPr>
        <w:t>、</w:t>
      </w:r>
      <w:r>
        <w:rPr>
          <w:rFonts w:hint="eastAsia" w:ascii="仿宋_GB2312" w:hAnsi="仿宋_GB2312" w:eastAsia="仿宋_GB2312" w:cs="仿宋_GB2312"/>
          <w:color w:val="auto"/>
          <w:sz w:val="31"/>
          <w:szCs w:val="31"/>
          <w:u w:val="none" w:color="auto"/>
          <w:lang w:val="en-US" w:eastAsia="zh-CN"/>
        </w:rPr>
        <w:t>平潭等地结合我省消费需求，扩大国际知名品牌进口，做大跨境电商进口体量；持续扩大跨境电商综试区覆盖范围，对开展9610、1210、9710、9810等模式的跨境电商予以支持；积极争取调整扩大跨境电商零售进口商品清单，保障清单内的跨境电商零售进口商品快速通关。</w:t>
      </w:r>
      <w:r>
        <w:rPr>
          <w:rFonts w:hint="eastAsia" w:ascii="楷体_GB2312" w:hAnsi="楷体_GB2312" w:eastAsia="楷体_GB2312" w:cs="楷体_GB2312"/>
          <w:color w:val="auto"/>
          <w:sz w:val="31"/>
          <w:szCs w:val="31"/>
          <w:u w:val="none" w:color="auto"/>
          <w:lang w:val="en-US" w:eastAsia="zh-CN"/>
        </w:rPr>
        <w:t>（省市场监管局、商务厅、财政厅，福州海关、厦门海关等部门按职责分工负责）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right="0" w:rightChars="0" w:firstLine="634" w:firstLineChars="200"/>
        <w:textAlignment w:val="auto"/>
        <w:outlineLvl w:val="9"/>
        <w:rPr>
          <w:rFonts w:hint="eastAsia" w:ascii="黑体" w:hAnsi="黑体" w:eastAsia="黑体" w:cs="黑体"/>
          <w:color w:val="auto"/>
          <w:sz w:val="31"/>
          <w:szCs w:val="31"/>
          <w:u w:val="none" w:color="auto"/>
          <w:lang w:val="en" w:eastAsia="zh-CN"/>
        </w:rPr>
      </w:pPr>
      <w:r>
        <w:rPr>
          <w:rFonts w:hint="eastAsia" w:ascii="黑体" w:hAnsi="黑体" w:eastAsia="黑体" w:cs="黑体"/>
          <w:color w:val="auto"/>
          <w:sz w:val="31"/>
          <w:szCs w:val="31"/>
          <w:u w:val="none" w:color="auto"/>
          <w:lang w:val="en-US" w:eastAsia="zh-CN"/>
        </w:rPr>
        <w:t>六、进一步推动稳外贸稳外资</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right="0" w:rightChars="0" w:firstLine="634" w:firstLineChars="200"/>
        <w:textAlignment w:val="auto"/>
        <w:outlineLvl w:val="9"/>
        <w:rPr>
          <w:rFonts w:hint="eastAsia" w:ascii="仿宋_GB2312" w:hAnsi="仿宋_GB2312" w:eastAsia="仿宋_GB2312" w:cs="仿宋_GB2312"/>
          <w:color w:val="auto"/>
          <w:sz w:val="31"/>
          <w:szCs w:val="31"/>
          <w:u w:val="none" w:color="auto"/>
          <w:lang w:val="en-US" w:eastAsia="zh-CN"/>
        </w:rPr>
      </w:pPr>
      <w:r>
        <w:rPr>
          <w:rFonts w:hint="eastAsia" w:ascii="仿宋_GB2312" w:hAnsi="仿宋_GB2312" w:eastAsia="仿宋_GB2312" w:cs="仿宋_GB2312"/>
          <w:b/>
          <w:bCs/>
          <w:color w:val="auto"/>
          <w:sz w:val="31"/>
          <w:szCs w:val="31"/>
          <w:u w:val="none" w:color="auto"/>
          <w:lang w:val="en-US" w:eastAsia="zh-CN"/>
        </w:rPr>
        <w:t>（一）持续提升外资管理和服务水平。</w:t>
      </w:r>
      <w:r>
        <w:rPr>
          <w:rFonts w:hint="eastAsia" w:ascii="仿宋_GB2312" w:hAnsi="仿宋_GB2312" w:eastAsia="仿宋_GB2312" w:cs="仿宋_GB2312"/>
          <w:color w:val="auto"/>
          <w:sz w:val="31"/>
          <w:szCs w:val="31"/>
          <w:u w:val="none" w:color="auto"/>
          <w:lang w:val="en-US" w:eastAsia="zh-CN"/>
        </w:rPr>
        <w:t>落实</w:t>
      </w:r>
      <w:r>
        <w:rPr>
          <w:rFonts w:hint="eastAsia" w:ascii="仿宋_GB2312" w:hAnsi="仿宋_GB2312" w:cs="仿宋_GB2312"/>
          <w:color w:val="auto"/>
          <w:sz w:val="31"/>
          <w:szCs w:val="31"/>
          <w:u w:val="none" w:color="auto"/>
          <w:lang w:val="en-US" w:eastAsia="zh-CN"/>
        </w:rPr>
        <w:t>好</w:t>
      </w:r>
      <w:r>
        <w:rPr>
          <w:rFonts w:hint="eastAsia" w:ascii="仿宋_GB2312" w:hAnsi="仿宋_GB2312" w:eastAsia="仿宋_GB2312" w:cs="仿宋_GB2312"/>
          <w:color w:val="auto"/>
          <w:sz w:val="31"/>
          <w:szCs w:val="31"/>
          <w:u w:val="none" w:color="auto"/>
          <w:lang w:val="en-US" w:eastAsia="zh-CN"/>
        </w:rPr>
        <w:t>国家2021年版外资准入负面清单，确保外资企业平等享受各项支持政策。支持外资企业参与标准制定，对在标准制定和标准实施推广工作中有突出表现的外资企业给予支持。完善外资企业登记系统及提示功能，提升线下咨询服务水平，落实外商投资信息报告制度</w:t>
      </w:r>
      <w:r>
        <w:rPr>
          <w:rFonts w:hint="eastAsia" w:ascii="仿宋_GB2312" w:hAnsi="仿宋_GB2312" w:eastAsia="仿宋_GB2312" w:cs="仿宋_GB2312"/>
          <w:strike w:val="0"/>
          <w:dstrike w:val="0"/>
          <w:color w:val="auto"/>
          <w:sz w:val="31"/>
          <w:szCs w:val="31"/>
          <w:u w:val="none" w:color="auto"/>
          <w:lang w:val="en-US" w:eastAsia="zh-CN"/>
        </w:rPr>
        <w:t>。</w:t>
      </w:r>
      <w:r>
        <w:rPr>
          <w:rFonts w:hint="eastAsia" w:ascii="楷体_GB2312" w:hAnsi="楷体_GB2312" w:eastAsia="楷体_GB2312" w:cs="楷体_GB2312"/>
          <w:color w:val="auto"/>
          <w:sz w:val="31"/>
          <w:szCs w:val="31"/>
          <w:u w:val="none" w:color="auto"/>
          <w:lang w:val="en-US" w:eastAsia="zh-CN"/>
        </w:rPr>
        <w:t>（省发改委、商务厅、市场监管局等省有关部门按职责分工负责）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right="0" w:rightChars="0" w:firstLine="634" w:firstLineChars="200"/>
        <w:textAlignment w:val="auto"/>
        <w:outlineLvl w:val="9"/>
        <w:rPr>
          <w:rFonts w:hint="eastAsia" w:ascii="楷体_GB2312" w:hAnsi="楷体_GB2312" w:eastAsia="楷体_GB2312" w:cs="楷体_GB2312"/>
          <w:color w:val="auto"/>
          <w:sz w:val="31"/>
          <w:szCs w:val="31"/>
          <w:u w:val="none" w:color="auto"/>
          <w:lang w:val="en-US" w:eastAsia="zh-CN"/>
        </w:rPr>
      </w:pPr>
      <w:r>
        <w:rPr>
          <w:rFonts w:hint="eastAsia" w:ascii="楷体_GB2312" w:hAnsi="楷体_GB2312" w:eastAsia="楷体_GB2312" w:cs="楷体_GB2312"/>
          <w:b/>
          <w:bCs/>
          <w:color w:val="auto"/>
          <w:sz w:val="31"/>
          <w:szCs w:val="31"/>
          <w:u w:val="none" w:color="auto"/>
          <w:lang w:val="en-US" w:eastAsia="zh-CN"/>
        </w:rPr>
        <w:t>（二）提升跨境贸易便利化。</w:t>
      </w:r>
      <w:r>
        <w:rPr>
          <w:rFonts w:hint="eastAsia" w:ascii="仿宋_GB2312" w:hAnsi="仿宋_GB2312" w:eastAsia="仿宋_GB2312" w:cs="仿宋_GB2312"/>
          <w:b w:val="0"/>
          <w:bCs w:val="0"/>
          <w:color w:val="auto"/>
          <w:sz w:val="31"/>
          <w:szCs w:val="31"/>
          <w:u w:val="none" w:color="auto"/>
          <w:lang w:val="en-US" w:eastAsia="zh-CN"/>
        </w:rPr>
        <w:t>2021年底前完成中国（福建）国际贸易单一窗口升级，拓展通关签证、物流、贸易服务等领域的协同创新和智能应用服务功能，提升外贸综合服务数字化水平。</w:t>
      </w:r>
      <w:r>
        <w:rPr>
          <w:rFonts w:hint="eastAsia" w:ascii="仿宋_GB2312" w:hAnsi="仿宋_GB2312" w:eastAsia="仿宋_GB2312" w:cs="仿宋_GB2312"/>
          <w:strike w:val="0"/>
          <w:dstrike w:val="0"/>
          <w:color w:val="auto"/>
          <w:sz w:val="31"/>
          <w:szCs w:val="31"/>
          <w:u w:val="none" w:color="auto"/>
          <w:lang w:val="en-US" w:eastAsia="zh-CN"/>
        </w:rPr>
        <w:t>对</w:t>
      </w:r>
      <w:r>
        <w:rPr>
          <w:rFonts w:hint="eastAsia" w:ascii="仿宋_GB2312" w:hAnsi="仿宋_GB2312" w:eastAsia="仿宋_GB2312" w:cs="仿宋_GB2312"/>
          <w:color w:val="auto"/>
          <w:sz w:val="31"/>
          <w:szCs w:val="31"/>
          <w:u w:val="none" w:color="auto"/>
          <w:lang w:val="en-US" w:eastAsia="zh-CN"/>
        </w:rPr>
        <w:t>海关风险布控规则</w:t>
      </w:r>
      <w:r>
        <w:rPr>
          <w:rFonts w:hint="eastAsia" w:ascii="仿宋_GB2312" w:hAnsi="仿宋_GB2312" w:cs="仿宋_GB2312"/>
          <w:color w:val="auto"/>
          <w:sz w:val="31"/>
          <w:szCs w:val="31"/>
          <w:u w:val="none" w:color="auto"/>
          <w:lang w:val="en-US" w:eastAsia="zh-CN"/>
        </w:rPr>
        <w:t>进行</w:t>
      </w:r>
      <w:r>
        <w:rPr>
          <w:rFonts w:hint="eastAsia" w:ascii="仿宋_GB2312" w:hAnsi="仿宋_GB2312" w:eastAsia="仿宋_GB2312" w:cs="仿宋_GB2312"/>
          <w:strike w:val="0"/>
          <w:dstrike w:val="0"/>
          <w:color w:val="auto"/>
          <w:sz w:val="31"/>
          <w:szCs w:val="31"/>
          <w:u w:val="none" w:color="auto"/>
          <w:lang w:val="en-US" w:eastAsia="zh-CN"/>
        </w:rPr>
        <w:t>评估并优化</w:t>
      </w:r>
      <w:r>
        <w:rPr>
          <w:rFonts w:hint="eastAsia" w:ascii="仿宋_GB2312" w:hAnsi="仿宋_GB2312" w:eastAsia="仿宋_GB2312" w:cs="仿宋_GB2312"/>
          <w:color w:val="auto"/>
          <w:sz w:val="31"/>
          <w:szCs w:val="31"/>
          <w:u w:val="none" w:color="auto"/>
          <w:lang w:val="en-US" w:eastAsia="zh-CN"/>
        </w:rPr>
        <w:t>，提高人工分析布控精准度。对部分进口矿及原油，采取“先放后检”监管方式，对进口汽车零部件实施第三方检验结果采信。取消进出口商品检验鉴定业务的检验许可，支持具备中国合格评定国家认可委员会（CNAS）认证资质的第三方检测机构承担进出口商品监测委托业务。支持理货企业无纸化办理海关备案，规范</w:t>
      </w:r>
      <w:r>
        <w:rPr>
          <w:rFonts w:hint="eastAsia" w:ascii="仿宋_GB2312" w:hAnsi="仿宋_GB2312" w:eastAsia="仿宋_GB2312" w:cs="仿宋_GB2312"/>
          <w:strike w:val="0"/>
          <w:dstrike w:val="0"/>
          <w:color w:val="auto"/>
          <w:sz w:val="31"/>
          <w:szCs w:val="31"/>
          <w:u w:val="none" w:color="auto"/>
          <w:lang w:val="en-US" w:eastAsia="zh-CN"/>
        </w:rPr>
        <w:t>发放</w:t>
      </w:r>
      <w:r>
        <w:rPr>
          <w:rFonts w:hint="eastAsia" w:ascii="仿宋_GB2312" w:hAnsi="仿宋_GB2312" w:eastAsia="仿宋_GB2312" w:cs="仿宋_GB2312"/>
          <w:color w:val="auto"/>
          <w:sz w:val="31"/>
          <w:szCs w:val="31"/>
          <w:u w:val="none" w:color="auto"/>
          <w:lang w:val="en-US" w:eastAsia="zh-CN"/>
        </w:rPr>
        <w:t>理货、拖轮证书，提升审批效率和服务水平，并运用信用管理和信息化手段加强事中事后监管，保障港口经营秩序。</w:t>
      </w:r>
      <w:r>
        <w:rPr>
          <w:rFonts w:hint="eastAsia" w:ascii="楷体_GB2312" w:hAnsi="楷体_GB2312" w:eastAsia="楷体_GB2312" w:cs="楷体_GB2312"/>
          <w:color w:val="auto"/>
          <w:sz w:val="31"/>
          <w:szCs w:val="31"/>
          <w:u w:val="none" w:color="auto"/>
          <w:lang w:val="en-US" w:eastAsia="zh-CN"/>
        </w:rPr>
        <w:t>（省商务厅，福州海关、厦门海关，省交通运输厅、金融监管局、数字办，中铁南昌局集团公司福州办事处等单位按职责分工负责）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right="0" w:rightChars="0" w:firstLine="634" w:firstLineChars="200"/>
        <w:textAlignment w:val="auto"/>
        <w:outlineLvl w:val="9"/>
        <w:rPr>
          <w:rFonts w:hint="eastAsia" w:ascii="仿宋_GB2312" w:hAnsi="仿宋_GB2312" w:eastAsia="仿宋_GB2312" w:cs="仿宋_GB2312"/>
          <w:color w:val="auto"/>
          <w:sz w:val="31"/>
          <w:szCs w:val="31"/>
          <w:u w:val="none" w:color="auto"/>
          <w:lang w:val="en-US" w:eastAsia="zh-CN"/>
        </w:rPr>
      </w:pPr>
      <w:r>
        <w:rPr>
          <w:rFonts w:hint="eastAsia" w:ascii="楷体_GB2312" w:hAnsi="楷体_GB2312" w:eastAsia="楷体_GB2312" w:cs="楷体_GB2312"/>
          <w:b/>
          <w:bCs/>
          <w:color w:val="auto"/>
          <w:sz w:val="31"/>
          <w:szCs w:val="31"/>
          <w:u w:val="none" w:color="auto"/>
          <w:lang w:val="en-US" w:eastAsia="zh-CN"/>
        </w:rPr>
        <w:t>（三）清理规范口岸收费。</w:t>
      </w:r>
      <w:r>
        <w:rPr>
          <w:rFonts w:hint="eastAsia" w:ascii="仿宋_GB2312" w:hAnsi="仿宋_GB2312" w:eastAsia="仿宋_GB2312" w:cs="仿宋_GB2312"/>
          <w:color w:val="auto"/>
          <w:sz w:val="31"/>
          <w:szCs w:val="31"/>
          <w:u w:val="none" w:color="auto"/>
          <w:lang w:val="en-US" w:eastAsia="zh-CN"/>
        </w:rPr>
        <w:t>落实新修订的港口收费政策，及时调整并对外公示收费项目和收费标准，做到清单与实际相符、清单之外无收费；贯彻落实国家关于引航费最新政策；落实船方自主决定使用拖轮规定；明确洗修箱服务规则，清理规范港外堆场洗修箱费、铁路运输关门费等收费；推广使用国家标准版单一窗口收费及服务信息发布系统，实现收费标准在线公开、在线查询，增强透明度和可比性。</w:t>
      </w:r>
      <w:r>
        <w:rPr>
          <w:rFonts w:hint="eastAsia" w:ascii="楷体_GB2312" w:hAnsi="楷体_GB2312" w:eastAsia="楷体_GB2312" w:cs="楷体_GB2312"/>
          <w:color w:val="auto"/>
          <w:sz w:val="31"/>
          <w:szCs w:val="31"/>
          <w:u w:val="none" w:color="auto"/>
          <w:lang w:val="en-US" w:eastAsia="zh-CN"/>
        </w:rPr>
        <w:t>（省发改委、财政厅、交通运输厅、商务厅、国资委、市场监管局等部门按职责分工负责）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right="0" w:rightChars="0" w:firstLine="634" w:firstLineChars="200"/>
        <w:textAlignment w:val="auto"/>
        <w:outlineLvl w:val="9"/>
        <w:rPr>
          <w:rFonts w:hint="eastAsia" w:ascii="黑体" w:hAnsi="黑体" w:eastAsia="黑体" w:cs="黑体"/>
          <w:color w:val="auto"/>
          <w:sz w:val="31"/>
          <w:szCs w:val="31"/>
          <w:u w:val="none" w:color="auto"/>
          <w:lang w:val="en" w:eastAsia="zh-CN"/>
        </w:rPr>
      </w:pPr>
      <w:r>
        <w:rPr>
          <w:rFonts w:hint="eastAsia" w:ascii="黑体" w:hAnsi="黑体" w:eastAsia="黑体" w:cs="黑体"/>
          <w:color w:val="auto"/>
          <w:sz w:val="31"/>
          <w:szCs w:val="31"/>
          <w:u w:val="none" w:color="auto"/>
          <w:lang w:val="en-US" w:eastAsia="zh-CN"/>
        </w:rPr>
        <w:t>七、进一步推动优化民生服务</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right="0" w:rightChars="0" w:firstLine="634" w:firstLineChars="200"/>
        <w:textAlignment w:val="auto"/>
        <w:outlineLvl w:val="9"/>
        <w:rPr>
          <w:rFonts w:hint="eastAsia" w:ascii="楷体_GB2312" w:hAnsi="楷体_GB2312" w:eastAsia="楷体_GB2312" w:cs="楷体_GB2312"/>
          <w:color w:val="auto"/>
          <w:sz w:val="31"/>
          <w:szCs w:val="31"/>
          <w:u w:val="none" w:color="auto"/>
          <w:lang w:val="en-US" w:eastAsia="zh-CN"/>
        </w:rPr>
      </w:pPr>
      <w:r>
        <w:rPr>
          <w:rFonts w:hint="eastAsia" w:ascii="楷体_GB2312" w:hAnsi="楷体_GB2312" w:eastAsia="楷体_GB2312" w:cs="楷体_GB2312"/>
          <w:b/>
          <w:bCs/>
          <w:color w:val="auto"/>
          <w:sz w:val="31"/>
          <w:szCs w:val="31"/>
          <w:u w:val="none" w:color="auto"/>
          <w:lang w:val="en-US" w:eastAsia="zh-CN"/>
        </w:rPr>
        <w:t>（一）创新养老和医疗服务供给。</w:t>
      </w:r>
      <w:r>
        <w:rPr>
          <w:rFonts w:hint="eastAsia" w:ascii="仿宋_GB2312" w:hAnsi="仿宋_GB2312" w:eastAsia="仿宋_GB2312" w:cs="仿宋_GB2312"/>
          <w:color w:val="auto"/>
          <w:kern w:val="0"/>
          <w:sz w:val="31"/>
          <w:szCs w:val="31"/>
          <w:u w:val="none" w:color="auto"/>
        </w:rPr>
        <w:t>放宽</w:t>
      </w:r>
      <w:r>
        <w:rPr>
          <w:rFonts w:hint="eastAsia" w:ascii="仿宋_GB2312" w:hAnsi="仿宋_GB2312" w:eastAsia="仿宋_GB2312" w:cs="仿宋_GB2312"/>
          <w:color w:val="auto"/>
          <w:kern w:val="0"/>
          <w:sz w:val="31"/>
          <w:szCs w:val="31"/>
          <w:u w:val="none" w:color="auto"/>
          <w:lang w:eastAsia="zh-CN"/>
        </w:rPr>
        <w:t>养老服务</w:t>
      </w:r>
      <w:r>
        <w:rPr>
          <w:rFonts w:hint="eastAsia" w:ascii="仿宋_GB2312" w:hAnsi="仿宋_GB2312" w:eastAsia="仿宋_GB2312" w:cs="仿宋_GB2312"/>
          <w:color w:val="auto"/>
          <w:kern w:val="0"/>
          <w:sz w:val="31"/>
          <w:szCs w:val="31"/>
          <w:u w:val="none" w:color="auto"/>
        </w:rPr>
        <w:t>市场准入，取消</w:t>
      </w:r>
      <w:r>
        <w:rPr>
          <w:rFonts w:hint="eastAsia" w:ascii="仿宋_GB2312" w:hAnsi="仿宋_GB2312" w:eastAsia="仿宋_GB2312" w:cs="仿宋_GB2312"/>
          <w:color w:val="auto"/>
          <w:kern w:val="0"/>
          <w:sz w:val="31"/>
          <w:szCs w:val="31"/>
          <w:u w:val="none" w:color="auto"/>
          <w:lang w:eastAsia="zh-CN"/>
        </w:rPr>
        <w:t>养老机构</w:t>
      </w:r>
      <w:r>
        <w:rPr>
          <w:rFonts w:hint="eastAsia" w:ascii="仿宋_GB2312" w:hAnsi="仿宋_GB2312" w:eastAsia="仿宋_GB2312" w:cs="仿宋_GB2312"/>
          <w:color w:val="auto"/>
          <w:kern w:val="0"/>
          <w:sz w:val="31"/>
          <w:szCs w:val="31"/>
          <w:u w:val="none" w:color="auto"/>
        </w:rPr>
        <w:t>设立许可，实行备案制</w:t>
      </w:r>
      <w:r>
        <w:rPr>
          <w:rFonts w:hint="eastAsia" w:ascii="仿宋_GB2312" w:hAnsi="仿宋_GB2312" w:eastAsia="仿宋_GB2312" w:cs="仿宋_GB2312"/>
          <w:color w:val="auto"/>
          <w:kern w:val="0"/>
          <w:sz w:val="31"/>
          <w:szCs w:val="31"/>
          <w:u w:val="none" w:color="auto"/>
          <w:lang w:eastAsia="zh-CN"/>
        </w:rPr>
        <w:t>；深化养老机构公建民营改革</w:t>
      </w:r>
      <w:r>
        <w:rPr>
          <w:rFonts w:hint="eastAsia" w:ascii="仿宋_GB2312" w:hAnsi="仿宋_GB2312" w:eastAsia="仿宋_GB2312" w:cs="仿宋_GB2312"/>
          <w:color w:val="auto"/>
          <w:kern w:val="0"/>
          <w:sz w:val="31"/>
          <w:szCs w:val="31"/>
          <w:u w:val="none" w:color="auto"/>
        </w:rPr>
        <w:t>，吸引社会力量参与</w:t>
      </w:r>
      <w:r>
        <w:rPr>
          <w:rFonts w:hint="eastAsia" w:ascii="仿宋_GB2312" w:hAnsi="仿宋_GB2312" w:eastAsia="仿宋_GB2312" w:cs="仿宋_GB2312"/>
          <w:color w:val="auto"/>
          <w:kern w:val="0"/>
          <w:sz w:val="31"/>
          <w:szCs w:val="31"/>
          <w:u w:val="none" w:color="auto"/>
          <w:lang w:eastAsia="zh-CN"/>
        </w:rPr>
        <w:t>，优化配置闲置床位资源，拓宽服务对象，推动转型升级；</w:t>
      </w:r>
      <w:r>
        <w:rPr>
          <w:rFonts w:hint="eastAsia" w:ascii="仿宋_GB2312" w:hAnsi="仿宋_GB2312" w:eastAsia="仿宋_GB2312" w:cs="仿宋_GB2312"/>
          <w:color w:val="auto"/>
          <w:kern w:val="0"/>
          <w:sz w:val="31"/>
          <w:szCs w:val="31"/>
          <w:u w:val="none" w:color="auto"/>
        </w:rPr>
        <w:t>加强</w:t>
      </w:r>
      <w:r>
        <w:rPr>
          <w:rFonts w:hint="eastAsia" w:ascii="仿宋_GB2312" w:hAnsi="仿宋_GB2312" w:eastAsia="仿宋_GB2312" w:cs="仿宋_GB2312"/>
          <w:color w:val="auto"/>
          <w:kern w:val="0"/>
          <w:sz w:val="31"/>
          <w:szCs w:val="31"/>
          <w:u w:val="none" w:color="auto"/>
          <w:lang w:eastAsia="zh-CN"/>
        </w:rPr>
        <w:t>综合</w:t>
      </w:r>
      <w:r>
        <w:rPr>
          <w:rFonts w:hint="eastAsia" w:ascii="仿宋_GB2312" w:hAnsi="仿宋_GB2312" w:eastAsia="仿宋_GB2312" w:cs="仿宋_GB2312"/>
          <w:color w:val="auto"/>
          <w:kern w:val="0"/>
          <w:sz w:val="31"/>
          <w:szCs w:val="31"/>
          <w:u w:val="none" w:color="auto"/>
        </w:rPr>
        <w:t>监管，</w:t>
      </w:r>
      <w:r>
        <w:rPr>
          <w:rFonts w:hint="eastAsia" w:ascii="仿宋_GB2312" w:hAnsi="仿宋_GB2312" w:eastAsia="仿宋_GB2312" w:cs="仿宋_GB2312"/>
          <w:color w:val="auto"/>
          <w:kern w:val="0"/>
          <w:sz w:val="31"/>
          <w:szCs w:val="31"/>
          <w:u w:val="none" w:color="auto"/>
          <w:lang w:eastAsia="zh-CN"/>
        </w:rPr>
        <w:t>坚持公建民营养老机构</w:t>
      </w:r>
      <w:r>
        <w:rPr>
          <w:rFonts w:hint="eastAsia" w:ascii="仿宋_GB2312" w:hAnsi="仿宋_GB2312" w:eastAsia="仿宋_GB2312" w:cs="仿宋_GB2312"/>
          <w:color w:val="auto"/>
          <w:kern w:val="0"/>
          <w:sz w:val="31"/>
          <w:szCs w:val="31"/>
          <w:u w:val="none" w:color="auto"/>
        </w:rPr>
        <w:t>社会公益属性</w:t>
      </w:r>
      <w:r>
        <w:rPr>
          <w:rFonts w:hint="eastAsia" w:ascii="仿宋_GB2312" w:hAnsi="仿宋_GB2312" w:eastAsia="仿宋_GB2312" w:cs="仿宋_GB2312"/>
          <w:color w:val="auto"/>
          <w:kern w:val="0"/>
          <w:sz w:val="31"/>
          <w:szCs w:val="31"/>
          <w:u w:val="none" w:color="auto"/>
          <w:lang w:eastAsia="zh-CN"/>
        </w:rPr>
        <w:t>，规范机构行为</w:t>
      </w:r>
      <w:r>
        <w:rPr>
          <w:rFonts w:hint="eastAsia" w:ascii="仿宋_GB2312" w:hAnsi="仿宋_GB2312" w:eastAsia="仿宋_GB2312" w:cs="仿宋_GB2312"/>
          <w:color w:val="auto"/>
          <w:kern w:val="0"/>
          <w:sz w:val="31"/>
          <w:szCs w:val="31"/>
          <w:u w:val="none" w:color="auto"/>
        </w:rPr>
        <w:t>。落实</w:t>
      </w:r>
      <w:r>
        <w:rPr>
          <w:rFonts w:hint="eastAsia" w:ascii="仿宋_GB2312" w:hAnsi="仿宋_GB2312" w:eastAsia="仿宋_GB2312" w:cs="仿宋_GB2312"/>
          <w:color w:val="auto"/>
          <w:kern w:val="0"/>
          <w:sz w:val="31"/>
          <w:szCs w:val="31"/>
          <w:u w:val="none" w:color="auto"/>
          <w:lang w:eastAsia="zh-CN"/>
        </w:rPr>
        <w:t>符合条件的</w:t>
      </w:r>
      <w:r>
        <w:rPr>
          <w:rFonts w:hint="eastAsia" w:ascii="仿宋_GB2312" w:hAnsi="仿宋_GB2312" w:eastAsia="仿宋_GB2312" w:cs="仿宋_GB2312"/>
          <w:color w:val="auto"/>
          <w:kern w:val="0"/>
          <w:sz w:val="31"/>
          <w:szCs w:val="31"/>
          <w:u w:val="none" w:color="auto"/>
        </w:rPr>
        <w:t>民办养老服务机构</w:t>
      </w:r>
      <w:r>
        <w:rPr>
          <w:rFonts w:hint="eastAsia" w:ascii="仿宋_GB2312" w:hAnsi="仿宋_GB2312" w:eastAsia="仿宋_GB2312" w:cs="仿宋_GB2312"/>
          <w:color w:val="auto"/>
          <w:kern w:val="0"/>
          <w:sz w:val="31"/>
          <w:szCs w:val="31"/>
          <w:u w:val="none" w:color="auto"/>
          <w:lang w:eastAsia="zh-CN"/>
        </w:rPr>
        <w:t>扶持政策。</w:t>
      </w:r>
      <w:r>
        <w:rPr>
          <w:rFonts w:hint="eastAsia" w:ascii="仿宋_GB2312" w:hAnsi="仿宋_GB2312" w:eastAsia="仿宋_GB2312" w:cs="仿宋_GB2312"/>
          <w:color w:val="auto"/>
          <w:sz w:val="31"/>
          <w:szCs w:val="31"/>
          <w:u w:val="none" w:color="auto"/>
          <w:lang w:val="en-US" w:eastAsia="zh-CN"/>
        </w:rPr>
        <w:t>继续推动福州、厦门开展诊所备案管理试点，2021年底前制定完成“职业卫生技术服务机构乙级资质认定程序”，便利市场准入。加强对互联网医院或开展互联网诊疗服务活动开具的电子处方管理，2022年底前规范电子处方审核、调配，确保信息可追溯。加强对除国家实行特殊管理以外的处方药的网络销售监管，根据国家统一部署，在省内选取1</w:t>
      </w:r>
      <w:r>
        <w:rPr>
          <w:rFonts w:hint="eastAsia" w:ascii="仿宋_GB2312" w:hAnsi="仿宋_GB2312" w:cs="仿宋_GB2312"/>
          <w:color w:val="auto"/>
          <w:sz w:val="31"/>
          <w:szCs w:val="31"/>
        </w:rPr>
        <w:t>～</w:t>
      </w:r>
      <w:r>
        <w:rPr>
          <w:rFonts w:hint="eastAsia" w:ascii="仿宋_GB2312" w:hAnsi="仿宋_GB2312" w:eastAsia="仿宋_GB2312" w:cs="仿宋_GB2312"/>
          <w:color w:val="auto"/>
          <w:sz w:val="31"/>
          <w:szCs w:val="31"/>
          <w:u w:val="none" w:color="auto"/>
          <w:lang w:val="en-US" w:eastAsia="zh-CN"/>
        </w:rPr>
        <w:t>2家药品网络交易服务第三方平台进行试点，逐步向全省推广。</w:t>
      </w:r>
      <w:r>
        <w:rPr>
          <w:rFonts w:hint="eastAsia" w:ascii="楷体_GB2312" w:hAnsi="楷体_GB2312" w:eastAsia="楷体_GB2312" w:cs="楷体_GB2312"/>
          <w:color w:val="auto"/>
          <w:sz w:val="31"/>
          <w:szCs w:val="31"/>
          <w:u w:val="none" w:color="auto"/>
          <w:lang w:val="en-US" w:eastAsia="zh-CN"/>
        </w:rPr>
        <w:t>（省民政厅、卫健委、药监局等部门按职责分工负责）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right="0" w:rightChars="0" w:firstLine="634" w:firstLineChars="200"/>
        <w:textAlignment w:val="auto"/>
        <w:outlineLvl w:val="9"/>
        <w:rPr>
          <w:rFonts w:hint="eastAsia" w:ascii="楷体_GB2312" w:hAnsi="楷体_GB2312" w:eastAsia="楷体_GB2312" w:cs="楷体_GB2312"/>
          <w:color w:val="auto"/>
          <w:sz w:val="31"/>
          <w:szCs w:val="31"/>
          <w:u w:val="none" w:color="auto"/>
          <w:lang w:val="en-US" w:eastAsia="zh-CN"/>
        </w:rPr>
      </w:pPr>
      <w:r>
        <w:rPr>
          <w:rFonts w:hint="eastAsia" w:ascii="楷体_GB2312" w:hAnsi="楷体_GB2312" w:eastAsia="楷体_GB2312" w:cs="楷体_GB2312"/>
          <w:b/>
          <w:bCs/>
          <w:color w:val="auto"/>
          <w:sz w:val="31"/>
          <w:szCs w:val="31"/>
          <w:u w:val="none" w:color="auto"/>
          <w:lang w:val="en-US" w:eastAsia="zh-CN"/>
        </w:rPr>
        <w:t>（二）提高社会救助精准性。</w:t>
      </w:r>
      <w:r>
        <w:rPr>
          <w:rFonts w:hint="eastAsia" w:ascii="仿宋_GB2312" w:hAnsi="仿宋_GB2312" w:eastAsia="仿宋_GB2312" w:cs="仿宋_GB2312"/>
          <w:color w:val="auto"/>
          <w:sz w:val="31"/>
          <w:szCs w:val="31"/>
          <w:u w:val="none" w:color="auto"/>
          <w:lang w:val="en-US" w:eastAsia="zh-CN"/>
        </w:rPr>
        <w:t>2021年底前健全完善防止返贫动态监测和帮扶机制，充分发挥“一键报贫”在线申报平台作用，定期组织乡村干部走访排查、行业部门专项筛查，确保符合条件的困难群众及时得到帮扶。持续开展民政、残联、医保、教育、住建、人社、</w:t>
      </w:r>
      <w:r>
        <w:rPr>
          <w:rFonts w:hint="eastAsia" w:ascii="仿宋_GB2312" w:hAnsi="仿宋_GB2312" w:eastAsia="仿宋_GB2312" w:cs="仿宋_GB2312"/>
          <w:strike w:val="0"/>
          <w:dstrike w:val="0"/>
          <w:color w:val="auto"/>
          <w:sz w:val="31"/>
          <w:szCs w:val="31"/>
          <w:u w:val="none" w:color="auto"/>
          <w:lang w:val="en-US" w:eastAsia="zh-CN"/>
        </w:rPr>
        <w:t>乡村振兴</w:t>
      </w:r>
      <w:r>
        <w:rPr>
          <w:rFonts w:hint="eastAsia" w:ascii="仿宋_GB2312" w:hAnsi="仿宋_GB2312" w:eastAsia="仿宋_GB2312" w:cs="仿宋_GB2312"/>
          <w:color w:val="auto"/>
          <w:sz w:val="31"/>
          <w:szCs w:val="31"/>
          <w:u w:val="none" w:color="auto"/>
          <w:lang w:val="en-US" w:eastAsia="zh-CN"/>
        </w:rPr>
        <w:t>、应急管理等部门数据比对工作，</w:t>
      </w:r>
      <w:r>
        <w:rPr>
          <w:rFonts w:hint="eastAsia" w:ascii="仿宋_GB2312" w:hAnsi="仿宋_GB2312" w:eastAsia="仿宋_GB2312" w:cs="仿宋_GB2312"/>
          <w:strike w:val="0"/>
          <w:dstrike w:val="0"/>
          <w:color w:val="auto"/>
          <w:sz w:val="31"/>
          <w:szCs w:val="31"/>
          <w:u w:val="none" w:color="auto"/>
          <w:lang w:val="en-US" w:eastAsia="zh-CN"/>
        </w:rPr>
        <w:t>提高社会救助对象认定的精准度，</w:t>
      </w:r>
      <w:r>
        <w:rPr>
          <w:rFonts w:hint="eastAsia" w:ascii="仿宋_GB2312" w:hAnsi="仿宋_GB2312" w:eastAsia="仿宋_GB2312" w:cs="仿宋_GB2312"/>
          <w:color w:val="auto"/>
          <w:sz w:val="31"/>
          <w:szCs w:val="31"/>
          <w:u w:val="none" w:color="auto"/>
          <w:lang w:val="en-US" w:eastAsia="zh-CN"/>
        </w:rPr>
        <w:t>通过大数据分析动态发现困难群众，做到早发现、早介入、早救助。2021年底前改造社会救助综合服务平台，双向打通核对平台与社会救助综合服务平台，健全救助申请家庭经济状况核对机制，推动社会救助服务向“闽政通”等移动端和省网上办事大厅延伸。</w:t>
      </w:r>
      <w:r>
        <w:rPr>
          <w:rFonts w:hint="eastAsia" w:ascii="楷体_GB2312" w:hAnsi="楷体_GB2312" w:eastAsia="楷体_GB2312" w:cs="楷体_GB2312"/>
          <w:color w:val="auto"/>
          <w:sz w:val="31"/>
          <w:szCs w:val="31"/>
          <w:u w:val="none" w:color="auto"/>
          <w:lang w:val="en-US" w:eastAsia="zh-CN"/>
        </w:rPr>
        <w:t>（省民政厅、人社厅、农业农村厅、医保局、数字办、残联等部门按职责分工负责）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right="0" w:rightChars="0" w:firstLine="634" w:firstLineChars="200"/>
        <w:jc w:val="both"/>
        <w:textAlignment w:val="auto"/>
        <w:outlineLvl w:val="9"/>
        <w:rPr>
          <w:rFonts w:hint="eastAsia" w:ascii="楷体_GB2312" w:hAnsi="楷体_GB2312" w:eastAsia="楷体_GB2312" w:cs="楷体_GB2312"/>
          <w:color w:val="auto"/>
          <w:sz w:val="31"/>
          <w:szCs w:val="31"/>
          <w:u w:val="none" w:color="auto"/>
          <w:lang w:val="en-US" w:eastAsia="zh-CN"/>
        </w:rPr>
      </w:pPr>
      <w:r>
        <w:rPr>
          <w:rFonts w:hint="eastAsia" w:ascii="楷体_GB2312" w:hAnsi="楷体_GB2312" w:eastAsia="楷体_GB2312" w:cs="楷体_GB2312"/>
          <w:b/>
          <w:bCs/>
          <w:color w:val="auto"/>
          <w:sz w:val="31"/>
          <w:szCs w:val="31"/>
          <w:u w:val="none" w:color="auto"/>
          <w:lang w:val="en-US" w:eastAsia="zh-CN"/>
        </w:rPr>
        <w:t>（三）深入推进政务服务优化。</w:t>
      </w:r>
      <w:r>
        <w:rPr>
          <w:rFonts w:hint="eastAsia" w:ascii="仿宋_GB2312" w:hAnsi="仿宋_GB2312" w:eastAsia="仿宋_GB2312" w:cs="仿宋_GB2312"/>
          <w:color w:val="auto"/>
          <w:sz w:val="31"/>
          <w:szCs w:val="31"/>
          <w:u w:val="none" w:color="auto"/>
          <w:lang w:val="en-US" w:eastAsia="zh-CN"/>
        </w:rPr>
        <w:t>2021年底前推动各级各部门完善并公布实行告知承诺制事项清单和证明事项保留清单。2021年底前推动涉及我省的129项高频政务服务事项实现跨省通办；加强基层行政服务中心规范化建设，提升基层行政服务中心服务能级；围绕企业全生命周期</w:t>
      </w:r>
      <w:r>
        <w:rPr>
          <w:rFonts w:hint="eastAsia" w:ascii="仿宋_GB2312" w:hAnsi="仿宋_GB2312" w:cs="仿宋_GB2312"/>
          <w:color w:val="auto"/>
          <w:sz w:val="31"/>
          <w:szCs w:val="31"/>
          <w:u w:val="none" w:color="auto"/>
          <w:lang w:val="en-US" w:eastAsia="zh-CN"/>
        </w:rPr>
        <w:t>和群众需求</w:t>
      </w:r>
      <w:r>
        <w:rPr>
          <w:rFonts w:hint="eastAsia" w:ascii="仿宋_GB2312" w:hAnsi="仿宋_GB2312" w:eastAsia="仿宋_GB2312" w:cs="仿宋_GB2312"/>
          <w:color w:val="auto"/>
          <w:sz w:val="31"/>
          <w:szCs w:val="31"/>
          <w:u w:val="none" w:color="auto"/>
          <w:lang w:val="en-US" w:eastAsia="zh-CN"/>
        </w:rPr>
        <w:t>，省级层面再推出一批“一件事”集成套餐服务；</w:t>
      </w:r>
      <w:r>
        <w:rPr>
          <w:rFonts w:hint="eastAsia" w:ascii="仿宋_GB2312" w:hAnsi="仿宋_GB2312" w:eastAsia="仿宋_GB2312" w:cs="仿宋_GB2312"/>
          <w:strike w:val="0"/>
          <w:dstrike w:val="0"/>
          <w:color w:val="auto"/>
          <w:sz w:val="31"/>
          <w:szCs w:val="31"/>
          <w:u w:val="none" w:color="auto"/>
          <w:lang w:val="en-US" w:eastAsia="zh-CN"/>
        </w:rPr>
        <w:t>深化</w:t>
      </w:r>
      <w:r>
        <w:rPr>
          <w:rFonts w:hint="eastAsia" w:ascii="仿宋_GB2312" w:hAnsi="仿宋_GB2312" w:eastAsia="仿宋_GB2312" w:cs="仿宋_GB2312"/>
          <w:strike w:val="0"/>
          <w:color w:val="auto"/>
          <w:sz w:val="31"/>
          <w:szCs w:val="31"/>
          <w:u w:val="none" w:color="auto"/>
          <w:lang w:val="en-US" w:eastAsia="zh-CN"/>
        </w:rPr>
        <w:t>“</w:t>
      </w:r>
      <w:r>
        <w:rPr>
          <w:rFonts w:hint="eastAsia" w:ascii="仿宋_GB2312" w:hAnsi="仿宋_GB2312" w:eastAsia="仿宋_GB2312" w:cs="仿宋_GB2312"/>
          <w:color w:val="auto"/>
          <w:sz w:val="31"/>
          <w:szCs w:val="31"/>
          <w:u w:val="none" w:color="auto"/>
          <w:lang w:val="en-US" w:eastAsia="zh-CN"/>
        </w:rPr>
        <w:t>就近办、自助办”改革，打造15分钟便民服务圈；优化全省政务服务事项“五级十五同”标准，提升全程网办、一趟不用跑、即办件比例和审查要点精确度；推动全省便民服务事项全面规范入驻省网上办事大厅。制定一批我省政务服务改革地方性标准。2022年底前在“厦漳泉”异地代收代办试点基础上，推动更多高频政务服务事项线下异地代收代办。</w:t>
      </w:r>
      <w:r>
        <w:rPr>
          <w:rFonts w:hint="eastAsia" w:ascii="楷体_GB2312" w:hAnsi="楷体_GB2312" w:eastAsia="楷体_GB2312" w:cs="楷体_GB2312"/>
          <w:color w:val="auto"/>
          <w:sz w:val="31"/>
          <w:szCs w:val="31"/>
          <w:u w:val="none" w:color="auto"/>
          <w:lang w:val="en-US" w:eastAsia="zh-CN"/>
        </w:rPr>
        <w:t>（省审改办、司法厅、市场监管局、数字办等部门按职责分工负责）</w:t>
      </w:r>
    </w:p>
    <w:p>
      <w:pPr>
        <w:keepNext w:val="0"/>
        <w:keepLines w:val="0"/>
        <w:pageBreakBefore w:val="0"/>
        <w:widowControl w:val="0"/>
        <w:kinsoku/>
        <w:wordWrap/>
        <w:overflowPunct/>
        <w:topLinePunct w:val="0"/>
        <w:autoSpaceDE/>
        <w:autoSpaceDN/>
        <w:bidi w:val="0"/>
        <w:adjustRightInd/>
        <w:snapToGrid/>
        <w:spacing w:line="596" w:lineRule="exact"/>
        <w:ind w:firstLine="634" w:firstLineChars="200"/>
        <w:textAlignment w:val="auto"/>
        <w:rPr>
          <w:rFonts w:hint="eastAsia" w:ascii="楷体_GB2312" w:hAnsi="楷体_GB2312" w:eastAsia="楷体_GB2312" w:cs="楷体_GB2312"/>
          <w:color w:val="auto"/>
          <w:sz w:val="31"/>
          <w:szCs w:val="31"/>
          <w:u w:val="none" w:color="auto"/>
          <w:lang w:val="en-US" w:eastAsia="zh-CN"/>
        </w:rPr>
      </w:pPr>
      <w:r>
        <w:rPr>
          <w:rFonts w:hint="eastAsia" w:ascii="楷体_GB2312" w:hAnsi="楷体_GB2312" w:eastAsia="楷体_GB2312" w:cs="楷体_GB2312"/>
          <w:b/>
          <w:bCs/>
          <w:sz w:val="31"/>
          <w:szCs w:val="31"/>
          <w:u w:val="none" w:color="auto"/>
          <w:lang w:val="en-US" w:eastAsia="zh-CN"/>
        </w:rPr>
        <w:t>（四）</w:t>
      </w:r>
      <w:r>
        <w:rPr>
          <w:rFonts w:hint="eastAsia" w:ascii="楷体_GB2312" w:hAnsi="楷体_GB2312" w:eastAsia="楷体_GB2312" w:cs="楷体_GB2312"/>
          <w:b/>
          <w:bCs/>
          <w:sz w:val="31"/>
          <w:szCs w:val="31"/>
          <w:u w:val="none" w:color="auto"/>
          <w:lang w:eastAsia="zh-CN"/>
        </w:rPr>
        <w:t>推进在线政务服务平台整合优化。</w:t>
      </w:r>
      <w:r>
        <w:rPr>
          <w:rFonts w:hint="eastAsia" w:ascii="仿宋_GB2312" w:hAnsi="仿宋_GB2312" w:eastAsia="仿宋_GB2312" w:cs="仿宋_GB2312"/>
          <w:sz w:val="31"/>
          <w:szCs w:val="31"/>
          <w:u w:val="none" w:color="auto"/>
        </w:rPr>
        <w:t>依托“中国福建”门户网站，建设政务服务“一张网”总门户，优化网站界面设计和用户体验水平</w:t>
      </w:r>
      <w:r>
        <w:rPr>
          <w:rFonts w:hint="eastAsia" w:ascii="仿宋_GB2312" w:hAnsi="仿宋_GB2312" w:eastAsia="仿宋_GB2312" w:cs="仿宋_GB2312"/>
          <w:sz w:val="31"/>
          <w:szCs w:val="31"/>
          <w:u w:val="none" w:color="auto"/>
          <w:lang w:eastAsia="zh-CN"/>
        </w:rPr>
        <w:t>。建设全省一体化协同办公平台、移动办公平台和</w:t>
      </w:r>
      <w:r>
        <w:rPr>
          <w:rFonts w:hint="eastAsia" w:ascii="仿宋_GB2312" w:hAnsi="仿宋_GB2312" w:eastAsia="仿宋_GB2312" w:cs="仿宋_GB2312"/>
          <w:b w:val="0"/>
          <w:bCs w:val="0"/>
          <w:kern w:val="2"/>
          <w:sz w:val="31"/>
          <w:szCs w:val="31"/>
          <w:u w:val="none" w:color="auto"/>
          <w:lang w:val="en-US" w:eastAsia="zh-CN" w:bidi="ar-SA"/>
        </w:rPr>
        <w:t>一体化在线监管平台，</w:t>
      </w:r>
      <w:r>
        <w:rPr>
          <w:rFonts w:hint="eastAsia" w:ascii="仿宋_GB2312" w:hAnsi="仿宋_GB2312" w:eastAsia="仿宋_GB2312" w:cs="仿宋_GB2312"/>
          <w:sz w:val="31"/>
          <w:szCs w:val="31"/>
          <w:u w:val="none" w:color="auto"/>
          <w:lang w:eastAsia="zh-CN"/>
        </w:rPr>
        <w:t>打造公务人员工作统一平台，</w:t>
      </w:r>
      <w:r>
        <w:rPr>
          <w:rFonts w:hint="eastAsia" w:ascii="仿宋_GB2312" w:hAnsi="仿宋_GB2312" w:eastAsia="仿宋_GB2312" w:cs="仿宋_GB2312"/>
          <w:sz w:val="31"/>
          <w:szCs w:val="31"/>
          <w:u w:val="none" w:color="auto"/>
        </w:rPr>
        <w:t>实现“对外好办事，对内好办公”。制定政务服务旗舰店建设标准规范以及自建办事系统接入标准，开发省级行政审批电子文件归档系统。推动各级各部门已建APP和第三方平台公众号、小程序等以“政务小程序”入驻闽政通APP。加快落实电子证照跨省互认，建设跨省跨区域通办审批系统和线上线下服务专区。完成省网上办事大厅老年人服务专区和闽政通老年人版建设</w:t>
      </w:r>
      <w:r>
        <w:rPr>
          <w:rFonts w:hint="eastAsia" w:ascii="仿宋_GB2312" w:hAnsi="仿宋_GB2312" w:eastAsia="仿宋_GB2312" w:cs="仿宋_GB2312"/>
          <w:sz w:val="31"/>
          <w:szCs w:val="31"/>
          <w:u w:val="none" w:color="auto"/>
          <w:lang w:eastAsia="zh-CN"/>
        </w:rPr>
        <w:t>。</w:t>
      </w:r>
      <w:r>
        <w:rPr>
          <w:rFonts w:hint="eastAsia" w:ascii="仿宋_GB2312" w:hAnsi="仿宋_GB2312" w:eastAsia="仿宋_GB2312" w:cs="仿宋_GB2312"/>
          <w:sz w:val="31"/>
          <w:szCs w:val="31"/>
          <w:u w:val="none" w:color="auto"/>
        </w:rPr>
        <w:t>建设全省政务自助终端通办平台，实现随时办、就近办、自助办。</w:t>
      </w:r>
      <w:r>
        <w:rPr>
          <w:rFonts w:hint="eastAsia" w:ascii="楷体_GB2312" w:hAnsi="楷体_GB2312" w:eastAsia="楷体_GB2312" w:cs="楷体_GB2312"/>
          <w:color w:val="auto"/>
          <w:sz w:val="31"/>
          <w:szCs w:val="31"/>
          <w:u w:val="none" w:color="auto"/>
          <w:lang w:val="en-US" w:eastAsia="zh-CN"/>
        </w:rPr>
        <w:t>（省数字办、审改办牵头，省有关单位按职责分工负责）</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4" w:firstLineChars="200"/>
        <w:textAlignment w:val="auto"/>
        <w:outlineLvl w:val="9"/>
        <w:rPr>
          <w:rFonts w:hint="eastAsia" w:ascii="黑体" w:hAnsi="黑体" w:eastAsia="黑体" w:cs="黑体"/>
          <w:color w:val="auto"/>
          <w:sz w:val="31"/>
          <w:szCs w:val="31"/>
          <w:u w:val="none" w:color="auto"/>
          <w:lang w:val="en"/>
        </w:rPr>
      </w:pPr>
      <w:r>
        <w:rPr>
          <w:rFonts w:hint="eastAsia" w:ascii="黑体" w:hAnsi="黑体" w:eastAsia="黑体" w:cs="黑体"/>
          <w:color w:val="auto"/>
          <w:sz w:val="31"/>
          <w:szCs w:val="31"/>
          <w:u w:val="none" w:color="auto"/>
          <w:lang w:val="en-US"/>
        </w:rPr>
        <w:t>八、进一步</w:t>
      </w:r>
      <w:r>
        <w:rPr>
          <w:rFonts w:hint="eastAsia" w:ascii="黑体" w:hAnsi="黑体" w:eastAsia="黑体" w:cs="黑体"/>
          <w:color w:val="auto"/>
          <w:sz w:val="31"/>
          <w:szCs w:val="31"/>
          <w:u w:val="none" w:color="auto"/>
          <w:lang w:val="en-US" w:eastAsia="zh-CN"/>
        </w:rPr>
        <w:t>创新和完善市场监管</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right="0" w:rightChars="0" w:firstLine="634" w:firstLineChars="200"/>
        <w:textAlignment w:val="auto"/>
        <w:outlineLvl w:val="9"/>
        <w:rPr>
          <w:rFonts w:hint="eastAsia" w:ascii="楷体_GB2312" w:hAnsi="楷体_GB2312" w:eastAsia="楷体_GB2312" w:cs="楷体_GB2312"/>
          <w:color w:val="auto"/>
          <w:sz w:val="31"/>
          <w:szCs w:val="31"/>
          <w:u w:val="none" w:color="auto"/>
          <w:lang w:val="en-US" w:eastAsia="zh-CN"/>
        </w:rPr>
      </w:pPr>
      <w:r>
        <w:rPr>
          <w:rFonts w:hint="eastAsia" w:ascii="楷体_GB2312" w:hAnsi="楷体_GB2312" w:eastAsia="楷体_GB2312" w:cs="楷体_GB2312"/>
          <w:b/>
          <w:bCs/>
          <w:color w:val="auto"/>
          <w:sz w:val="31"/>
          <w:szCs w:val="31"/>
          <w:u w:val="none" w:color="auto"/>
          <w:lang w:val="en-US" w:eastAsia="zh-CN"/>
        </w:rPr>
        <w:t>（一）加强取消和下放事项监管。</w:t>
      </w:r>
      <w:r>
        <w:rPr>
          <w:rFonts w:hint="eastAsia" w:ascii="仿宋_GB2312" w:hAnsi="仿宋_GB2312" w:eastAsia="仿宋_GB2312" w:cs="仿宋_GB2312"/>
          <w:color w:val="auto"/>
          <w:sz w:val="31"/>
          <w:szCs w:val="31"/>
          <w:u w:val="none" w:color="auto"/>
          <w:lang w:val="en-US" w:eastAsia="zh-CN"/>
        </w:rPr>
        <w:t>2021年底前规范行政审批服务事项下放（委托）程序，落实合法性审查和承接能力评估；优化调整赋予自贸试验区的省级审批权限；对取消和下放的行政许可事项逐项制定事中事后监管措施，明确</w:t>
      </w:r>
      <w:r>
        <w:rPr>
          <w:rFonts w:hint="eastAsia" w:ascii="仿宋_GB2312" w:hAnsi="仿宋_GB2312" w:eastAsia="仿宋_GB2312" w:cs="仿宋_GB2312"/>
          <w:color w:val="auto"/>
          <w:sz w:val="31"/>
          <w:szCs w:val="31"/>
          <w:u w:val="none" w:color="auto"/>
          <w:lang w:val="en-US"/>
        </w:rPr>
        <w:t>监管层级、监管部门、监管方式，完善监管规则和标准</w:t>
      </w:r>
      <w:r>
        <w:rPr>
          <w:rFonts w:hint="eastAsia" w:ascii="仿宋_GB2312" w:hAnsi="仿宋_GB2312" w:eastAsia="仿宋_GB2312" w:cs="仿宋_GB2312"/>
          <w:color w:val="auto"/>
          <w:sz w:val="31"/>
          <w:szCs w:val="31"/>
          <w:u w:val="none" w:color="auto"/>
          <w:lang w:val="en-US" w:eastAsia="zh-CN"/>
        </w:rPr>
        <w:t>；梳理编制我省生态环境保护、交通运输、市场监管等领域的综合行政执法事项目录，明确各级监管部门的监管执法职责和责任分工。推动建立相互协作、齐抓共管的高效监管机制，</w:t>
      </w:r>
      <w:r>
        <w:rPr>
          <w:rFonts w:hint="eastAsia" w:ascii="仿宋_GB2312" w:hAnsi="仿宋_GB2312" w:eastAsia="仿宋_GB2312" w:cs="仿宋_GB2312"/>
          <w:strike w:val="0"/>
          <w:dstrike w:val="0"/>
          <w:color w:val="auto"/>
          <w:sz w:val="31"/>
          <w:szCs w:val="31"/>
          <w:u w:val="none" w:color="auto"/>
          <w:lang w:val="en-US" w:eastAsia="zh-CN"/>
        </w:rPr>
        <w:t>对涉及多部门的监管执法事项，进一步明确牵头部门和配合部门</w:t>
      </w:r>
      <w:r>
        <w:rPr>
          <w:rFonts w:hint="eastAsia" w:ascii="仿宋_GB2312" w:hAnsi="仿宋_GB2312" w:eastAsia="仿宋_GB2312" w:cs="仿宋_GB2312"/>
          <w:color w:val="auto"/>
          <w:sz w:val="31"/>
          <w:szCs w:val="31"/>
          <w:u w:val="none" w:color="auto"/>
          <w:lang w:val="en-US" w:eastAsia="zh-CN"/>
        </w:rPr>
        <w:t>。</w:t>
      </w:r>
      <w:r>
        <w:rPr>
          <w:rFonts w:hint="eastAsia" w:ascii="楷体_GB2312" w:hAnsi="楷体_GB2312" w:eastAsia="楷体_GB2312" w:cs="楷体_GB2312"/>
          <w:color w:val="auto"/>
          <w:sz w:val="31"/>
          <w:szCs w:val="31"/>
          <w:u w:val="none" w:color="auto"/>
          <w:lang w:val="en-US" w:eastAsia="zh-CN"/>
        </w:rPr>
        <w:t>（省委编办，省审改办、市场监管局、司法厅</w:t>
      </w:r>
      <w:r>
        <w:rPr>
          <w:rFonts w:hint="eastAsia" w:ascii="楷体_GB2312" w:hAnsi="楷体_GB2312" w:eastAsia="楷体_GB2312" w:cs="楷体_GB2312"/>
          <w:color w:val="auto"/>
          <w:spacing w:val="0"/>
          <w:sz w:val="31"/>
          <w:szCs w:val="31"/>
          <w:u w:val="none" w:color="auto"/>
          <w:vertAlign w:val="baseline"/>
          <w:lang w:val="en-US" w:eastAsia="zh-CN"/>
        </w:rPr>
        <w:t>、生态环境厅、交通运输厅</w:t>
      </w:r>
      <w:r>
        <w:rPr>
          <w:rFonts w:hint="eastAsia" w:ascii="楷体_GB2312" w:hAnsi="楷体_GB2312" w:eastAsia="楷体_GB2312" w:cs="楷体_GB2312"/>
          <w:color w:val="auto"/>
          <w:sz w:val="31"/>
          <w:szCs w:val="31"/>
          <w:u w:val="none" w:color="auto"/>
          <w:lang w:val="en-US" w:eastAsia="zh-CN"/>
        </w:rPr>
        <w:t>等省有关部门按职责分工负责）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right="0" w:rightChars="0" w:firstLine="634" w:firstLineChars="200"/>
        <w:textAlignment w:val="auto"/>
        <w:outlineLvl w:val="9"/>
        <w:rPr>
          <w:rFonts w:hint="eastAsia" w:ascii="仿宋_GB2312" w:hAnsi="仿宋_GB2312" w:eastAsia="仿宋_GB2312" w:cs="仿宋_GB2312"/>
          <w:b w:val="0"/>
          <w:bCs/>
          <w:color w:val="auto"/>
          <w:sz w:val="31"/>
          <w:szCs w:val="31"/>
          <w:u w:val="none" w:color="auto"/>
        </w:rPr>
      </w:pPr>
      <w:r>
        <w:rPr>
          <w:rFonts w:hint="eastAsia" w:ascii="楷体_GB2312" w:hAnsi="楷体_GB2312" w:eastAsia="楷体_GB2312" w:cs="楷体_GB2312"/>
          <w:b/>
          <w:bCs/>
          <w:color w:val="auto"/>
          <w:sz w:val="31"/>
          <w:szCs w:val="31"/>
          <w:u w:val="none" w:color="auto"/>
          <w:lang w:val="en-US" w:eastAsia="zh-CN"/>
        </w:rPr>
        <w:t>（二）提升事中事后监管效能。</w:t>
      </w:r>
      <w:r>
        <w:rPr>
          <w:rFonts w:hint="eastAsia" w:ascii="仿宋_GB2312" w:hAnsi="仿宋_GB2312" w:cs="仿宋_GB2312"/>
          <w:sz w:val="31"/>
          <w:szCs w:val="31"/>
          <w:u w:val="none" w:color="auto"/>
          <w:lang w:eastAsia="zh-CN"/>
        </w:rPr>
        <w:t>完善</w:t>
      </w:r>
      <w:r>
        <w:rPr>
          <w:rFonts w:hint="eastAsia" w:ascii="仿宋_GB2312" w:hAnsi="仿宋_GB2312" w:eastAsia="仿宋_GB2312" w:cs="仿宋_GB2312"/>
          <w:sz w:val="31"/>
          <w:szCs w:val="31"/>
          <w:u w:val="none" w:color="auto"/>
        </w:rPr>
        <w:t>省“互联网+监管”系统</w:t>
      </w:r>
      <w:r>
        <w:rPr>
          <w:rFonts w:hint="eastAsia" w:ascii="仿宋_GB2312" w:hAnsi="仿宋_GB2312" w:cs="仿宋_GB2312"/>
          <w:sz w:val="31"/>
          <w:szCs w:val="31"/>
          <w:u w:val="none" w:color="auto"/>
          <w:lang w:eastAsia="zh-CN"/>
        </w:rPr>
        <w:t>建设，</w:t>
      </w:r>
      <w:r>
        <w:rPr>
          <w:rFonts w:hint="eastAsia" w:ascii="仿宋_GB2312" w:hAnsi="仿宋_GB2312" w:eastAsia="仿宋_GB2312" w:cs="仿宋_GB2312"/>
          <w:color w:val="auto"/>
          <w:sz w:val="31"/>
          <w:szCs w:val="31"/>
          <w:u w:val="none" w:color="auto"/>
          <w:lang w:val="en-US" w:eastAsia="zh-CN"/>
        </w:rPr>
        <w:t>建立健全管理制度，</w:t>
      </w:r>
      <w:r>
        <w:rPr>
          <w:rFonts w:hint="eastAsia" w:ascii="仿宋_GB2312" w:hAnsi="仿宋_GB2312" w:eastAsia="仿宋_GB2312" w:cs="仿宋_GB2312"/>
          <w:b w:val="0"/>
          <w:bCs/>
          <w:strike w:val="0"/>
          <w:dstrike w:val="0"/>
          <w:color w:val="auto"/>
          <w:sz w:val="31"/>
          <w:szCs w:val="31"/>
          <w:u w:val="none" w:color="auto"/>
          <w:lang w:val="en-US" w:eastAsia="zh-CN"/>
        </w:rPr>
        <w:t>优化提升</w:t>
      </w:r>
      <w:r>
        <w:rPr>
          <w:rFonts w:hint="eastAsia" w:ascii="仿宋_GB2312" w:hAnsi="仿宋_GB2312" w:eastAsia="仿宋_GB2312" w:cs="仿宋_GB2312"/>
          <w:color w:val="auto"/>
          <w:sz w:val="31"/>
          <w:szCs w:val="31"/>
          <w:u w:val="none" w:color="auto"/>
          <w:lang w:val="en-US" w:eastAsia="zh-CN"/>
        </w:rPr>
        <w:t>“互</w:t>
      </w:r>
      <w:r>
        <w:rPr>
          <w:rFonts w:hint="eastAsia" w:ascii="仿宋_GB2312" w:hAnsi="仿宋_GB2312" w:eastAsia="仿宋_GB2312" w:cs="仿宋_GB2312"/>
          <w:b w:val="0"/>
          <w:bCs/>
          <w:color w:val="auto"/>
          <w:sz w:val="31"/>
          <w:szCs w:val="31"/>
          <w:u w:val="none" w:color="auto"/>
          <w:lang w:val="en-US" w:eastAsia="zh-CN"/>
        </w:rPr>
        <w:t>联网+监管”系统功能，</w:t>
      </w:r>
      <w:r>
        <w:rPr>
          <w:rFonts w:hint="eastAsia" w:ascii="仿宋_GB2312" w:hAnsi="仿宋_GB2312" w:eastAsia="仿宋_GB2312" w:cs="仿宋_GB2312"/>
          <w:b w:val="0"/>
          <w:bCs/>
          <w:color w:val="auto"/>
          <w:sz w:val="31"/>
          <w:szCs w:val="31"/>
          <w:u w:val="none" w:color="auto"/>
        </w:rPr>
        <w:t>加强大数据综合分析能力</w:t>
      </w:r>
      <w:r>
        <w:rPr>
          <w:rFonts w:hint="eastAsia" w:ascii="仿宋_GB2312" w:hAnsi="仿宋_GB2312" w:eastAsia="仿宋_GB2312" w:cs="仿宋_GB2312"/>
          <w:sz w:val="31"/>
          <w:szCs w:val="31"/>
          <w:u w:val="none" w:color="auto"/>
        </w:rPr>
        <w:t>，推动各行业监管部门依托省“互联网+监管”系统开展应用</w:t>
      </w:r>
      <w:r>
        <w:rPr>
          <w:rFonts w:hint="eastAsia" w:ascii="仿宋_GB2312" w:hAnsi="仿宋_GB2312" w:eastAsia="仿宋_GB2312" w:cs="仿宋_GB2312"/>
          <w:b w:val="0"/>
          <w:bCs/>
          <w:color w:val="auto"/>
          <w:sz w:val="31"/>
          <w:szCs w:val="31"/>
          <w:u w:val="none" w:color="auto"/>
        </w:rPr>
        <w:t>。完善全省企业信用风险分类管理机制，强化经营异常名录管理、严重违法失信名单管理</w:t>
      </w:r>
      <w:r>
        <w:rPr>
          <w:rFonts w:hint="eastAsia" w:ascii="仿宋_GB2312" w:hAnsi="仿宋_GB2312" w:eastAsia="仿宋_GB2312" w:cs="仿宋_GB2312"/>
          <w:b w:val="0"/>
          <w:bCs/>
          <w:color w:val="auto"/>
          <w:sz w:val="31"/>
          <w:szCs w:val="31"/>
          <w:u w:val="none" w:color="auto"/>
          <w:lang w:eastAsia="zh-CN"/>
        </w:rPr>
        <w:t>。</w:t>
      </w:r>
      <w:r>
        <w:rPr>
          <w:rFonts w:hint="eastAsia" w:ascii="仿宋_GB2312" w:hAnsi="仿宋_GB2312" w:eastAsia="仿宋_GB2312" w:cs="仿宋_GB2312"/>
          <w:b w:val="0"/>
          <w:bCs/>
          <w:color w:val="auto"/>
          <w:kern w:val="0"/>
          <w:sz w:val="31"/>
          <w:szCs w:val="31"/>
          <w:u w:val="none" w:color="auto"/>
          <w:lang w:val="zh-CN"/>
        </w:rPr>
        <w:t>开展危化品、水泥等生产企业产品质量安全信用风险分级分类监管试点工作</w:t>
      </w:r>
      <w:r>
        <w:rPr>
          <w:rFonts w:hint="eastAsia" w:ascii="仿宋_GB2312" w:hAnsi="仿宋_GB2312" w:eastAsia="仿宋_GB2312" w:cs="仿宋_GB2312"/>
          <w:b w:val="0"/>
          <w:bCs/>
          <w:color w:val="auto"/>
          <w:sz w:val="31"/>
          <w:szCs w:val="31"/>
          <w:u w:val="none" w:color="auto"/>
          <w:lang w:val="zh-CN"/>
        </w:rPr>
        <w:t>。加强重点工业品、消费品质量监督抽查和风险监测工作，深入开展隐患排查或整治。研究</w:t>
      </w:r>
      <w:r>
        <w:rPr>
          <w:rFonts w:hint="eastAsia" w:ascii="仿宋_GB2312" w:hAnsi="仿宋_GB2312" w:eastAsia="仿宋_GB2312" w:cs="仿宋_GB2312"/>
          <w:b w:val="0"/>
          <w:bCs/>
          <w:color w:val="auto"/>
          <w:sz w:val="31"/>
          <w:szCs w:val="31"/>
          <w:u w:val="none" w:color="auto"/>
          <w:lang w:eastAsia="zh-CN"/>
        </w:rPr>
        <w:t>对新技术、</w:t>
      </w:r>
      <w:r>
        <w:rPr>
          <w:rFonts w:hint="eastAsia" w:ascii="仿宋_GB2312" w:hAnsi="仿宋_GB2312" w:eastAsia="仿宋_GB2312" w:cs="仿宋_GB2312"/>
          <w:b w:val="0"/>
          <w:bCs/>
          <w:color w:val="auto"/>
          <w:sz w:val="31"/>
          <w:szCs w:val="31"/>
          <w:u w:val="none" w:color="auto"/>
        </w:rPr>
        <w:t>新产业</w:t>
      </w:r>
      <w:r>
        <w:rPr>
          <w:rFonts w:hint="eastAsia" w:ascii="仿宋_GB2312" w:hAnsi="仿宋_GB2312" w:eastAsia="仿宋_GB2312" w:cs="仿宋_GB2312"/>
          <w:b w:val="0"/>
          <w:bCs/>
          <w:color w:val="auto"/>
          <w:sz w:val="31"/>
          <w:szCs w:val="31"/>
          <w:u w:val="none" w:color="auto"/>
          <w:lang w:eastAsia="zh-CN"/>
        </w:rPr>
        <w:t>、</w:t>
      </w:r>
      <w:r>
        <w:rPr>
          <w:rFonts w:hint="eastAsia" w:ascii="仿宋_GB2312" w:hAnsi="仿宋_GB2312" w:eastAsia="仿宋_GB2312" w:cs="仿宋_GB2312"/>
          <w:b w:val="0"/>
          <w:bCs/>
          <w:color w:val="auto"/>
          <w:sz w:val="31"/>
          <w:szCs w:val="31"/>
          <w:u w:val="none" w:color="auto"/>
        </w:rPr>
        <w:t>新业态</w:t>
      </w:r>
      <w:r>
        <w:rPr>
          <w:rFonts w:hint="eastAsia" w:ascii="仿宋_GB2312" w:hAnsi="仿宋_GB2312" w:eastAsia="仿宋_GB2312" w:cs="仿宋_GB2312"/>
          <w:b w:val="0"/>
          <w:bCs/>
          <w:color w:val="auto"/>
          <w:sz w:val="31"/>
          <w:szCs w:val="31"/>
          <w:u w:val="none" w:color="auto"/>
          <w:lang w:eastAsia="zh-CN"/>
        </w:rPr>
        <w:t>、新模式的</w:t>
      </w:r>
      <w:r>
        <w:rPr>
          <w:rFonts w:hint="eastAsia" w:ascii="仿宋_GB2312" w:hAnsi="仿宋_GB2312" w:eastAsia="仿宋_GB2312" w:cs="仿宋_GB2312"/>
          <w:b w:val="0"/>
          <w:bCs/>
          <w:color w:val="auto"/>
          <w:sz w:val="31"/>
          <w:szCs w:val="31"/>
          <w:u w:val="none" w:color="auto"/>
        </w:rPr>
        <w:t>包容审慎监管</w:t>
      </w:r>
      <w:r>
        <w:rPr>
          <w:rFonts w:hint="eastAsia" w:ascii="仿宋_GB2312" w:hAnsi="仿宋_GB2312" w:eastAsia="仿宋_GB2312" w:cs="仿宋_GB2312"/>
          <w:b w:val="0"/>
          <w:bCs/>
          <w:color w:val="auto"/>
          <w:sz w:val="31"/>
          <w:szCs w:val="31"/>
          <w:u w:val="none" w:color="auto"/>
          <w:lang w:eastAsia="zh-CN"/>
        </w:rPr>
        <w:t>机制。</w:t>
      </w:r>
      <w:r>
        <w:rPr>
          <w:rFonts w:hint="eastAsia" w:ascii="楷体_GB2312" w:hAnsi="楷体_GB2312" w:eastAsia="楷体_GB2312" w:cs="楷体_GB2312"/>
          <w:b w:val="0"/>
          <w:bCs/>
          <w:color w:val="auto"/>
          <w:sz w:val="31"/>
          <w:szCs w:val="31"/>
          <w:u w:val="none" w:color="auto"/>
        </w:rPr>
        <w:t>（省审改办、数字办、市场监管局</w:t>
      </w:r>
      <w:r>
        <w:rPr>
          <w:rFonts w:hint="eastAsia" w:ascii="楷体_GB2312" w:hAnsi="楷体_GB2312" w:eastAsia="楷体_GB2312" w:cs="楷体_GB2312"/>
          <w:b w:val="0"/>
          <w:bCs/>
          <w:color w:val="auto"/>
          <w:sz w:val="31"/>
          <w:szCs w:val="31"/>
          <w:u w:val="none" w:color="auto"/>
          <w:lang w:eastAsia="zh-CN"/>
        </w:rPr>
        <w:t>、司法厅</w:t>
      </w:r>
      <w:r>
        <w:rPr>
          <w:rFonts w:hint="eastAsia" w:ascii="楷体_GB2312" w:hAnsi="楷体_GB2312" w:eastAsia="楷体_GB2312" w:cs="楷体_GB2312"/>
          <w:b w:val="0"/>
          <w:bCs/>
          <w:color w:val="auto"/>
          <w:sz w:val="31"/>
          <w:szCs w:val="31"/>
          <w:u w:val="none" w:color="auto"/>
        </w:rPr>
        <w:t>等部门按职责分工负责）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right="0" w:rightChars="0" w:firstLine="634" w:firstLineChars="200"/>
        <w:textAlignment w:val="auto"/>
        <w:outlineLvl w:val="9"/>
        <w:rPr>
          <w:rFonts w:hint="eastAsia" w:ascii="仿宋_GB2312" w:hAnsi="仿宋_GB2312" w:eastAsia="仿宋_GB2312" w:cs="仿宋_GB2312"/>
          <w:color w:val="auto"/>
          <w:sz w:val="31"/>
          <w:szCs w:val="31"/>
          <w:u w:val="none" w:color="auto"/>
          <w:lang w:val="en-US" w:eastAsia="zh-CN"/>
        </w:rPr>
      </w:pPr>
      <w:r>
        <w:rPr>
          <w:rFonts w:hint="eastAsia" w:ascii="楷体_GB2312" w:hAnsi="楷体_GB2312" w:eastAsia="楷体_GB2312" w:cs="楷体_GB2312"/>
          <w:b/>
          <w:bCs/>
          <w:color w:val="auto"/>
          <w:sz w:val="31"/>
          <w:szCs w:val="31"/>
          <w:u w:val="none" w:color="auto"/>
          <w:lang w:val="en-US" w:eastAsia="zh-CN"/>
        </w:rPr>
        <w:t>（三）严格规范行政执法。</w:t>
      </w:r>
      <w:r>
        <w:rPr>
          <w:rFonts w:hint="eastAsia" w:ascii="仿宋_GB2312" w:hAnsi="仿宋_GB2312" w:eastAsia="仿宋_GB2312" w:cs="仿宋_GB2312"/>
          <w:color w:val="auto"/>
          <w:sz w:val="31"/>
          <w:szCs w:val="31"/>
          <w:u w:val="none" w:color="auto"/>
          <w:lang w:val="en-US" w:eastAsia="zh-CN"/>
        </w:rPr>
        <w:t>2021年底前行政执法机关制定并公布行政裁量基准，各级各部门开展行政裁量基准的清理调整；各部门制定轻微违法行为不予行政处罚事项清单。依法依规建立柔性执法清单管理制度，对轻</w:t>
      </w:r>
      <w:r>
        <w:rPr>
          <w:rFonts w:hint="eastAsia" w:ascii="仿宋_GB2312" w:hAnsi="仿宋_GB2312" w:eastAsia="仿宋_GB2312" w:cs="仿宋_GB2312"/>
          <w:color w:val="auto"/>
          <w:sz w:val="31"/>
          <w:szCs w:val="31"/>
          <w:u w:val="none" w:color="auto"/>
          <w:lang w:val="en-US"/>
        </w:rPr>
        <w:t>微违法行为，慎用少用行政强制措施，防止一关了之、以罚代管。</w:t>
      </w:r>
      <w:r>
        <w:rPr>
          <w:rFonts w:hint="eastAsia" w:ascii="楷体_GB2312" w:hAnsi="楷体_GB2312" w:eastAsia="楷体_GB2312" w:cs="楷体_GB2312"/>
          <w:color w:val="auto"/>
          <w:sz w:val="31"/>
          <w:szCs w:val="31"/>
          <w:u w:val="none" w:color="auto"/>
          <w:lang w:val="en-US" w:eastAsia="zh-CN"/>
        </w:rPr>
        <w:t>（省司法厅牵头，省有关部门按职责分工负责）</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34" w:firstLineChars="200"/>
        <w:textAlignment w:val="auto"/>
        <w:outlineLvl w:val="9"/>
        <w:rPr>
          <w:rFonts w:hint="eastAsia" w:ascii="黑体" w:hAnsi="黑体" w:eastAsia="黑体" w:cs="黑体"/>
          <w:color w:val="auto"/>
          <w:sz w:val="31"/>
          <w:szCs w:val="31"/>
          <w:u w:val="none" w:color="auto"/>
          <w:lang w:val="en"/>
        </w:rPr>
      </w:pPr>
      <w:r>
        <w:rPr>
          <w:rFonts w:hint="eastAsia" w:ascii="黑体" w:hAnsi="黑体" w:eastAsia="黑体" w:cs="黑体"/>
          <w:color w:val="auto"/>
          <w:sz w:val="31"/>
          <w:szCs w:val="31"/>
          <w:u w:val="none" w:color="auto"/>
          <w:lang w:val="en-US"/>
        </w:rPr>
        <w:t>九、保障措施</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right="0" w:rightChars="0" w:firstLine="634" w:firstLineChars="200"/>
        <w:textAlignment w:val="auto"/>
        <w:outlineLvl w:val="9"/>
        <w:rPr>
          <w:rFonts w:hint="eastAsia" w:ascii="仿宋_GB2312" w:hAnsi="仿宋_GB2312" w:eastAsia="仿宋_GB2312" w:cs="仿宋_GB2312"/>
          <w:color w:val="auto"/>
          <w:sz w:val="31"/>
          <w:szCs w:val="31"/>
          <w:u w:val="none" w:color="auto"/>
          <w:lang w:val="en-US"/>
        </w:rPr>
      </w:pPr>
      <w:r>
        <w:rPr>
          <w:rFonts w:hint="eastAsia" w:ascii="楷体_GB2312" w:hAnsi="楷体_GB2312" w:eastAsia="楷体_GB2312" w:cs="楷体_GB2312"/>
          <w:b/>
          <w:bCs/>
          <w:color w:val="auto"/>
          <w:sz w:val="31"/>
          <w:szCs w:val="31"/>
          <w:u w:val="none" w:color="auto"/>
          <w:lang w:val="en-US" w:eastAsia="zh-CN"/>
        </w:rPr>
        <w:t>（一）完善企业和群众评价机制。</w:t>
      </w:r>
      <w:r>
        <w:rPr>
          <w:rFonts w:hint="eastAsia" w:ascii="仿宋_GB2312" w:hAnsi="仿宋_GB2312" w:eastAsia="仿宋_GB2312" w:cs="仿宋_GB2312"/>
          <w:color w:val="auto"/>
          <w:sz w:val="31"/>
          <w:szCs w:val="31"/>
          <w:u w:val="none" w:color="auto"/>
          <w:lang w:val="en-US"/>
        </w:rPr>
        <w:t>坚持以企业群众获得感和满意度作为评判</w:t>
      </w:r>
      <w:r>
        <w:rPr>
          <w:rFonts w:hint="eastAsia" w:ascii="仿宋_GB2312" w:hAnsi="仿宋_GB2312" w:cs="仿宋_GB2312"/>
          <w:color w:val="auto"/>
          <w:sz w:val="31"/>
          <w:szCs w:val="31"/>
          <w:u w:val="none" w:color="auto"/>
          <w:lang w:val="en-US" w:eastAsia="zh-CN"/>
        </w:rPr>
        <w:t>“放管服”</w:t>
      </w:r>
      <w:r>
        <w:rPr>
          <w:rFonts w:hint="eastAsia" w:ascii="仿宋_GB2312" w:hAnsi="仿宋_GB2312" w:eastAsia="仿宋_GB2312" w:cs="仿宋_GB2312"/>
          <w:color w:val="auto"/>
          <w:sz w:val="31"/>
          <w:szCs w:val="31"/>
          <w:u w:val="none" w:color="auto"/>
          <w:lang w:val="en-US"/>
        </w:rPr>
        <w:t>改革成效的标准，</w:t>
      </w:r>
      <w:r>
        <w:rPr>
          <w:rFonts w:hint="eastAsia" w:ascii="仿宋_GB2312" w:hAnsi="仿宋_GB2312" w:eastAsia="仿宋_GB2312" w:cs="仿宋_GB2312"/>
          <w:color w:val="auto"/>
          <w:sz w:val="31"/>
          <w:szCs w:val="31"/>
          <w:u w:val="none" w:color="auto"/>
          <w:lang w:val="en-US" w:eastAsia="zh-CN"/>
        </w:rPr>
        <w:t>2021年底前在福建省人民政府门户网站设置“转变政府职能专栏”，发布我省“放管服”改革最新政策，建立意见反馈机制，听取社会各方意见。持续</w:t>
      </w:r>
      <w:r>
        <w:rPr>
          <w:rFonts w:hint="eastAsia" w:ascii="仿宋_GB2312" w:hAnsi="仿宋_GB2312" w:eastAsia="仿宋_GB2312" w:cs="仿宋_GB2312"/>
          <w:color w:val="auto"/>
          <w:sz w:val="31"/>
          <w:szCs w:val="31"/>
          <w:u w:val="none" w:color="auto"/>
          <w:lang w:val="en-US"/>
        </w:rPr>
        <w:t>依托</w:t>
      </w:r>
      <w:r>
        <w:rPr>
          <w:rFonts w:hint="eastAsia" w:ascii="仿宋_GB2312" w:hAnsi="仿宋_GB2312" w:eastAsia="仿宋_GB2312" w:cs="仿宋_GB2312"/>
          <w:color w:val="auto"/>
          <w:sz w:val="31"/>
          <w:szCs w:val="31"/>
          <w:u w:val="none" w:color="auto"/>
          <w:lang w:val="en-US" w:eastAsia="zh-CN"/>
        </w:rPr>
        <w:t>省网上办事大厅</w:t>
      </w:r>
      <w:r>
        <w:rPr>
          <w:rFonts w:hint="eastAsia" w:ascii="仿宋_GB2312" w:hAnsi="仿宋_GB2312" w:eastAsia="仿宋_GB2312" w:cs="仿宋_GB2312"/>
          <w:color w:val="auto"/>
          <w:sz w:val="31"/>
          <w:szCs w:val="31"/>
          <w:u w:val="none" w:color="auto"/>
          <w:lang w:val="en-US"/>
        </w:rPr>
        <w:t>建立</w:t>
      </w:r>
      <w:r>
        <w:rPr>
          <w:rFonts w:hint="eastAsia" w:ascii="仿宋_GB2312" w:hAnsi="仿宋_GB2312" w:eastAsia="仿宋_GB2312" w:cs="仿宋_GB2312"/>
          <w:color w:val="auto"/>
          <w:sz w:val="31"/>
          <w:szCs w:val="31"/>
          <w:u w:val="none" w:color="auto"/>
          <w:lang w:val="en-US" w:eastAsia="zh-CN"/>
        </w:rPr>
        <w:t>政务服务“好差评”工作</w:t>
      </w:r>
      <w:r>
        <w:rPr>
          <w:rFonts w:hint="eastAsia" w:ascii="仿宋_GB2312" w:hAnsi="仿宋_GB2312" w:eastAsia="仿宋_GB2312" w:cs="仿宋_GB2312"/>
          <w:color w:val="auto"/>
          <w:sz w:val="31"/>
          <w:szCs w:val="31"/>
          <w:u w:val="none" w:color="auto"/>
          <w:lang w:val="en-US"/>
        </w:rPr>
        <w:t>机制</w:t>
      </w:r>
      <w:r>
        <w:rPr>
          <w:rFonts w:hint="eastAsia" w:ascii="仿宋_GB2312" w:hAnsi="仿宋_GB2312" w:eastAsia="仿宋_GB2312" w:cs="仿宋_GB2312"/>
          <w:color w:val="auto"/>
          <w:sz w:val="31"/>
          <w:szCs w:val="31"/>
          <w:u w:val="none" w:color="auto"/>
          <w:lang w:val="en-US" w:eastAsia="zh-CN"/>
        </w:rPr>
        <w:t>，</w:t>
      </w:r>
      <w:r>
        <w:rPr>
          <w:rFonts w:hint="eastAsia" w:ascii="仿宋_GB2312" w:hAnsi="仿宋_GB2312" w:eastAsia="仿宋_GB2312" w:cs="仿宋_GB2312"/>
          <w:color w:val="auto"/>
          <w:sz w:val="31"/>
          <w:szCs w:val="31"/>
          <w:u w:val="none" w:color="auto"/>
          <w:lang w:val="en-US"/>
        </w:rPr>
        <w:t>及时公开评价结果，强化差评整改，形成评价、反馈、整改有机衔接的工作闭环，做到群众参与、社会评判、市场认可。</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right="0" w:rightChars="0" w:firstLine="634" w:firstLineChars="200"/>
        <w:textAlignment w:val="auto"/>
        <w:outlineLvl w:val="9"/>
        <w:rPr>
          <w:rFonts w:hint="eastAsia" w:ascii="仿宋_GB2312" w:hAnsi="仿宋_GB2312" w:eastAsia="仿宋_GB2312" w:cs="仿宋_GB2312"/>
          <w:color w:val="auto"/>
          <w:sz w:val="31"/>
          <w:szCs w:val="31"/>
          <w:u w:val="none" w:color="auto"/>
          <w:lang w:val="en-US"/>
        </w:rPr>
      </w:pPr>
      <w:r>
        <w:rPr>
          <w:rFonts w:hint="eastAsia" w:ascii="楷体_GB2312" w:hAnsi="楷体_GB2312" w:eastAsia="楷体_GB2312" w:cs="楷体_GB2312"/>
          <w:b/>
          <w:bCs/>
          <w:color w:val="auto"/>
          <w:sz w:val="31"/>
          <w:szCs w:val="31"/>
          <w:u w:val="none" w:color="auto"/>
          <w:lang w:val="en-US" w:eastAsia="zh-CN"/>
        </w:rPr>
        <w:t>（二）加强组织实施。</w:t>
      </w:r>
      <w:r>
        <w:rPr>
          <w:rFonts w:hint="eastAsia" w:ascii="仿宋_GB2312" w:hAnsi="仿宋_GB2312" w:eastAsia="仿宋_GB2312" w:cs="仿宋_GB2312"/>
          <w:color w:val="auto"/>
          <w:sz w:val="31"/>
          <w:szCs w:val="31"/>
          <w:u w:val="none" w:color="auto"/>
          <w:lang w:val="en-US" w:eastAsia="zh-CN"/>
        </w:rPr>
        <w:t>各地</w:t>
      </w:r>
      <w:r>
        <w:rPr>
          <w:rFonts w:hint="eastAsia" w:ascii="仿宋_GB2312" w:hAnsi="仿宋_GB2312" w:eastAsia="仿宋_GB2312" w:cs="仿宋_GB2312"/>
          <w:color w:val="auto"/>
          <w:sz w:val="31"/>
          <w:szCs w:val="31"/>
          <w:u w:val="none" w:color="auto"/>
          <w:lang w:val="en-US"/>
        </w:rPr>
        <w:t>各部门要高度重视，及时研究解决“放管服”改革中出现的新情况、新问题，切实做到放出活力、管出公平、服出效率。</w:t>
      </w:r>
      <w:r>
        <w:rPr>
          <w:rFonts w:hint="eastAsia" w:ascii="仿宋_GB2312" w:hAnsi="仿宋_GB2312" w:eastAsia="仿宋_GB2312" w:cs="仿宋_GB2312"/>
          <w:color w:val="auto"/>
          <w:sz w:val="31"/>
          <w:szCs w:val="31"/>
          <w:u w:val="none" w:color="auto"/>
          <w:lang w:val="en-US" w:eastAsia="zh-CN"/>
        </w:rPr>
        <w:t>各地</w:t>
      </w:r>
      <w:r>
        <w:rPr>
          <w:rFonts w:hint="eastAsia" w:ascii="仿宋_GB2312" w:hAnsi="仿宋_GB2312" w:eastAsia="仿宋_GB2312" w:cs="仿宋_GB2312"/>
          <w:color w:val="auto"/>
          <w:sz w:val="31"/>
          <w:szCs w:val="31"/>
          <w:u w:val="none" w:color="auto"/>
          <w:lang w:val="en-US"/>
        </w:rPr>
        <w:t>要结合</w:t>
      </w:r>
      <w:r>
        <w:rPr>
          <w:rFonts w:hint="eastAsia" w:ascii="仿宋_GB2312" w:hAnsi="仿宋_GB2312" w:eastAsia="仿宋_GB2312" w:cs="仿宋_GB2312"/>
          <w:color w:val="auto"/>
          <w:sz w:val="31"/>
          <w:szCs w:val="31"/>
          <w:u w:val="none" w:color="auto"/>
          <w:lang w:val="en-US" w:eastAsia="zh-CN"/>
        </w:rPr>
        <w:t>本地</w:t>
      </w:r>
      <w:r>
        <w:rPr>
          <w:rFonts w:hint="eastAsia" w:ascii="仿宋_GB2312" w:hAnsi="仿宋_GB2312" w:eastAsia="仿宋_GB2312" w:cs="仿宋_GB2312"/>
          <w:color w:val="auto"/>
          <w:sz w:val="31"/>
          <w:szCs w:val="31"/>
          <w:u w:val="none" w:color="auto"/>
          <w:lang w:val="en-US"/>
        </w:rPr>
        <w:t>实际</w:t>
      </w:r>
      <w:r>
        <w:rPr>
          <w:rFonts w:hint="eastAsia" w:ascii="仿宋_GB2312" w:hAnsi="仿宋_GB2312" w:eastAsia="仿宋_GB2312" w:cs="仿宋_GB2312"/>
          <w:color w:val="auto"/>
          <w:sz w:val="31"/>
          <w:szCs w:val="31"/>
          <w:u w:val="none" w:color="auto"/>
          <w:lang w:val="en-US" w:eastAsia="zh-CN"/>
        </w:rPr>
        <w:t>情况</w:t>
      </w:r>
      <w:r>
        <w:rPr>
          <w:rFonts w:hint="eastAsia" w:ascii="仿宋_GB2312" w:hAnsi="仿宋_GB2312" w:eastAsia="仿宋_GB2312" w:cs="仿宋_GB2312"/>
          <w:color w:val="auto"/>
          <w:sz w:val="31"/>
          <w:szCs w:val="31"/>
          <w:u w:val="none" w:color="auto"/>
          <w:lang w:val="en-US"/>
        </w:rPr>
        <w:t>，逐项抓好</w:t>
      </w:r>
      <w:r>
        <w:rPr>
          <w:rFonts w:hint="eastAsia" w:ascii="仿宋_GB2312" w:hAnsi="仿宋_GB2312" w:eastAsia="仿宋_GB2312" w:cs="仿宋_GB2312"/>
          <w:color w:val="auto"/>
          <w:sz w:val="31"/>
          <w:szCs w:val="31"/>
          <w:u w:val="none" w:color="auto"/>
          <w:lang w:val="en-US" w:eastAsia="zh-CN"/>
        </w:rPr>
        <w:t>任务</w:t>
      </w:r>
      <w:r>
        <w:rPr>
          <w:rFonts w:hint="eastAsia" w:ascii="仿宋_GB2312" w:hAnsi="仿宋_GB2312" w:eastAsia="仿宋_GB2312" w:cs="仿宋_GB2312"/>
          <w:color w:val="auto"/>
          <w:sz w:val="31"/>
          <w:szCs w:val="31"/>
          <w:u w:val="none" w:color="auto"/>
          <w:lang w:val="en-US"/>
        </w:rPr>
        <w:t>落实</w:t>
      </w:r>
      <w:r>
        <w:rPr>
          <w:rFonts w:hint="eastAsia" w:ascii="仿宋_GB2312" w:hAnsi="仿宋_GB2312" w:eastAsia="仿宋_GB2312" w:cs="仿宋_GB2312"/>
          <w:color w:val="auto"/>
          <w:sz w:val="31"/>
          <w:szCs w:val="31"/>
          <w:u w:val="none" w:color="auto"/>
          <w:lang w:val="en-US" w:eastAsia="zh-CN"/>
        </w:rPr>
        <w:t>，取得实效。省推进政府职能转变和“放管服”改革协调小组各专题组</w:t>
      </w:r>
      <w:r>
        <w:rPr>
          <w:rFonts w:hint="eastAsia" w:ascii="仿宋_GB2312" w:hAnsi="仿宋_GB2312" w:eastAsia="仿宋_GB2312" w:cs="仿宋_GB2312"/>
          <w:color w:val="auto"/>
          <w:sz w:val="31"/>
          <w:szCs w:val="31"/>
          <w:u w:val="none" w:color="auto"/>
          <w:lang w:val="en-US"/>
        </w:rPr>
        <w:t>要加强督促指导，确保改革举措落实到位。</w:t>
      </w:r>
    </w:p>
    <w:p>
      <w:pPr>
        <w:pStyle w:val="2"/>
        <w:spacing w:line="596" w:lineRule="exact"/>
        <w:ind w:firstLine="634" w:firstLineChars="200"/>
        <w:rPr>
          <w:rFonts w:hint="eastAsia" w:ascii="仿宋_GB2312" w:hAnsi="仿宋_GB2312" w:cs="仿宋_GB2312"/>
          <w:sz w:val="31"/>
          <w:szCs w:val="31"/>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right="0" w:rightChars="0" w:firstLine="634" w:firstLineChars="200"/>
        <w:textAlignment w:val="auto"/>
        <w:outlineLvl w:val="9"/>
        <w:rPr>
          <w:rFonts w:hint="eastAsia" w:ascii="仿宋_GB2312" w:hAnsi="仿宋_GB2312" w:eastAsia="仿宋_GB2312" w:cs="仿宋_GB2312"/>
          <w:color w:val="auto"/>
          <w:sz w:val="31"/>
          <w:szCs w:val="31"/>
          <w:u w:val="none" w:color="auto"/>
          <w:lang w:val="en-US" w:eastAsia="zh-CN"/>
        </w:rPr>
      </w:pPr>
      <w:r>
        <w:rPr>
          <w:rFonts w:hint="eastAsia" w:ascii="仿宋_GB2312" w:hAnsi="仿宋_GB2312" w:eastAsia="仿宋_GB2312" w:cs="仿宋_GB2312"/>
          <w:color w:val="auto"/>
          <w:sz w:val="31"/>
          <w:szCs w:val="31"/>
          <w:u w:val="none" w:color="auto"/>
          <w:lang w:val="en-US" w:eastAsia="zh-CN"/>
        </w:rPr>
        <w:t>附件</w:t>
      </w:r>
      <w:r>
        <w:rPr>
          <w:rFonts w:hint="eastAsia" w:ascii="仿宋_GB2312" w:hAnsi="仿宋_GB2312" w:cs="仿宋_GB2312"/>
          <w:color w:val="auto"/>
          <w:sz w:val="31"/>
          <w:szCs w:val="31"/>
          <w:u w:val="none" w:color="auto"/>
          <w:lang w:val="en-US" w:eastAsia="zh-CN"/>
        </w:rPr>
        <w:t>：</w:t>
      </w:r>
      <w:r>
        <w:rPr>
          <w:rFonts w:hint="eastAsia" w:ascii="仿宋_GB2312" w:hAnsi="仿宋_GB2312" w:eastAsia="仿宋_GB2312" w:cs="仿宋_GB2312"/>
          <w:color w:val="auto"/>
          <w:sz w:val="31"/>
          <w:szCs w:val="31"/>
          <w:u w:val="none" w:color="auto"/>
          <w:lang w:val="en-US" w:eastAsia="zh-CN"/>
        </w:rPr>
        <w:t>福建省服务“六稳”“六保”进一步做好“放管服”改</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right="0" w:rightChars="0" w:firstLine="1585" w:firstLineChars="500"/>
        <w:textAlignment w:val="auto"/>
        <w:outlineLvl w:val="9"/>
        <w:rPr>
          <w:rFonts w:hint="eastAsia" w:ascii="仿宋_GB2312" w:hAnsi="仿宋_GB2312" w:eastAsia="仿宋_GB2312" w:cs="仿宋_GB2312"/>
          <w:color w:val="auto"/>
          <w:sz w:val="31"/>
          <w:szCs w:val="31"/>
          <w:u w:val="none" w:color="auto"/>
          <w:lang w:val="en-US" w:eastAsia="zh-CN"/>
        </w:rPr>
      </w:pPr>
      <w:r>
        <w:rPr>
          <w:rFonts w:hint="eastAsia" w:ascii="仿宋_GB2312" w:hAnsi="仿宋_GB2312" w:eastAsia="仿宋_GB2312" w:cs="仿宋_GB2312"/>
          <w:color w:val="auto"/>
          <w:sz w:val="31"/>
          <w:szCs w:val="31"/>
          <w:u w:val="none" w:color="auto"/>
          <w:lang w:val="en-US" w:eastAsia="zh-CN"/>
        </w:rPr>
        <w:t>革工作任务分工表</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both"/>
        <w:textAlignment w:val="auto"/>
        <w:outlineLvl w:val="9"/>
        <w:rPr>
          <w:rFonts w:hint="default" w:ascii="黑体" w:hAnsi="黑体" w:eastAsia="黑体" w:cs="黑体"/>
          <w:color w:val="auto"/>
          <w:spacing w:val="0"/>
          <w:kern w:val="2"/>
          <w:sz w:val="31"/>
          <w:szCs w:val="31"/>
          <w:u w:val="none" w:color="auto"/>
          <w:lang w:val="en-US" w:eastAsia="zh-CN" w:bidi="ar-SA"/>
        </w:rPr>
      </w:pPr>
      <w:r>
        <w:rPr>
          <w:rFonts w:hint="eastAsia" w:ascii="黑体" w:hAnsi="黑体" w:eastAsia="黑体" w:cs="黑体"/>
          <w:color w:val="auto"/>
          <w:spacing w:val="-20"/>
          <w:kern w:val="2"/>
          <w:sz w:val="32"/>
          <w:szCs w:val="32"/>
          <w:u w:val="none" w:color="auto"/>
          <w:lang w:val="en-US" w:eastAsia="zh-CN" w:bidi="ar-SA"/>
        </w:rPr>
        <w:br w:type="page"/>
      </w:r>
      <w:r>
        <w:rPr>
          <w:rFonts w:hint="eastAsia" w:ascii="黑体" w:hAnsi="黑体" w:eastAsia="黑体" w:cs="黑体"/>
          <w:color w:val="auto"/>
          <w:spacing w:val="0"/>
          <w:kern w:val="2"/>
          <w:sz w:val="31"/>
          <w:szCs w:val="31"/>
          <w:u w:val="none" w:color="auto"/>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pacing w:val="0"/>
          <w:kern w:val="2"/>
          <w:sz w:val="40"/>
          <w:szCs w:val="40"/>
          <w:u w:val="none" w:color="auto"/>
          <w:lang w:val="en-US" w:eastAsia="zh-CN" w:bidi="ar-SA"/>
        </w:rPr>
      </w:pP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pacing w:val="0"/>
          <w:kern w:val="2"/>
          <w:sz w:val="40"/>
          <w:szCs w:val="40"/>
          <w:u w:val="none" w:color="auto"/>
          <w:lang w:val="en-US" w:eastAsia="zh-CN" w:bidi="ar-SA"/>
        </w:rPr>
      </w:pPr>
      <w:r>
        <w:rPr>
          <w:rFonts w:hint="eastAsia" w:ascii="方正小标宋简体" w:hAnsi="方正小标宋简体" w:eastAsia="方正小标宋简体" w:cs="方正小标宋简体"/>
          <w:color w:val="auto"/>
          <w:spacing w:val="0"/>
          <w:kern w:val="2"/>
          <w:sz w:val="40"/>
          <w:szCs w:val="40"/>
          <w:u w:val="none" w:color="auto"/>
          <w:lang w:val="en-US" w:eastAsia="zh-CN" w:bidi="ar-SA"/>
        </w:rPr>
        <w:t>福建省服务“六稳”“六保”进一步做好</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pacing w:val="0"/>
          <w:kern w:val="2"/>
          <w:sz w:val="40"/>
          <w:szCs w:val="40"/>
          <w:u w:val="none" w:color="auto"/>
          <w:lang w:val="en-US" w:eastAsia="zh-CN" w:bidi="ar-SA"/>
        </w:rPr>
      </w:pPr>
      <w:r>
        <w:rPr>
          <w:rFonts w:hint="eastAsia" w:ascii="方正小标宋简体" w:hAnsi="方正小标宋简体" w:eastAsia="方正小标宋简体" w:cs="方正小标宋简体"/>
          <w:color w:val="auto"/>
          <w:spacing w:val="0"/>
          <w:kern w:val="2"/>
          <w:sz w:val="40"/>
          <w:szCs w:val="40"/>
          <w:u w:val="none" w:color="auto"/>
          <w:lang w:val="en-US" w:eastAsia="zh-CN" w:bidi="ar-SA"/>
        </w:rPr>
        <w:t>“放管服”改革工作任务分工表</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pacing w:val="-28"/>
          <w:kern w:val="2"/>
          <w:sz w:val="44"/>
          <w:szCs w:val="44"/>
          <w:u w:val="none" w:color="auto"/>
          <w:lang w:val="en-US" w:eastAsia="zh-CN" w:bidi="ar-SA"/>
        </w:rPr>
      </w:pP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52"/>
        <w:gridCol w:w="5022"/>
        <w:gridCol w:w="2041"/>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25" w:hRule="atLeast"/>
          <w:tblHeader/>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黑体" w:hAnsi="黑体" w:eastAsia="黑体" w:cs="黑体"/>
                <w:b w:val="0"/>
                <w:bCs w:val="0"/>
                <w:color w:val="auto"/>
                <w:spacing w:val="0"/>
                <w:kern w:val="2"/>
                <w:sz w:val="28"/>
                <w:szCs w:val="28"/>
                <w:u w:val="none" w:color="auto"/>
                <w:vertAlign w:val="baseline"/>
                <w:lang w:val="en-US" w:eastAsia="zh-CN" w:bidi="ar-SA"/>
              </w:rPr>
            </w:pPr>
            <w:r>
              <w:rPr>
                <w:rFonts w:hint="eastAsia" w:ascii="黑体" w:hAnsi="黑体" w:eastAsia="黑体" w:cs="黑体"/>
                <w:b w:val="0"/>
                <w:bCs w:val="0"/>
                <w:color w:val="auto"/>
                <w:spacing w:val="0"/>
                <w:kern w:val="2"/>
                <w:sz w:val="28"/>
                <w:szCs w:val="28"/>
                <w:u w:val="none" w:color="auto"/>
                <w:vertAlign w:val="baseline"/>
                <w:lang w:val="en-US" w:eastAsia="zh-CN" w:bidi="ar-SA"/>
              </w:rPr>
              <w:t>序号</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黑体" w:hAnsi="黑体" w:eastAsia="黑体" w:cs="黑体"/>
                <w:b w:val="0"/>
                <w:bCs w:val="0"/>
                <w:color w:val="auto"/>
                <w:spacing w:val="0"/>
                <w:kern w:val="2"/>
                <w:sz w:val="28"/>
                <w:szCs w:val="28"/>
                <w:u w:val="none" w:color="auto"/>
                <w:vertAlign w:val="baseline"/>
                <w:lang w:val="en-US" w:eastAsia="zh-CN" w:bidi="ar-SA"/>
              </w:rPr>
            </w:pPr>
            <w:r>
              <w:rPr>
                <w:rFonts w:hint="eastAsia" w:ascii="黑体" w:hAnsi="黑体" w:eastAsia="黑体" w:cs="黑体"/>
                <w:b w:val="0"/>
                <w:bCs w:val="0"/>
                <w:color w:val="auto"/>
                <w:spacing w:val="0"/>
                <w:kern w:val="2"/>
                <w:sz w:val="28"/>
                <w:szCs w:val="28"/>
                <w:u w:val="none" w:color="auto"/>
                <w:vertAlign w:val="baseline"/>
                <w:lang w:val="en-US" w:eastAsia="zh-CN" w:bidi="ar-SA"/>
              </w:rPr>
              <w:t>工作内容</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黑体" w:hAnsi="黑体" w:eastAsia="黑体" w:cs="黑体"/>
                <w:b w:val="0"/>
                <w:bCs w:val="0"/>
                <w:color w:val="auto"/>
                <w:spacing w:val="0"/>
                <w:kern w:val="2"/>
                <w:sz w:val="28"/>
                <w:szCs w:val="28"/>
                <w:u w:val="none" w:color="auto"/>
                <w:vertAlign w:val="baseline"/>
                <w:lang w:val="en-US" w:eastAsia="zh-CN" w:bidi="ar-SA"/>
              </w:rPr>
            </w:pPr>
            <w:r>
              <w:rPr>
                <w:rFonts w:hint="eastAsia" w:ascii="黑体" w:hAnsi="黑体" w:eastAsia="黑体" w:cs="黑体"/>
                <w:b w:val="0"/>
                <w:bCs w:val="0"/>
                <w:color w:val="auto"/>
                <w:spacing w:val="0"/>
                <w:kern w:val="2"/>
                <w:sz w:val="28"/>
                <w:szCs w:val="28"/>
                <w:u w:val="none" w:color="auto"/>
                <w:vertAlign w:val="baseline"/>
                <w:lang w:val="en-US" w:eastAsia="zh-CN" w:bidi="ar-SA"/>
              </w:rPr>
              <w:t>省级牵头单位</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黑体" w:hAnsi="黑体" w:eastAsia="黑体" w:cs="黑体"/>
                <w:b w:val="0"/>
                <w:bCs w:val="0"/>
                <w:color w:val="auto"/>
                <w:spacing w:val="0"/>
                <w:kern w:val="2"/>
                <w:sz w:val="28"/>
                <w:szCs w:val="28"/>
                <w:u w:val="none" w:color="auto"/>
                <w:vertAlign w:val="baseline"/>
                <w:lang w:val="en-US" w:eastAsia="zh-CN" w:bidi="ar-SA"/>
              </w:rPr>
            </w:pPr>
            <w:r>
              <w:rPr>
                <w:rFonts w:hint="eastAsia" w:ascii="黑体" w:hAnsi="黑体" w:eastAsia="黑体" w:cs="黑体"/>
                <w:b w:val="0"/>
                <w:bCs w:val="0"/>
                <w:color w:val="auto"/>
                <w:spacing w:val="0"/>
                <w:kern w:val="2"/>
                <w:sz w:val="28"/>
                <w:szCs w:val="28"/>
                <w:u w:val="none" w:color="auto"/>
                <w:vertAlign w:val="baseline"/>
                <w:lang w:val="en-US" w:eastAsia="zh-CN" w:bidi="ar-SA"/>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40"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黑体" w:hAnsi="黑体" w:eastAsia="黑体" w:cs="黑体"/>
                <w:b w:val="0"/>
                <w:bCs w:val="0"/>
                <w:color w:val="auto"/>
                <w:spacing w:val="0"/>
                <w:kern w:val="2"/>
                <w:sz w:val="28"/>
                <w:szCs w:val="28"/>
                <w:u w:val="none" w:color="auto"/>
                <w:vertAlign w:val="baseline"/>
                <w:lang w:val="en-US" w:eastAsia="zh-CN" w:bidi="ar-SA"/>
              </w:rPr>
            </w:pPr>
            <w:r>
              <w:rPr>
                <w:rFonts w:hint="eastAsia" w:ascii="黑体" w:hAnsi="黑体" w:eastAsia="黑体" w:cs="黑体"/>
                <w:b w:val="0"/>
                <w:bCs w:val="0"/>
                <w:color w:val="auto"/>
                <w:spacing w:val="0"/>
                <w:kern w:val="2"/>
                <w:sz w:val="28"/>
                <w:szCs w:val="28"/>
                <w:u w:val="none" w:color="auto"/>
                <w:vertAlign w:val="baseline"/>
                <w:lang w:val="en-US" w:eastAsia="zh-CN" w:bidi="ar-SA"/>
              </w:rPr>
              <w:t>一</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黑体" w:hAnsi="黑体" w:eastAsia="黑体" w:cs="黑体"/>
                <w:b w:val="0"/>
                <w:bCs w:val="0"/>
                <w:color w:val="auto"/>
                <w:spacing w:val="0"/>
                <w:kern w:val="2"/>
                <w:sz w:val="28"/>
                <w:szCs w:val="28"/>
                <w:u w:val="none" w:color="auto"/>
                <w:vertAlign w:val="baseline"/>
                <w:lang w:val="en-US" w:eastAsia="zh-CN" w:bidi="ar-SA"/>
              </w:rPr>
            </w:pPr>
            <w:r>
              <w:rPr>
                <w:rFonts w:hint="eastAsia" w:ascii="黑体" w:hAnsi="黑体" w:eastAsia="黑体" w:cs="黑体"/>
                <w:b w:val="0"/>
                <w:bCs w:val="0"/>
                <w:color w:val="auto"/>
                <w:spacing w:val="0"/>
                <w:kern w:val="2"/>
                <w:sz w:val="28"/>
                <w:szCs w:val="28"/>
                <w:u w:val="none" w:color="auto"/>
                <w:vertAlign w:val="baseline"/>
                <w:lang w:val="en-US" w:eastAsia="zh-CN" w:bidi="ar-SA"/>
              </w:rPr>
              <w:t xml:space="preserve">    进一步推动优化就业环境</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pacing w:val="0"/>
                <w:kern w:val="2"/>
                <w:sz w:val="28"/>
                <w:szCs w:val="28"/>
                <w:u w:val="none" w:color="auto"/>
                <w:vertAlign w:val="baseline"/>
                <w:lang w:val="en-US" w:eastAsia="zh-CN" w:bidi="ar-SA"/>
              </w:rPr>
            </w:pP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pacing w:val="0"/>
                <w:kern w:val="2"/>
                <w:sz w:val="28"/>
                <w:szCs w:val="28"/>
                <w:u w:val="none" w:color="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1</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74" w:firstLineChars="200"/>
              <w:jc w:val="both"/>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kern w:val="2"/>
                <w:sz w:val="28"/>
                <w:szCs w:val="28"/>
                <w:u w:val="none" w:color="auto"/>
                <w:lang w:val="en-US" w:eastAsia="zh-CN" w:bidi="ar-SA"/>
              </w:rPr>
              <w:t>根据国家统一部署，压减准入类职业资格数量，降低或取消准入类专业技术人员职业资格限制。</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省人社厅</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按照国家部署推进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2</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74" w:firstLineChars="200"/>
              <w:jc w:val="both"/>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kern w:val="2"/>
                <w:sz w:val="28"/>
                <w:szCs w:val="28"/>
                <w:u w:val="none" w:color="auto"/>
                <w:lang w:val="en-US" w:eastAsia="zh-CN" w:bidi="ar-SA"/>
              </w:rPr>
              <w:t>取消勘察设计注册石油天然气工程师职业资格。</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省住建厅</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按照国家部署推进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3</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74" w:firstLineChars="200"/>
              <w:jc w:val="both"/>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kern w:val="2"/>
                <w:sz w:val="28"/>
                <w:szCs w:val="28"/>
                <w:u w:val="none" w:color="auto"/>
                <w:lang w:val="en-US" w:eastAsia="en-US" w:bidi="ar-SA"/>
              </w:rPr>
              <w:t>开展乡村兽医备案，加强事中事后监管，依法查处违法违规行为</w:t>
            </w:r>
            <w:r>
              <w:rPr>
                <w:rFonts w:hint="eastAsia" w:ascii="仿宋_GB2312" w:hAnsi="仿宋_GB2312" w:eastAsia="仿宋_GB2312" w:cs="仿宋_GB2312"/>
                <w:color w:val="auto"/>
                <w:spacing w:val="0"/>
                <w:kern w:val="2"/>
                <w:sz w:val="28"/>
                <w:szCs w:val="28"/>
                <w:u w:val="none" w:color="auto"/>
                <w:lang w:val="en-US" w:eastAsia="zh-CN" w:bidi="ar-SA"/>
              </w:rPr>
              <w:t>。</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省农业农村厅</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按照国家部署推进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4</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74" w:firstLineChars="200"/>
              <w:jc w:val="both"/>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color w:val="auto"/>
                <w:kern w:val="2"/>
                <w:sz w:val="28"/>
                <w:szCs w:val="28"/>
                <w:u w:val="none" w:color="auto"/>
                <w:lang w:val="en-US" w:eastAsia="zh-CN" w:bidi="ar-SA"/>
              </w:rPr>
              <w:t>优化民办职业培训机构设立审批流程，在自贸试验区开展民办职业培训机构设立告知承诺制试点。</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kern w:val="2"/>
                <w:sz w:val="28"/>
                <w:szCs w:val="28"/>
                <w:u w:val="none" w:color="auto"/>
                <w:vertAlign w:val="baseline"/>
                <w:lang w:val="en-US" w:eastAsia="zh-CN" w:bidi="ar-SA"/>
              </w:rPr>
            </w:pPr>
            <w:r>
              <w:rPr>
                <w:rFonts w:hint="eastAsia" w:ascii="仿宋_GB2312" w:hAnsi="仿宋_GB2312" w:eastAsia="仿宋_GB2312" w:cs="仿宋_GB2312"/>
                <w:color w:val="auto"/>
                <w:spacing w:val="-11"/>
                <w:kern w:val="2"/>
                <w:sz w:val="28"/>
                <w:szCs w:val="28"/>
                <w:u w:val="none" w:color="auto"/>
                <w:vertAlign w:val="baseline"/>
                <w:lang w:val="en-US" w:eastAsia="zh-CN" w:bidi="ar-SA"/>
              </w:rPr>
              <w:t>省人社厅、</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11"/>
                <w:kern w:val="2"/>
                <w:sz w:val="28"/>
                <w:szCs w:val="28"/>
                <w:u w:val="none" w:color="auto"/>
                <w:vertAlign w:val="baseline"/>
                <w:lang w:val="en-US" w:eastAsia="zh-CN" w:bidi="ar-SA"/>
              </w:rPr>
              <w:t>商务厅</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按照国家部署推进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5</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74" w:firstLineChars="200"/>
              <w:jc w:val="both"/>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color w:val="auto"/>
                <w:kern w:val="2"/>
                <w:sz w:val="28"/>
                <w:szCs w:val="28"/>
                <w:u w:val="none" w:color="auto"/>
                <w:lang w:val="zh-CN" w:eastAsia="zh-CN" w:bidi="ar-SA"/>
              </w:rPr>
              <w:t>组织实施2021年创业带动就业示范行动，将全省国家双创示范基地新增就业机会能力提升到3万个以上。</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省发改委</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2021</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80"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6</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74" w:firstLineChars="200"/>
              <w:jc w:val="both"/>
              <w:textAlignment w:val="auto"/>
              <w:outlineLvl w:val="9"/>
              <w:rPr>
                <w:rFonts w:hint="eastAsia" w:ascii="仿宋_GB2312" w:hAnsi="仿宋_GB2312" w:eastAsia="仿宋_GB2312" w:cs="仿宋_GB2312"/>
                <w:color w:val="0070C0"/>
                <w:spacing w:val="0"/>
                <w:kern w:val="2"/>
                <w:sz w:val="28"/>
                <w:szCs w:val="28"/>
                <w:u w:val="none" w:color="auto"/>
                <w:lang w:val="en-US" w:eastAsia="zh-CN" w:bidi="ar-SA"/>
              </w:rPr>
            </w:pPr>
            <w:r>
              <w:rPr>
                <w:rFonts w:hint="eastAsia" w:ascii="仿宋_GB2312" w:hAnsi="仿宋_GB2312" w:eastAsia="仿宋_GB2312" w:cs="仿宋_GB2312"/>
                <w:color w:val="auto"/>
                <w:kern w:val="2"/>
                <w:sz w:val="28"/>
                <w:szCs w:val="28"/>
                <w:u w:val="none" w:color="auto"/>
                <w:lang w:val="en-US" w:eastAsia="zh-CN" w:bidi="ar-SA"/>
              </w:rPr>
              <w:t>建设“三创教育示范院校”和“产创融合教育实践示范基地”。</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省教育厅</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2021</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7</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74" w:firstLineChars="200"/>
              <w:jc w:val="both"/>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color w:val="auto"/>
                <w:kern w:val="2"/>
                <w:sz w:val="28"/>
                <w:szCs w:val="28"/>
                <w:u w:val="none" w:color="auto"/>
                <w:lang w:val="en-US" w:eastAsia="zh-CN" w:bidi="ar-SA"/>
              </w:rPr>
              <w:t>积极培育一批扎根乡村、创办乡产、带动乡亲的创业就业主体，到2025年全省培育3万名农村创业创新带头人。</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省农业农村厅</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2025</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0"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pacing w:val="0"/>
                <w:kern w:val="2"/>
                <w:sz w:val="28"/>
                <w:szCs w:val="28"/>
                <w:u w:val="none" w:color="auto"/>
                <w:vertAlign w:val="baseline"/>
                <w:lang w:val="en-US" w:eastAsia="zh-CN" w:bidi="ar-SA"/>
              </w:rPr>
            </w:pPr>
            <w:r>
              <w:rPr>
                <w:rFonts w:hint="eastAsia" w:ascii="仿宋_GB2312" w:hAnsi="仿宋_GB2312" w:eastAsia="仿宋_GB2312" w:cs="仿宋_GB2312"/>
                <w:b w:val="0"/>
                <w:bCs w:val="0"/>
                <w:color w:val="auto"/>
                <w:spacing w:val="0"/>
                <w:kern w:val="2"/>
                <w:sz w:val="28"/>
                <w:szCs w:val="28"/>
                <w:u w:val="none" w:color="auto"/>
                <w:vertAlign w:val="baseline"/>
                <w:lang w:val="en-US" w:eastAsia="zh-CN" w:bidi="ar-SA"/>
              </w:rPr>
              <w:t>8</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74" w:firstLineChars="200"/>
              <w:jc w:val="both"/>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color w:val="auto"/>
                <w:kern w:val="2"/>
                <w:sz w:val="28"/>
                <w:szCs w:val="28"/>
                <w:u w:val="none" w:color="auto"/>
                <w:lang w:val="en-US" w:eastAsia="zh-CN" w:bidi="ar-SA"/>
              </w:rPr>
              <w:t>引导城镇灵活就业人员、被征地农民和其他有条件的人员参加企业职工基本养老保险</w:t>
            </w:r>
            <w:r>
              <w:rPr>
                <w:rFonts w:hint="eastAsia" w:ascii="仿宋_GB2312" w:hAnsi="仿宋_GB2312" w:eastAsia="仿宋_GB2312" w:cs="仿宋_GB2312"/>
                <w:color w:val="auto"/>
                <w:spacing w:val="0"/>
                <w:kern w:val="2"/>
                <w:sz w:val="28"/>
                <w:szCs w:val="28"/>
                <w:u w:val="none" w:color="auto"/>
                <w:lang w:val="en-US" w:eastAsia="zh-CN" w:bidi="ar-SA"/>
              </w:rPr>
              <w:t>。</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pacing w:val="0"/>
                <w:kern w:val="2"/>
                <w:sz w:val="28"/>
                <w:szCs w:val="28"/>
                <w:u w:val="none" w:color="auto"/>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省人社厅</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lang w:val="en-US" w:eastAsia="zh-CN" w:bidi="ar-SA"/>
              </w:rPr>
              <w:t>按照国家部署推进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0"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pacing w:val="0"/>
                <w:kern w:val="2"/>
                <w:sz w:val="28"/>
                <w:szCs w:val="28"/>
                <w:u w:val="none" w:color="auto"/>
                <w:vertAlign w:val="baseline"/>
                <w:lang w:val="en-US" w:eastAsia="zh-CN" w:bidi="ar-SA"/>
              </w:rPr>
            </w:pPr>
            <w:r>
              <w:rPr>
                <w:rFonts w:hint="eastAsia" w:ascii="仿宋_GB2312" w:hAnsi="仿宋_GB2312" w:eastAsia="仿宋_GB2312" w:cs="仿宋_GB2312"/>
                <w:b w:val="0"/>
                <w:bCs w:val="0"/>
                <w:color w:val="auto"/>
                <w:spacing w:val="0"/>
                <w:kern w:val="2"/>
                <w:sz w:val="28"/>
                <w:szCs w:val="28"/>
                <w:u w:val="none" w:color="auto"/>
                <w:vertAlign w:val="baseline"/>
                <w:lang w:val="en-US" w:eastAsia="zh-CN" w:bidi="ar-SA"/>
              </w:rPr>
              <w:t>9</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74" w:firstLineChars="200"/>
              <w:jc w:val="both"/>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color w:val="auto"/>
                <w:spacing w:val="0"/>
                <w:kern w:val="2"/>
                <w:sz w:val="28"/>
                <w:szCs w:val="28"/>
                <w:u w:val="none" w:color="auto"/>
                <w:lang w:val="en-US" w:eastAsia="zh-CN" w:bidi="ar-SA"/>
              </w:rPr>
              <w:t>推动达到法定劳动年龄的灵活就业人员可凭居住证办理医保登记。</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省医保局</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2021</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05"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黑体" w:hAnsi="黑体" w:eastAsia="黑体" w:cs="黑体"/>
                <w:b w:val="0"/>
                <w:bCs w:val="0"/>
                <w:color w:val="auto"/>
                <w:spacing w:val="0"/>
                <w:kern w:val="2"/>
                <w:sz w:val="28"/>
                <w:szCs w:val="28"/>
                <w:u w:val="none" w:color="auto"/>
                <w:vertAlign w:val="baseline"/>
                <w:lang w:val="en-US" w:eastAsia="zh-CN" w:bidi="ar-SA"/>
              </w:rPr>
            </w:pPr>
            <w:r>
              <w:rPr>
                <w:rFonts w:hint="eastAsia" w:ascii="黑体" w:hAnsi="黑体" w:eastAsia="黑体" w:cs="黑体"/>
                <w:b w:val="0"/>
                <w:bCs w:val="0"/>
                <w:color w:val="auto"/>
                <w:spacing w:val="0"/>
                <w:kern w:val="2"/>
                <w:sz w:val="28"/>
                <w:szCs w:val="28"/>
                <w:u w:val="none" w:color="auto"/>
                <w:vertAlign w:val="baseline"/>
                <w:lang w:val="en-US" w:eastAsia="zh-CN" w:bidi="ar-SA"/>
              </w:rPr>
              <w:t>二</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黑体" w:hAnsi="黑体" w:eastAsia="黑体" w:cs="黑体"/>
                <w:b w:val="0"/>
                <w:bCs w:val="0"/>
                <w:color w:val="auto"/>
                <w:spacing w:val="0"/>
                <w:kern w:val="2"/>
                <w:sz w:val="28"/>
                <w:szCs w:val="28"/>
                <w:u w:val="none" w:color="auto"/>
                <w:lang w:val="en-US" w:eastAsia="zh-CN" w:bidi="ar-SA"/>
              </w:rPr>
            </w:pPr>
            <w:r>
              <w:rPr>
                <w:rFonts w:hint="eastAsia" w:ascii="黑体" w:hAnsi="黑体" w:eastAsia="黑体" w:cs="黑体"/>
                <w:b w:val="0"/>
                <w:bCs w:val="0"/>
                <w:color w:val="auto"/>
                <w:spacing w:val="0"/>
                <w:kern w:val="2"/>
                <w:sz w:val="28"/>
                <w:szCs w:val="28"/>
                <w:u w:val="none" w:color="auto"/>
                <w:lang w:val="en-US" w:eastAsia="zh-CN" w:bidi="ar-SA"/>
              </w:rPr>
              <w:t xml:space="preserve">    进一步推动减轻市场主体负担</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黑体" w:hAnsi="黑体" w:eastAsia="黑体" w:cs="黑体"/>
                <w:b w:val="0"/>
                <w:bCs w:val="0"/>
                <w:color w:val="auto"/>
                <w:spacing w:val="0"/>
                <w:kern w:val="2"/>
                <w:sz w:val="28"/>
                <w:szCs w:val="28"/>
                <w:u w:val="none" w:color="auto"/>
                <w:vertAlign w:val="baseline"/>
                <w:lang w:val="en-US" w:eastAsia="zh-CN" w:bidi="ar-SA"/>
              </w:rPr>
            </w:pP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黑体" w:hAnsi="黑体" w:eastAsia="黑体" w:cs="黑体"/>
                <w:b w:val="0"/>
                <w:bCs w:val="0"/>
                <w:color w:val="auto"/>
                <w:spacing w:val="0"/>
                <w:kern w:val="2"/>
                <w:sz w:val="28"/>
                <w:szCs w:val="28"/>
                <w:u w:val="none" w:color="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40"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1</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74" w:firstLineChars="200"/>
              <w:jc w:val="both"/>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color w:val="auto"/>
                <w:kern w:val="2"/>
                <w:sz w:val="28"/>
                <w:szCs w:val="28"/>
                <w:u w:val="none" w:color="auto"/>
                <w:lang w:val="en-US" w:eastAsia="zh-CN" w:bidi="ar-SA"/>
              </w:rPr>
              <w:t>完善非税收入收缴系统，搭建手机银行、网上银行、第三方支付等多种线上支付渠道，打破缴款的省域限制</w:t>
            </w:r>
            <w:r>
              <w:rPr>
                <w:rFonts w:hint="eastAsia" w:ascii="仿宋_GB2312" w:hAnsi="仿宋_GB2312" w:eastAsia="仿宋_GB2312" w:cs="仿宋_GB2312"/>
                <w:color w:val="auto"/>
                <w:spacing w:val="0"/>
                <w:kern w:val="2"/>
                <w:sz w:val="28"/>
                <w:szCs w:val="28"/>
                <w:u w:val="none" w:color="auto"/>
                <w:lang w:val="en-US" w:eastAsia="zh-CN" w:bidi="ar-SA"/>
              </w:rPr>
              <w:t>。</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kern w:val="2"/>
                <w:sz w:val="28"/>
                <w:szCs w:val="28"/>
                <w:u w:val="none" w:color="auto"/>
                <w:vertAlign w:val="baseline"/>
                <w:lang w:val="en-US" w:eastAsia="zh-CN" w:bidi="ar-SA"/>
              </w:rPr>
            </w:pPr>
            <w:r>
              <w:rPr>
                <w:rFonts w:hint="eastAsia" w:ascii="仿宋_GB2312" w:hAnsi="仿宋_GB2312" w:eastAsia="仿宋_GB2312" w:cs="仿宋_GB2312"/>
                <w:color w:val="auto"/>
                <w:spacing w:val="-11"/>
                <w:kern w:val="2"/>
                <w:sz w:val="28"/>
                <w:szCs w:val="28"/>
                <w:u w:val="none" w:color="auto"/>
                <w:vertAlign w:val="baseline"/>
                <w:lang w:val="en-US" w:eastAsia="zh-CN" w:bidi="ar-SA"/>
              </w:rPr>
              <w:t>省财政厅，</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cs="仿宋_GB2312"/>
                <w:color w:val="auto"/>
                <w:spacing w:val="-11"/>
                <w:kern w:val="2"/>
                <w:sz w:val="28"/>
                <w:szCs w:val="28"/>
                <w:u w:val="none" w:color="auto"/>
                <w:vertAlign w:val="baseline"/>
                <w:lang w:val="en-US" w:eastAsia="zh-CN" w:bidi="ar-SA"/>
              </w:rPr>
              <w:t>福建</w:t>
            </w:r>
            <w:r>
              <w:rPr>
                <w:rFonts w:hint="eastAsia" w:ascii="仿宋_GB2312" w:hAnsi="仿宋_GB2312" w:eastAsia="仿宋_GB2312" w:cs="仿宋_GB2312"/>
                <w:color w:val="auto"/>
                <w:spacing w:val="-11"/>
                <w:kern w:val="2"/>
                <w:sz w:val="28"/>
                <w:szCs w:val="28"/>
                <w:u w:val="none" w:color="auto"/>
                <w:vertAlign w:val="baseline"/>
                <w:lang w:val="en-US" w:eastAsia="zh-CN" w:bidi="ar-SA"/>
              </w:rPr>
              <w:t>省税务局</w:t>
            </w:r>
            <w:r>
              <w:rPr>
                <w:rFonts w:hint="eastAsia" w:ascii="仿宋_GB2312" w:hAnsi="仿宋_GB2312" w:cs="仿宋_GB2312"/>
                <w:color w:val="auto"/>
                <w:spacing w:val="-11"/>
                <w:kern w:val="2"/>
                <w:sz w:val="28"/>
                <w:szCs w:val="28"/>
                <w:u w:val="none" w:color="auto"/>
                <w:vertAlign w:val="baseline"/>
                <w:lang w:val="en-US" w:eastAsia="zh-CN" w:bidi="ar-SA"/>
              </w:rPr>
              <w:t>、</w:t>
            </w:r>
            <w:r>
              <w:rPr>
                <w:rFonts w:hint="eastAsia" w:ascii="仿宋_GB2312" w:hAnsi="仿宋_GB2312" w:eastAsia="仿宋_GB2312" w:cs="仿宋_GB2312"/>
                <w:color w:val="auto"/>
                <w:spacing w:val="-11"/>
                <w:kern w:val="2"/>
                <w:sz w:val="28"/>
                <w:szCs w:val="28"/>
                <w:u w:val="none" w:color="auto"/>
                <w:vertAlign w:val="baseline"/>
                <w:lang w:val="en-US" w:eastAsia="zh-CN" w:bidi="ar-SA"/>
              </w:rPr>
              <w:t>厦门市税务局</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2021</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915"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2</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74" w:firstLineChars="200"/>
              <w:jc w:val="both"/>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color w:val="auto"/>
                <w:kern w:val="2"/>
                <w:sz w:val="28"/>
                <w:szCs w:val="28"/>
                <w:u w:val="none" w:color="auto"/>
                <w:lang w:val="en-US" w:eastAsia="zh-CN" w:bidi="ar-SA"/>
              </w:rPr>
              <w:t>扩大税收优惠政策资料备案改备查范围，2022年底前除增值税即征即退、先征后退（返）、加计抵减以及自然人税收外的其他税收优惠备案全部改为资料留存备</w:t>
            </w:r>
            <w:r>
              <w:rPr>
                <w:rFonts w:hint="eastAsia" w:ascii="仿宋_GB2312" w:hAnsi="仿宋_GB2312" w:cs="仿宋_GB2312"/>
                <w:color w:val="auto"/>
                <w:kern w:val="2"/>
                <w:sz w:val="28"/>
                <w:szCs w:val="28"/>
                <w:u w:val="none" w:color="auto"/>
                <w:lang w:val="en-US" w:eastAsia="zh-CN" w:bidi="ar-SA"/>
              </w:rPr>
              <w:t>查</w:t>
            </w:r>
            <w:r>
              <w:rPr>
                <w:rFonts w:hint="eastAsia" w:ascii="仿宋_GB2312" w:hAnsi="仿宋_GB2312" w:eastAsia="仿宋_GB2312" w:cs="仿宋_GB2312"/>
                <w:color w:val="auto"/>
                <w:spacing w:val="0"/>
                <w:kern w:val="2"/>
                <w:sz w:val="28"/>
                <w:szCs w:val="28"/>
                <w:u w:val="none" w:color="auto"/>
                <w:lang w:val="en-US" w:eastAsia="zh-CN" w:bidi="ar-SA"/>
              </w:rPr>
              <w:t>。</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cs="仿宋_GB2312"/>
                <w:color w:val="auto"/>
                <w:spacing w:val="0"/>
                <w:kern w:val="2"/>
                <w:sz w:val="28"/>
                <w:szCs w:val="28"/>
                <w:u w:val="none" w:color="auto"/>
                <w:vertAlign w:val="baseline"/>
                <w:lang w:val="en-US" w:eastAsia="zh-CN" w:bidi="ar-SA"/>
              </w:rPr>
              <w:t>福建</w:t>
            </w:r>
            <w:r>
              <w:rPr>
                <w:rFonts w:hint="eastAsia" w:ascii="仿宋_GB2312" w:hAnsi="仿宋_GB2312" w:eastAsia="仿宋_GB2312" w:cs="仿宋_GB2312"/>
                <w:color w:val="auto"/>
                <w:spacing w:val="0"/>
                <w:kern w:val="2"/>
                <w:sz w:val="28"/>
                <w:szCs w:val="28"/>
                <w:u w:val="none" w:color="auto"/>
                <w:vertAlign w:val="baseline"/>
                <w:lang w:val="en-US" w:eastAsia="zh-CN" w:bidi="ar-SA"/>
              </w:rPr>
              <w:t>省税务局</w:t>
            </w:r>
            <w:r>
              <w:rPr>
                <w:rFonts w:hint="eastAsia" w:ascii="仿宋_GB2312" w:hAnsi="仿宋_GB2312" w:cs="仿宋_GB2312"/>
                <w:color w:val="auto"/>
                <w:spacing w:val="0"/>
                <w:kern w:val="2"/>
                <w:sz w:val="28"/>
                <w:szCs w:val="28"/>
                <w:u w:val="none" w:color="auto"/>
                <w:vertAlign w:val="baseline"/>
                <w:lang w:val="en-US" w:eastAsia="zh-CN" w:bidi="ar-SA"/>
              </w:rPr>
              <w:t>、</w:t>
            </w:r>
            <w:r>
              <w:rPr>
                <w:rFonts w:hint="eastAsia" w:ascii="仿宋_GB2312" w:hAnsi="仿宋_GB2312" w:eastAsia="仿宋_GB2312" w:cs="仿宋_GB2312"/>
                <w:color w:val="auto"/>
                <w:spacing w:val="0"/>
                <w:kern w:val="2"/>
                <w:sz w:val="28"/>
                <w:szCs w:val="28"/>
                <w:u w:val="none" w:color="auto"/>
                <w:vertAlign w:val="baseline"/>
                <w:lang w:val="en-US" w:eastAsia="zh-CN" w:bidi="ar-SA"/>
              </w:rPr>
              <w:t>厦门市税务局</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2022</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25"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3</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74" w:firstLineChars="200"/>
              <w:jc w:val="both"/>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color w:val="auto"/>
                <w:spacing w:val="0"/>
                <w:kern w:val="2"/>
                <w:sz w:val="28"/>
                <w:szCs w:val="28"/>
                <w:u w:val="none" w:color="auto"/>
                <w:lang w:val="en-US" w:eastAsia="zh-CN" w:bidi="ar-SA"/>
              </w:rPr>
              <w:t>开展信用服务机构违法失信行为专项治理。</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省市场监管局、发改委</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2021</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4</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both"/>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color w:val="auto"/>
                <w:kern w:val="2"/>
                <w:sz w:val="28"/>
                <w:szCs w:val="28"/>
                <w:u w:val="none" w:color="auto"/>
                <w:lang w:val="en-US" w:eastAsia="zh-CN" w:bidi="ar-SA"/>
              </w:rPr>
              <w:t xml:space="preserve">    加快推进医社保等相关信用信息汇聚至福建省政务数据汇聚共享平台</w:t>
            </w:r>
            <w:r>
              <w:rPr>
                <w:rFonts w:hint="eastAsia" w:ascii="仿宋_GB2312" w:hAnsi="仿宋_GB2312" w:eastAsia="仿宋_GB2312" w:cs="仿宋_GB2312"/>
                <w:color w:val="auto"/>
                <w:spacing w:val="0"/>
                <w:kern w:val="2"/>
                <w:sz w:val="28"/>
                <w:szCs w:val="28"/>
                <w:u w:val="none" w:color="auto"/>
                <w:lang w:val="en-US" w:eastAsia="zh-CN" w:bidi="ar-SA"/>
              </w:rPr>
              <w:t>。</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kern w:val="2"/>
                <w:sz w:val="28"/>
                <w:szCs w:val="28"/>
                <w:u w:val="none" w:color="auto"/>
                <w:vertAlign w:val="baseline"/>
                <w:lang w:val="en-US" w:eastAsia="zh-CN" w:bidi="ar-SA"/>
              </w:rPr>
            </w:pPr>
            <w:r>
              <w:rPr>
                <w:rFonts w:hint="eastAsia" w:ascii="仿宋_GB2312" w:hAnsi="仿宋_GB2312" w:eastAsia="仿宋_GB2312" w:cs="仿宋_GB2312"/>
                <w:color w:val="auto"/>
                <w:spacing w:val="-11"/>
                <w:kern w:val="2"/>
                <w:sz w:val="28"/>
                <w:szCs w:val="28"/>
                <w:u w:val="none" w:color="auto"/>
                <w:vertAlign w:val="baseline"/>
                <w:lang w:val="en-US" w:eastAsia="zh-CN" w:bidi="ar-SA"/>
              </w:rPr>
              <w:t>省人社厅、</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11"/>
                <w:kern w:val="2"/>
                <w:sz w:val="28"/>
                <w:szCs w:val="28"/>
                <w:u w:val="none" w:color="auto"/>
                <w:vertAlign w:val="baseline"/>
                <w:lang w:val="en-US" w:eastAsia="zh-CN" w:bidi="ar-SA"/>
              </w:rPr>
              <w:t>医保局</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2021</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5</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both"/>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cs="仿宋_GB2312"/>
                <w:color w:val="auto"/>
                <w:kern w:val="2"/>
                <w:sz w:val="28"/>
                <w:szCs w:val="28"/>
                <w:u w:val="none" w:color="auto"/>
                <w:lang w:val="en-US" w:eastAsia="zh-CN" w:bidi="ar-SA"/>
              </w:rPr>
              <w:t xml:space="preserve">    </w:t>
            </w:r>
            <w:r>
              <w:rPr>
                <w:rFonts w:hint="eastAsia" w:ascii="仿宋_GB2312" w:hAnsi="仿宋_GB2312" w:eastAsia="仿宋_GB2312" w:cs="仿宋_GB2312"/>
                <w:color w:val="auto"/>
                <w:kern w:val="2"/>
                <w:sz w:val="28"/>
                <w:szCs w:val="28"/>
                <w:u w:val="none" w:color="auto"/>
                <w:lang w:val="en-US" w:eastAsia="zh-CN" w:bidi="ar-SA"/>
              </w:rPr>
              <w:t>推动省内融资服务平台与全国“信易贷”平台共建共享公共信用信息</w:t>
            </w:r>
            <w:r>
              <w:rPr>
                <w:rFonts w:hint="eastAsia" w:ascii="仿宋_GB2312" w:hAnsi="仿宋_GB2312" w:eastAsia="仿宋_GB2312" w:cs="仿宋_GB2312"/>
                <w:color w:val="auto"/>
                <w:spacing w:val="0"/>
                <w:kern w:val="2"/>
                <w:sz w:val="28"/>
                <w:szCs w:val="28"/>
                <w:u w:val="none" w:color="auto"/>
                <w:lang w:val="en-US" w:eastAsia="zh-CN" w:bidi="ar-SA"/>
              </w:rPr>
              <w:t>。</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省发改委、</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金融监管局</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2021</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30"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6</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74" w:firstLineChars="200"/>
              <w:jc w:val="both"/>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color w:val="auto"/>
                <w:kern w:val="2"/>
                <w:sz w:val="28"/>
                <w:szCs w:val="28"/>
                <w:u w:val="none" w:color="auto"/>
                <w:lang w:val="en-US" w:eastAsia="zh-CN" w:bidi="ar-SA"/>
              </w:rPr>
              <w:t>深入开展“蓝天”专项整治行动，加强对知识产权领域服务机构监管</w:t>
            </w:r>
            <w:r>
              <w:rPr>
                <w:rFonts w:hint="eastAsia" w:ascii="仿宋_GB2312" w:hAnsi="仿宋_GB2312" w:eastAsia="仿宋_GB2312" w:cs="仿宋_GB2312"/>
                <w:color w:val="auto"/>
                <w:spacing w:val="0"/>
                <w:kern w:val="2"/>
                <w:sz w:val="28"/>
                <w:szCs w:val="28"/>
                <w:u w:val="none" w:color="auto"/>
                <w:lang w:val="en-US" w:eastAsia="zh-CN" w:bidi="ar-SA"/>
              </w:rPr>
              <w:t>。</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省市场监管局</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2021</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0"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7</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74" w:firstLineChars="200"/>
              <w:jc w:val="both"/>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bCs/>
                <w:color w:val="auto"/>
                <w:kern w:val="2"/>
                <w:sz w:val="28"/>
                <w:szCs w:val="28"/>
                <w:u w:val="none" w:color="auto"/>
                <w:lang w:val="en-US" w:eastAsia="zh-CN" w:bidi="ar-SA"/>
              </w:rPr>
              <w:t>规范省内涉及认证的评价制度，向国家统一的认证制度转变</w:t>
            </w:r>
            <w:r>
              <w:rPr>
                <w:rFonts w:hint="eastAsia" w:ascii="仿宋_GB2312" w:hAnsi="仿宋_GB2312" w:eastAsia="仿宋_GB2312" w:cs="仿宋_GB2312"/>
                <w:color w:val="auto"/>
                <w:spacing w:val="0"/>
                <w:kern w:val="2"/>
                <w:sz w:val="28"/>
                <w:szCs w:val="28"/>
                <w:u w:val="none" w:color="auto"/>
                <w:lang w:val="en-US" w:eastAsia="zh-CN" w:bidi="ar-SA"/>
              </w:rPr>
              <w:t>。</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省市场监管局</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2021</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8</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74" w:firstLineChars="200"/>
              <w:jc w:val="both"/>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bCs/>
                <w:color w:val="auto"/>
                <w:kern w:val="2"/>
                <w:sz w:val="28"/>
                <w:szCs w:val="28"/>
                <w:u w:val="none" w:color="auto"/>
                <w:lang w:val="en-US" w:eastAsia="zh-CN" w:bidi="ar-SA"/>
              </w:rPr>
              <w:t>建立健全政府、行业、社会等多层面的认证采信机制</w:t>
            </w:r>
            <w:r>
              <w:rPr>
                <w:rFonts w:hint="eastAsia" w:ascii="仿宋_GB2312" w:hAnsi="仿宋_GB2312" w:eastAsia="仿宋_GB2312" w:cs="仿宋_GB2312"/>
                <w:color w:val="auto"/>
                <w:spacing w:val="0"/>
                <w:kern w:val="2"/>
                <w:sz w:val="28"/>
                <w:szCs w:val="28"/>
                <w:u w:val="none" w:color="auto"/>
                <w:lang w:val="en-US" w:eastAsia="zh-CN" w:bidi="ar-SA"/>
              </w:rPr>
              <w:t>。</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省市场监管局</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2022</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60"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9</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74" w:firstLineChars="200"/>
              <w:jc w:val="both"/>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cs="仿宋_GB2312"/>
                <w:color w:val="auto"/>
                <w:kern w:val="2"/>
                <w:sz w:val="28"/>
                <w:szCs w:val="28"/>
                <w:u w:val="none" w:color="auto"/>
                <w:lang w:val="en-US" w:eastAsia="zh-CN" w:bidi="ar-SA"/>
              </w:rPr>
              <w:t>推动</w:t>
            </w:r>
            <w:r>
              <w:rPr>
                <w:rFonts w:hint="eastAsia" w:ascii="仿宋_GB2312" w:hAnsi="仿宋_GB2312" w:eastAsia="仿宋_GB2312" w:cs="仿宋_GB2312"/>
                <w:color w:val="auto"/>
                <w:kern w:val="2"/>
                <w:sz w:val="28"/>
                <w:szCs w:val="28"/>
                <w:u w:val="none" w:color="auto"/>
                <w:lang w:val="en-US" w:eastAsia="zh-CN" w:bidi="ar-SA"/>
              </w:rPr>
              <w:t>各行业主管部门完善审批改备案事项的办理标准</w:t>
            </w:r>
            <w:r>
              <w:rPr>
                <w:rFonts w:hint="eastAsia" w:ascii="仿宋_GB2312" w:hAnsi="仿宋_GB2312" w:eastAsia="仿宋_GB2312" w:cs="仿宋_GB2312"/>
                <w:color w:val="auto"/>
                <w:spacing w:val="0"/>
                <w:kern w:val="2"/>
                <w:sz w:val="28"/>
                <w:szCs w:val="28"/>
                <w:u w:val="none" w:color="auto"/>
                <w:lang w:val="en-US" w:eastAsia="zh-CN" w:bidi="ar-SA"/>
              </w:rPr>
              <w:t>。</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省审改办</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按照国家部署推进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525"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10</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74" w:firstLineChars="200"/>
              <w:jc w:val="both"/>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Calibri" w:eastAsia="仿宋_GB2312" w:cs="Times New Roman"/>
                <w:bCs/>
                <w:color w:val="auto"/>
                <w:kern w:val="2"/>
                <w:sz w:val="28"/>
                <w:szCs w:val="28"/>
                <w:u w:val="none" w:color="auto"/>
                <w:lang w:val="en-US" w:eastAsia="zh-CN" w:bidi="ar-SA"/>
              </w:rPr>
              <w:t>制定我省“证照分离”改革实施方案，2021年底前在全省实现“证照分离”改革全覆盖，对所有涉企经营许可事项实行分类改革，其中，取消审批、改为备案或实行告知承诺的事项力争达到100项以上，自由贸易试验区达到150项</w:t>
            </w:r>
            <w:r>
              <w:rPr>
                <w:rFonts w:hint="eastAsia" w:ascii="仿宋_GB2312" w:hAnsi="Calibri" w:eastAsia="仿宋_GB2312" w:cs="Times New Roman"/>
                <w:b w:val="0"/>
                <w:bCs/>
                <w:color w:val="auto"/>
                <w:kern w:val="2"/>
                <w:sz w:val="28"/>
                <w:szCs w:val="28"/>
                <w:u w:val="none" w:color="auto"/>
                <w:lang w:val="en-US" w:eastAsia="zh-CN" w:bidi="ar-SA"/>
              </w:rPr>
              <w:t>。</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省审改办、</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市场监管局</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2021</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10"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11</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74" w:firstLineChars="200"/>
              <w:jc w:val="both"/>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color w:val="auto"/>
                <w:kern w:val="2"/>
                <w:sz w:val="28"/>
                <w:szCs w:val="28"/>
                <w:u w:val="none" w:color="auto"/>
                <w:lang w:val="en-US" w:eastAsia="zh-CN" w:bidi="ar-SA"/>
              </w:rPr>
              <w:t>衔接中央层面设定的企业年检、年报事项，推动年检改年报，年报事项“多报合一、信息共享</w:t>
            </w:r>
            <w:r>
              <w:rPr>
                <w:rFonts w:hint="eastAsia" w:ascii="仿宋_GB2312" w:hAnsi="仿宋_GB2312" w:cs="仿宋_GB2312"/>
                <w:color w:val="auto"/>
                <w:kern w:val="2"/>
                <w:sz w:val="28"/>
                <w:szCs w:val="28"/>
                <w:u w:val="none" w:color="auto"/>
                <w:lang w:val="en-US" w:eastAsia="zh-CN" w:bidi="ar-SA"/>
              </w:rPr>
              <w:t>”</w:t>
            </w:r>
            <w:r>
              <w:rPr>
                <w:rFonts w:hint="eastAsia" w:ascii="仿宋_GB2312" w:hAnsi="仿宋_GB2312" w:eastAsia="仿宋_GB2312" w:cs="仿宋_GB2312"/>
                <w:color w:val="auto"/>
                <w:spacing w:val="0"/>
                <w:kern w:val="2"/>
                <w:sz w:val="28"/>
                <w:szCs w:val="28"/>
                <w:u w:val="none" w:color="auto"/>
                <w:lang w:val="en-US" w:eastAsia="zh-CN" w:bidi="ar-SA"/>
              </w:rPr>
              <w:t>。</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省市场监管局</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按照国家部署推进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45"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黑体" w:hAnsi="黑体" w:eastAsia="黑体" w:cs="黑体"/>
                <w:b w:val="0"/>
                <w:bCs w:val="0"/>
                <w:color w:val="auto"/>
                <w:spacing w:val="0"/>
                <w:kern w:val="2"/>
                <w:sz w:val="28"/>
                <w:szCs w:val="28"/>
                <w:u w:val="none" w:color="auto"/>
                <w:vertAlign w:val="baseline"/>
                <w:lang w:val="en-US" w:eastAsia="zh-CN" w:bidi="ar-SA"/>
              </w:rPr>
            </w:pPr>
            <w:r>
              <w:rPr>
                <w:rFonts w:hint="eastAsia" w:ascii="黑体" w:hAnsi="黑体" w:eastAsia="黑体" w:cs="黑体"/>
                <w:b w:val="0"/>
                <w:bCs w:val="0"/>
                <w:color w:val="auto"/>
                <w:spacing w:val="0"/>
                <w:kern w:val="2"/>
                <w:sz w:val="28"/>
                <w:szCs w:val="28"/>
                <w:u w:val="none" w:color="auto"/>
                <w:vertAlign w:val="baseline"/>
                <w:lang w:val="en-US" w:eastAsia="zh-CN" w:bidi="ar-SA"/>
              </w:rPr>
              <w:t>三</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黑体" w:hAnsi="黑体" w:eastAsia="黑体" w:cs="黑体"/>
                <w:b w:val="0"/>
                <w:bCs w:val="0"/>
                <w:color w:val="auto"/>
                <w:spacing w:val="0"/>
                <w:kern w:val="2"/>
                <w:sz w:val="28"/>
                <w:szCs w:val="28"/>
                <w:u w:val="none" w:color="auto"/>
                <w:lang w:val="en-US" w:eastAsia="zh-CN" w:bidi="ar-SA"/>
              </w:rPr>
            </w:pPr>
            <w:r>
              <w:rPr>
                <w:rFonts w:hint="eastAsia" w:ascii="黑体" w:hAnsi="黑体" w:eastAsia="黑体" w:cs="黑体"/>
                <w:b w:val="0"/>
                <w:bCs w:val="0"/>
                <w:color w:val="auto"/>
                <w:spacing w:val="0"/>
                <w:kern w:val="2"/>
                <w:sz w:val="28"/>
                <w:szCs w:val="28"/>
                <w:u w:val="none" w:color="auto"/>
                <w:lang w:val="en-US" w:eastAsia="zh-CN" w:bidi="ar-SA"/>
              </w:rPr>
              <w:t xml:space="preserve">    进一步推动扩大有效投资</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黑体" w:hAnsi="黑体" w:eastAsia="黑体" w:cs="黑体"/>
                <w:b w:val="0"/>
                <w:bCs w:val="0"/>
                <w:color w:val="auto"/>
                <w:spacing w:val="0"/>
                <w:kern w:val="2"/>
                <w:sz w:val="28"/>
                <w:szCs w:val="28"/>
                <w:u w:val="none" w:color="auto"/>
                <w:vertAlign w:val="baseline"/>
                <w:lang w:val="en-US" w:eastAsia="zh-CN" w:bidi="ar-SA"/>
              </w:rPr>
            </w:pP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黑体" w:hAnsi="黑体" w:eastAsia="黑体" w:cs="黑体"/>
                <w:b w:val="0"/>
                <w:bCs w:val="0"/>
                <w:color w:val="auto"/>
                <w:spacing w:val="0"/>
                <w:kern w:val="2"/>
                <w:sz w:val="28"/>
                <w:szCs w:val="28"/>
                <w:u w:val="none" w:color="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65"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1</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74" w:firstLineChars="200"/>
              <w:jc w:val="both"/>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color w:val="auto"/>
                <w:kern w:val="2"/>
                <w:sz w:val="28"/>
                <w:szCs w:val="28"/>
                <w:u w:val="none" w:color="auto"/>
                <w:lang w:val="en-US" w:eastAsia="zh-CN" w:bidi="ar-SA"/>
              </w:rPr>
              <w:t>各地落实“多审合一、多证合一”改革要求办理规划用地许可。</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省自然资源厅</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2021</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25"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2</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firstLine="574" w:firstLineChars="200"/>
              <w:jc w:val="both"/>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color w:val="auto"/>
                <w:kern w:val="2"/>
                <w:sz w:val="28"/>
                <w:szCs w:val="28"/>
                <w:u w:val="none" w:color="auto"/>
                <w:lang w:val="en-US" w:eastAsia="zh-CN" w:bidi="ar-SA"/>
              </w:rPr>
              <w:t>将工程项目审批涉及的行政许可、备案、评估评审、中介服务、市政公用服务等全部纳入审批管理系统，实现全流程在线审批。</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省住建厅</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color w:val="auto"/>
                <w:spacing w:val="0"/>
                <w:kern w:val="2"/>
                <w:sz w:val="28"/>
                <w:szCs w:val="28"/>
                <w:u w:val="none" w:color="auto"/>
                <w:lang w:val="en-US" w:eastAsia="zh-CN" w:bidi="ar-SA"/>
              </w:rPr>
              <w:t>2021</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lang w:val="en-US" w:eastAsia="zh-CN" w:bidi="ar-SA"/>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3</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74" w:firstLineChars="200"/>
              <w:jc w:val="both"/>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color w:val="auto"/>
                <w:kern w:val="2"/>
                <w:sz w:val="28"/>
                <w:szCs w:val="28"/>
                <w:u w:val="none" w:color="auto"/>
                <w:lang w:val="en-US" w:eastAsia="zh-CN" w:bidi="ar-SA"/>
              </w:rPr>
              <w:t>推行市政公用报装申请“一站式”集中服务、主动服务，将市政公用报装服务提前到工程建设规划许可阶段办理，实行与主体工程的同步设计、同步建设及竣工验收。</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省住建厅</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color w:val="auto"/>
                <w:spacing w:val="0"/>
                <w:kern w:val="2"/>
                <w:sz w:val="28"/>
                <w:szCs w:val="28"/>
                <w:u w:val="none" w:color="auto"/>
                <w:lang w:val="en-US" w:eastAsia="zh-CN" w:bidi="ar-SA"/>
              </w:rPr>
              <w:t>2021</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lang w:val="en-US" w:eastAsia="zh-CN" w:bidi="ar-SA"/>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4</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74" w:firstLineChars="200"/>
              <w:jc w:val="both"/>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color w:val="auto"/>
                <w:kern w:val="2"/>
                <w:sz w:val="28"/>
                <w:szCs w:val="28"/>
                <w:u w:val="none" w:color="auto"/>
                <w:lang w:val="en-US" w:eastAsia="zh-CN" w:bidi="ar-SA"/>
              </w:rPr>
              <w:t>进一步简化或清理工程项目审批前置事项和特殊环节，各地公布保留清单，规范明确办理流程、申请材料和办理时限。</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省住建厅</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color w:val="auto"/>
                <w:spacing w:val="0"/>
                <w:kern w:val="2"/>
                <w:sz w:val="28"/>
                <w:szCs w:val="28"/>
                <w:u w:val="none" w:color="auto"/>
                <w:lang w:val="en-US" w:eastAsia="zh-CN" w:bidi="ar-SA"/>
              </w:rPr>
              <w:t>2021</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lang w:val="en-US" w:eastAsia="zh-CN" w:bidi="ar-SA"/>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70"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5</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74" w:firstLineChars="200"/>
              <w:jc w:val="both"/>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color w:val="auto"/>
                <w:kern w:val="2"/>
                <w:sz w:val="28"/>
                <w:szCs w:val="28"/>
                <w:u w:val="none" w:color="auto"/>
                <w:lang w:val="en-US" w:eastAsia="zh-CN" w:bidi="ar-SA"/>
              </w:rPr>
              <w:t>进一步梳理公布工程项目审批涉及中介服务事项清单，健全完善中介服务管理制度。</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省住建厅</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color w:val="auto"/>
                <w:spacing w:val="0"/>
                <w:kern w:val="2"/>
                <w:sz w:val="28"/>
                <w:szCs w:val="28"/>
                <w:u w:val="none" w:color="auto"/>
                <w:lang w:val="en-US" w:eastAsia="zh-CN" w:bidi="ar-SA"/>
              </w:rPr>
              <w:t>2021</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lang w:val="en-US" w:eastAsia="zh-CN" w:bidi="ar-SA"/>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6</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74" w:firstLineChars="200"/>
              <w:jc w:val="both"/>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color w:val="auto"/>
                <w:kern w:val="2"/>
                <w:sz w:val="28"/>
                <w:szCs w:val="28"/>
                <w:u w:val="none" w:color="auto"/>
                <w:lang w:val="en-US" w:eastAsia="zh-CN" w:bidi="ar-SA"/>
              </w:rPr>
              <w:t>对社会投资的小型简易低风险新建、改扩建项目，推行“清单制+告知承诺制”审批，其中工程投资额在100万元以下（含100万元）或者建筑面积在500平方米以下（含500平方米）的房屋建筑和市政基础设施工程，无需申请办理施工许可证。</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省住建厅</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color w:val="auto"/>
                <w:spacing w:val="0"/>
                <w:kern w:val="2"/>
                <w:sz w:val="28"/>
                <w:szCs w:val="28"/>
                <w:u w:val="none" w:color="auto"/>
                <w:lang w:val="en-US" w:eastAsia="zh-CN" w:bidi="ar-SA"/>
              </w:rPr>
              <w:t>2021</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color w:val="auto"/>
                <w:spacing w:val="0"/>
                <w:kern w:val="2"/>
                <w:sz w:val="28"/>
                <w:szCs w:val="28"/>
                <w:u w:val="none" w:color="auto"/>
                <w:lang w:val="en-US" w:eastAsia="zh-CN" w:bidi="ar-SA"/>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黑体" w:hAnsi="黑体" w:eastAsia="黑体" w:cs="黑体"/>
                <w:b w:val="0"/>
                <w:bCs w:val="0"/>
                <w:color w:val="auto"/>
                <w:spacing w:val="0"/>
                <w:kern w:val="2"/>
                <w:sz w:val="28"/>
                <w:szCs w:val="28"/>
                <w:u w:val="none" w:color="auto"/>
                <w:vertAlign w:val="baseline"/>
                <w:lang w:val="en-US" w:eastAsia="zh-CN" w:bidi="ar-SA"/>
              </w:rPr>
            </w:pPr>
            <w:r>
              <w:rPr>
                <w:rFonts w:hint="eastAsia" w:ascii="黑体" w:hAnsi="黑体" w:eastAsia="黑体" w:cs="黑体"/>
                <w:b w:val="0"/>
                <w:bCs w:val="0"/>
                <w:color w:val="auto"/>
                <w:spacing w:val="0"/>
                <w:kern w:val="2"/>
                <w:sz w:val="28"/>
                <w:szCs w:val="28"/>
                <w:u w:val="none" w:color="auto"/>
                <w:vertAlign w:val="baseline"/>
                <w:lang w:val="en-US" w:eastAsia="zh-CN" w:bidi="ar-SA"/>
              </w:rPr>
              <w:t>四</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黑体" w:hAnsi="黑体" w:eastAsia="黑体" w:cs="黑体"/>
                <w:b w:val="0"/>
                <w:bCs w:val="0"/>
                <w:color w:val="auto"/>
                <w:spacing w:val="0"/>
                <w:kern w:val="2"/>
                <w:sz w:val="28"/>
                <w:szCs w:val="28"/>
                <w:u w:val="none" w:color="auto"/>
                <w:lang w:val="en-US" w:eastAsia="zh-CN" w:bidi="ar-SA"/>
              </w:rPr>
            </w:pPr>
            <w:r>
              <w:rPr>
                <w:rFonts w:hint="eastAsia" w:ascii="黑体" w:hAnsi="黑体" w:eastAsia="黑体" w:cs="黑体"/>
                <w:b w:val="0"/>
                <w:bCs w:val="0"/>
                <w:color w:val="auto"/>
                <w:spacing w:val="0"/>
                <w:kern w:val="2"/>
                <w:sz w:val="28"/>
                <w:szCs w:val="28"/>
                <w:u w:val="none" w:color="auto"/>
                <w:lang w:val="en-US" w:eastAsia="zh-CN" w:bidi="ar-SA"/>
              </w:rPr>
              <w:t xml:space="preserve">    进一步推动激发消费潜力</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黑体" w:hAnsi="黑体" w:eastAsia="黑体" w:cs="黑体"/>
                <w:b w:val="0"/>
                <w:bCs w:val="0"/>
                <w:color w:val="auto"/>
                <w:spacing w:val="0"/>
                <w:kern w:val="2"/>
                <w:sz w:val="28"/>
                <w:szCs w:val="28"/>
                <w:u w:val="none" w:color="auto"/>
                <w:vertAlign w:val="baseline"/>
                <w:lang w:val="en-US" w:eastAsia="zh-CN" w:bidi="ar-SA"/>
              </w:rPr>
            </w:pP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黑体" w:hAnsi="黑体" w:eastAsia="黑体" w:cs="黑体"/>
                <w:b w:val="0"/>
                <w:bCs w:val="0"/>
                <w:color w:val="auto"/>
                <w:spacing w:val="0"/>
                <w:kern w:val="2"/>
                <w:sz w:val="28"/>
                <w:szCs w:val="28"/>
                <w:u w:val="none" w:color="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1</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74" w:firstLineChars="200"/>
              <w:jc w:val="both"/>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color w:val="auto"/>
                <w:kern w:val="2"/>
                <w:sz w:val="28"/>
                <w:szCs w:val="28"/>
                <w:u w:val="none" w:color="auto"/>
                <w:lang w:val="en-US" w:eastAsia="zh-CN" w:bidi="ar-SA"/>
              </w:rPr>
              <w:t>按照国家要求，全面取消二手车迁入限制政策，放宽二手车经营条件</w:t>
            </w:r>
            <w:r>
              <w:rPr>
                <w:rFonts w:hint="eastAsia" w:ascii="仿宋_GB2312" w:hAnsi="仿宋_GB2312" w:eastAsia="仿宋_GB2312" w:cs="仿宋_GB2312"/>
                <w:color w:val="auto"/>
                <w:spacing w:val="0"/>
                <w:kern w:val="2"/>
                <w:sz w:val="28"/>
                <w:szCs w:val="28"/>
                <w:u w:val="none" w:color="auto"/>
                <w:lang w:val="en-US" w:eastAsia="zh-CN" w:bidi="ar-SA"/>
              </w:rPr>
              <w:t>。</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省商务厅、</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公安厅、</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生态环境厅</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按照国家部署推进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30"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2</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74" w:firstLineChars="200"/>
              <w:jc w:val="both"/>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color w:val="auto"/>
                <w:kern w:val="2"/>
                <w:sz w:val="28"/>
                <w:szCs w:val="28"/>
                <w:u w:val="none" w:color="auto"/>
                <w:lang w:val="en-US" w:eastAsia="zh-CN" w:bidi="ar-SA"/>
              </w:rPr>
              <w:t>规范开展报废机动车回收拆解企业资质认定工作，支持具备条件的企业进入回收拆解市场，依法查处非法拆解行为</w:t>
            </w:r>
            <w:r>
              <w:rPr>
                <w:rFonts w:hint="eastAsia" w:ascii="仿宋_GB2312" w:hAnsi="仿宋_GB2312" w:eastAsia="仿宋_GB2312" w:cs="仿宋_GB2312"/>
                <w:color w:val="auto"/>
                <w:spacing w:val="0"/>
                <w:kern w:val="2"/>
                <w:sz w:val="28"/>
                <w:szCs w:val="28"/>
                <w:u w:val="none" w:color="auto"/>
                <w:lang w:val="en-US" w:eastAsia="zh-CN" w:bidi="ar-SA"/>
              </w:rPr>
              <w:t>。</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省商务厅、</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生态环境厅</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按照国家部署推进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3</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74" w:firstLineChars="200"/>
              <w:jc w:val="both"/>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color w:val="auto"/>
                <w:kern w:val="2"/>
                <w:sz w:val="28"/>
                <w:szCs w:val="28"/>
                <w:u w:val="none" w:color="auto"/>
                <w:lang w:val="en-US" w:eastAsia="zh-CN" w:bidi="ar-SA"/>
              </w:rPr>
              <w:t>制定出台《促进我省民宿发展的暂行办法》。</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省文旅厅</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color w:val="auto"/>
                <w:spacing w:val="0"/>
                <w:kern w:val="2"/>
                <w:sz w:val="28"/>
                <w:szCs w:val="28"/>
                <w:u w:val="none" w:color="auto"/>
                <w:lang w:val="en-US" w:eastAsia="zh-CN" w:bidi="ar-SA"/>
              </w:rPr>
              <w:t>2021</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lang w:val="en-US" w:eastAsia="zh-CN" w:bidi="ar-SA"/>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90"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4</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74" w:firstLineChars="200"/>
              <w:jc w:val="both"/>
              <w:textAlignment w:val="auto"/>
              <w:outlineLvl w:val="9"/>
              <w:rPr>
                <w:rFonts w:hint="eastAsia" w:ascii="仿宋_GB2312" w:hAnsi="仿宋_GB2312" w:eastAsia="仿宋_GB2312" w:cs="仿宋_GB2312"/>
                <w:color w:val="auto"/>
                <w:spacing w:val="0"/>
                <w:kern w:val="2"/>
                <w:sz w:val="32"/>
                <w:szCs w:val="32"/>
                <w:u w:val="none" w:color="auto"/>
                <w:lang w:val="en-US" w:eastAsia="zh-CN" w:bidi="ar-SA"/>
              </w:rPr>
            </w:pPr>
            <w:r>
              <w:rPr>
                <w:rFonts w:hint="eastAsia" w:ascii="仿宋_GB2312" w:hAnsi="仿宋_GB2312" w:eastAsia="仿宋_GB2312" w:cs="仿宋_GB2312"/>
                <w:color w:val="auto"/>
                <w:kern w:val="2"/>
                <w:sz w:val="28"/>
                <w:szCs w:val="28"/>
                <w:u w:val="none" w:color="auto"/>
                <w:lang w:val="en-US" w:eastAsia="zh-CN" w:bidi="ar-SA"/>
              </w:rPr>
              <w:t>依法依规简化跨地区巡演审批程序。</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省文旅厅</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按照国家部署推进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00"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5</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74" w:firstLineChars="200"/>
              <w:jc w:val="both"/>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color w:val="auto"/>
                <w:kern w:val="2"/>
                <w:sz w:val="28"/>
                <w:szCs w:val="28"/>
                <w:u w:val="none" w:color="auto"/>
                <w:lang w:val="en-US" w:eastAsia="zh-CN" w:bidi="ar-SA"/>
              </w:rPr>
              <w:t>支持福州、厦门、泉州</w:t>
            </w:r>
            <w:r>
              <w:rPr>
                <w:rFonts w:hint="eastAsia" w:ascii="仿宋_GB2312" w:hAnsi="仿宋_GB2312" w:cs="仿宋_GB2312"/>
                <w:color w:val="auto"/>
                <w:sz w:val="28"/>
                <w:szCs w:val="28"/>
                <w:u w:val="none" w:color="auto"/>
                <w:lang w:val="en-US" w:eastAsia="zh-CN"/>
              </w:rPr>
              <w:t>、</w:t>
            </w:r>
            <w:r>
              <w:rPr>
                <w:rFonts w:hint="eastAsia" w:ascii="仿宋_GB2312" w:hAnsi="仿宋_GB2312" w:eastAsia="仿宋_GB2312" w:cs="仿宋_GB2312"/>
                <w:color w:val="auto"/>
                <w:sz w:val="28"/>
                <w:szCs w:val="28"/>
                <w:u w:val="none" w:color="auto"/>
                <w:lang w:val="en-US" w:eastAsia="zh-CN"/>
              </w:rPr>
              <w:t>平潭</w:t>
            </w:r>
            <w:r>
              <w:rPr>
                <w:rFonts w:hint="eastAsia" w:ascii="仿宋_GB2312" w:hAnsi="仿宋_GB2312" w:eastAsia="仿宋_GB2312" w:cs="仿宋_GB2312"/>
                <w:color w:val="auto"/>
                <w:kern w:val="2"/>
                <w:sz w:val="28"/>
                <w:szCs w:val="28"/>
                <w:u w:val="none" w:color="auto"/>
                <w:lang w:val="en-US" w:eastAsia="zh-CN" w:bidi="ar-SA"/>
              </w:rPr>
              <w:t>等地结合我省消费需求，扩大国际知名品牌进口，做大跨境电商进口体量</w:t>
            </w:r>
            <w:r>
              <w:rPr>
                <w:rFonts w:hint="eastAsia" w:ascii="仿宋_GB2312" w:hAnsi="仿宋_GB2312" w:eastAsia="仿宋_GB2312" w:cs="仿宋_GB2312"/>
                <w:color w:val="auto"/>
                <w:spacing w:val="0"/>
                <w:kern w:val="2"/>
                <w:sz w:val="28"/>
                <w:szCs w:val="28"/>
                <w:u w:val="none" w:color="auto"/>
                <w:lang w:val="en-US" w:eastAsia="zh-CN" w:bidi="ar-SA"/>
              </w:rPr>
              <w:t>。</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省商务厅</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color w:val="auto"/>
                <w:spacing w:val="0"/>
                <w:kern w:val="2"/>
                <w:sz w:val="28"/>
                <w:szCs w:val="28"/>
                <w:u w:val="none" w:color="auto"/>
                <w:lang w:val="en-US" w:eastAsia="zh-CN" w:bidi="ar-SA"/>
              </w:rPr>
              <w:t>2021</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lang w:val="en-US" w:eastAsia="zh-CN" w:bidi="ar-SA"/>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黑体" w:hAnsi="黑体" w:eastAsia="黑体" w:cs="黑体"/>
                <w:b w:val="0"/>
                <w:bCs w:val="0"/>
                <w:color w:val="auto"/>
                <w:spacing w:val="0"/>
                <w:kern w:val="2"/>
                <w:sz w:val="28"/>
                <w:szCs w:val="28"/>
                <w:u w:val="none" w:color="auto"/>
                <w:vertAlign w:val="baseline"/>
                <w:lang w:val="en-US" w:eastAsia="zh-CN" w:bidi="ar-SA"/>
              </w:rPr>
            </w:pPr>
            <w:r>
              <w:rPr>
                <w:rFonts w:hint="eastAsia" w:ascii="黑体" w:hAnsi="黑体" w:eastAsia="黑体" w:cs="黑体"/>
                <w:b w:val="0"/>
                <w:bCs w:val="0"/>
                <w:color w:val="auto"/>
                <w:spacing w:val="0"/>
                <w:kern w:val="2"/>
                <w:sz w:val="28"/>
                <w:szCs w:val="28"/>
                <w:u w:val="none" w:color="auto"/>
                <w:vertAlign w:val="baseline"/>
                <w:lang w:val="en-US" w:eastAsia="zh-CN" w:bidi="ar-SA"/>
              </w:rPr>
              <w:t>五</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74" w:firstLineChars="200"/>
              <w:jc w:val="both"/>
              <w:textAlignment w:val="auto"/>
              <w:outlineLvl w:val="9"/>
              <w:rPr>
                <w:rFonts w:hint="eastAsia" w:ascii="黑体" w:hAnsi="黑体" w:eastAsia="黑体" w:cs="黑体"/>
                <w:b w:val="0"/>
                <w:bCs w:val="0"/>
                <w:color w:val="auto"/>
                <w:spacing w:val="0"/>
                <w:kern w:val="2"/>
                <w:sz w:val="28"/>
                <w:szCs w:val="28"/>
                <w:u w:val="none" w:color="auto"/>
                <w:lang w:val="en-US" w:eastAsia="zh-CN" w:bidi="ar-SA"/>
              </w:rPr>
            </w:pPr>
            <w:r>
              <w:rPr>
                <w:rFonts w:hint="eastAsia" w:ascii="黑体" w:hAnsi="黑体" w:eastAsia="黑体" w:cs="黑体"/>
                <w:b w:val="0"/>
                <w:bCs w:val="0"/>
                <w:color w:val="auto"/>
                <w:spacing w:val="0"/>
                <w:kern w:val="2"/>
                <w:sz w:val="28"/>
                <w:szCs w:val="28"/>
                <w:u w:val="none" w:color="auto"/>
                <w:lang w:val="en-US" w:eastAsia="zh-CN" w:bidi="ar-SA"/>
              </w:rPr>
              <w:t>进一步推动稳外贸稳外资</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黑体" w:hAnsi="黑体" w:eastAsia="黑体" w:cs="黑体"/>
                <w:b w:val="0"/>
                <w:bCs w:val="0"/>
                <w:color w:val="auto"/>
                <w:spacing w:val="0"/>
                <w:kern w:val="2"/>
                <w:sz w:val="28"/>
                <w:szCs w:val="28"/>
                <w:u w:val="none" w:color="auto"/>
                <w:vertAlign w:val="baseline"/>
                <w:lang w:val="en-US" w:eastAsia="zh-CN" w:bidi="ar-SA"/>
              </w:rPr>
            </w:pP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黑体" w:hAnsi="黑体" w:eastAsia="黑体" w:cs="黑体"/>
                <w:b w:val="0"/>
                <w:bCs w:val="0"/>
                <w:color w:val="auto"/>
                <w:spacing w:val="0"/>
                <w:kern w:val="2"/>
                <w:sz w:val="28"/>
                <w:szCs w:val="28"/>
                <w:u w:val="none" w:color="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730"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1</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74" w:firstLineChars="200"/>
              <w:jc w:val="both"/>
              <w:textAlignment w:val="auto"/>
              <w:outlineLvl w:val="9"/>
              <w:rPr>
                <w:rFonts w:hint="default"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color w:val="auto"/>
                <w:kern w:val="2"/>
                <w:sz w:val="28"/>
                <w:szCs w:val="28"/>
                <w:u w:val="none" w:color="auto"/>
                <w:lang w:val="en-US" w:eastAsia="zh-CN" w:bidi="ar-SA"/>
              </w:rPr>
              <w:t>贯彻落实国家2021年版外资准入负面清单，确保外资企业平等享受各项支持政策。</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kern w:val="2"/>
                <w:sz w:val="28"/>
                <w:szCs w:val="28"/>
                <w:u w:val="none" w:color="auto"/>
                <w:vertAlign w:val="baseline"/>
                <w:lang w:val="en-US" w:eastAsia="zh-CN" w:bidi="ar-SA"/>
              </w:rPr>
            </w:pPr>
            <w:r>
              <w:rPr>
                <w:rFonts w:hint="eastAsia" w:ascii="仿宋_GB2312" w:hAnsi="仿宋_GB2312" w:eastAsia="仿宋_GB2312" w:cs="仿宋_GB2312"/>
                <w:color w:val="auto"/>
                <w:spacing w:val="-11"/>
                <w:kern w:val="2"/>
                <w:sz w:val="28"/>
                <w:szCs w:val="28"/>
                <w:u w:val="none" w:color="auto"/>
                <w:vertAlign w:val="baseline"/>
                <w:lang w:val="en-US" w:eastAsia="zh-CN" w:bidi="ar-SA"/>
              </w:rPr>
              <w:t>省发改委、</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11"/>
                <w:kern w:val="2"/>
                <w:sz w:val="28"/>
                <w:szCs w:val="28"/>
                <w:u w:val="none" w:color="auto"/>
                <w:vertAlign w:val="baseline"/>
                <w:lang w:val="en-US" w:eastAsia="zh-CN" w:bidi="ar-SA"/>
              </w:rPr>
              <w:t>商务厅</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color w:val="auto"/>
                <w:spacing w:val="0"/>
                <w:kern w:val="2"/>
                <w:sz w:val="28"/>
                <w:szCs w:val="28"/>
                <w:u w:val="none" w:color="auto"/>
                <w:lang w:val="en-US" w:eastAsia="zh-CN" w:bidi="ar-SA"/>
              </w:rPr>
              <w:t>2021</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lang w:val="en-US" w:eastAsia="zh-CN" w:bidi="ar-SA"/>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515"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2</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74" w:firstLineChars="200"/>
              <w:jc w:val="both"/>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color w:val="auto"/>
                <w:kern w:val="2"/>
                <w:sz w:val="28"/>
                <w:szCs w:val="28"/>
                <w:u w:val="none" w:color="auto"/>
                <w:lang w:val="en-US" w:eastAsia="zh-CN" w:bidi="ar-SA"/>
              </w:rPr>
              <w:t>完成中国（福建）国际贸易单一窗口升级，拓展通关签证、物流、贸易服务等领域的协同创新和智能应用服务功能，提升外贸综合服务数字化水平</w:t>
            </w:r>
            <w:r>
              <w:rPr>
                <w:rFonts w:hint="eastAsia" w:ascii="仿宋_GB2312" w:hAnsi="仿宋_GB2312" w:eastAsia="仿宋_GB2312" w:cs="仿宋_GB2312"/>
                <w:b w:val="0"/>
                <w:bCs w:val="0"/>
                <w:color w:val="auto"/>
                <w:kern w:val="2"/>
                <w:sz w:val="28"/>
                <w:szCs w:val="28"/>
                <w:u w:val="none" w:color="auto"/>
                <w:lang w:val="en-US" w:eastAsia="zh-CN" w:bidi="ar-SA"/>
              </w:rPr>
              <w:t>。</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color w:val="auto"/>
                <w:spacing w:val="0"/>
                <w:kern w:val="2"/>
                <w:sz w:val="28"/>
                <w:szCs w:val="28"/>
                <w:u w:val="none" w:color="auto"/>
                <w:lang w:val="en-US" w:eastAsia="zh-CN" w:bidi="ar-SA"/>
              </w:rPr>
              <w:t>省商务厅，福州海关、厦门海关，</w:t>
            </w:r>
            <w:r>
              <w:rPr>
                <w:rFonts w:hint="eastAsia" w:ascii="仿宋_GB2312" w:hAnsi="仿宋_GB2312" w:cs="仿宋_GB2312"/>
                <w:color w:val="auto"/>
                <w:spacing w:val="0"/>
                <w:kern w:val="2"/>
                <w:sz w:val="28"/>
                <w:szCs w:val="28"/>
                <w:u w:val="none" w:color="auto"/>
                <w:lang w:val="en-US" w:eastAsia="zh-CN" w:bidi="ar-SA"/>
              </w:rPr>
              <w:t>省</w:t>
            </w:r>
            <w:r>
              <w:rPr>
                <w:rFonts w:hint="eastAsia" w:ascii="仿宋_GB2312" w:hAnsi="仿宋_GB2312" w:eastAsia="仿宋_GB2312" w:cs="仿宋_GB2312"/>
                <w:color w:val="auto"/>
                <w:spacing w:val="0"/>
                <w:kern w:val="2"/>
                <w:sz w:val="28"/>
                <w:szCs w:val="28"/>
                <w:u w:val="none" w:color="auto"/>
                <w:lang w:val="en-US" w:eastAsia="zh-CN" w:bidi="ar-SA"/>
              </w:rPr>
              <w:t>交通运输厅、金融监管局、数字办，中铁南昌</w:t>
            </w:r>
            <w:r>
              <w:rPr>
                <w:rFonts w:hint="eastAsia" w:ascii="仿宋_GB2312" w:hAnsi="仿宋_GB2312" w:cs="仿宋_GB2312"/>
                <w:color w:val="auto"/>
                <w:spacing w:val="0"/>
                <w:kern w:val="2"/>
                <w:sz w:val="28"/>
                <w:szCs w:val="28"/>
                <w:u w:val="none" w:color="auto"/>
                <w:lang w:val="en-US" w:eastAsia="zh-CN" w:bidi="ar-SA"/>
              </w:rPr>
              <w:t>局</w:t>
            </w:r>
            <w:r>
              <w:rPr>
                <w:rFonts w:hint="eastAsia" w:ascii="仿宋_GB2312" w:hAnsi="仿宋_GB2312" w:eastAsia="仿宋_GB2312" w:cs="仿宋_GB2312"/>
                <w:color w:val="auto"/>
                <w:spacing w:val="0"/>
                <w:kern w:val="2"/>
                <w:sz w:val="28"/>
                <w:szCs w:val="28"/>
                <w:u w:val="none" w:color="auto"/>
                <w:lang w:val="en-US" w:eastAsia="zh-CN" w:bidi="ar-SA"/>
              </w:rPr>
              <w:t>集团</w:t>
            </w:r>
            <w:r>
              <w:rPr>
                <w:rFonts w:hint="eastAsia" w:ascii="仿宋_GB2312" w:hAnsi="仿宋_GB2312" w:cs="仿宋_GB2312"/>
                <w:color w:val="auto"/>
                <w:spacing w:val="0"/>
                <w:kern w:val="2"/>
                <w:sz w:val="28"/>
                <w:szCs w:val="28"/>
                <w:u w:val="none" w:color="auto"/>
                <w:lang w:val="en-US" w:eastAsia="zh-CN" w:bidi="ar-SA"/>
              </w:rPr>
              <w:t>公司福州办事处</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2021</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3</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both"/>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cs="仿宋_GB2312"/>
                <w:color w:val="auto"/>
                <w:kern w:val="2"/>
                <w:sz w:val="28"/>
                <w:szCs w:val="28"/>
                <w:u w:val="none" w:color="auto"/>
                <w:lang w:val="en-US" w:eastAsia="zh-CN" w:bidi="ar-SA"/>
              </w:rPr>
              <w:t xml:space="preserve">   </w:t>
            </w:r>
            <w:r>
              <w:rPr>
                <w:rFonts w:hint="eastAsia" w:ascii="仿宋_GB2312" w:hAnsi="仿宋_GB2312" w:eastAsia="仿宋_GB2312" w:cs="仿宋_GB2312"/>
                <w:color w:val="auto"/>
                <w:kern w:val="2"/>
                <w:sz w:val="28"/>
                <w:szCs w:val="28"/>
                <w:u w:val="none" w:color="auto"/>
                <w:lang w:val="en-US" w:eastAsia="zh-CN" w:bidi="ar-SA"/>
              </w:rPr>
              <w:t>贯彻落实国家关于引航费最新政策</w:t>
            </w:r>
            <w:r>
              <w:rPr>
                <w:rFonts w:hint="eastAsia" w:ascii="仿宋_GB2312" w:hAnsi="仿宋_GB2312" w:eastAsia="仿宋_GB2312" w:cs="仿宋_GB2312"/>
                <w:color w:val="auto"/>
                <w:spacing w:val="0"/>
                <w:kern w:val="2"/>
                <w:sz w:val="28"/>
                <w:szCs w:val="28"/>
                <w:u w:val="none" w:color="auto"/>
                <w:lang w:val="en-US" w:eastAsia="zh-CN" w:bidi="ar-SA"/>
              </w:rPr>
              <w:t>。</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lang w:val="en-US" w:eastAsia="zh-CN" w:bidi="ar-SA"/>
              </w:rPr>
              <w:t>省交通运输厅、发改委、国资委</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按照国家部署推进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40"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黑体" w:hAnsi="黑体" w:eastAsia="黑体" w:cs="黑体"/>
                <w:b w:val="0"/>
                <w:bCs w:val="0"/>
                <w:color w:val="auto"/>
                <w:spacing w:val="0"/>
                <w:kern w:val="2"/>
                <w:sz w:val="28"/>
                <w:szCs w:val="28"/>
                <w:u w:val="none" w:color="auto"/>
                <w:vertAlign w:val="baseline"/>
                <w:lang w:val="en-US" w:eastAsia="zh-CN" w:bidi="ar-SA"/>
              </w:rPr>
            </w:pPr>
            <w:r>
              <w:rPr>
                <w:rFonts w:hint="eastAsia" w:ascii="黑体" w:hAnsi="黑体" w:eastAsia="黑体" w:cs="黑体"/>
                <w:b w:val="0"/>
                <w:bCs w:val="0"/>
                <w:color w:val="auto"/>
                <w:spacing w:val="0"/>
                <w:kern w:val="2"/>
                <w:sz w:val="28"/>
                <w:szCs w:val="28"/>
                <w:u w:val="none" w:color="auto"/>
                <w:vertAlign w:val="baseline"/>
                <w:lang w:val="en-US" w:eastAsia="zh-CN" w:bidi="ar-SA"/>
              </w:rPr>
              <w:t>六</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74" w:firstLineChars="200"/>
              <w:jc w:val="both"/>
              <w:textAlignment w:val="auto"/>
              <w:outlineLvl w:val="9"/>
              <w:rPr>
                <w:rFonts w:hint="eastAsia" w:ascii="黑体" w:hAnsi="黑体" w:eastAsia="黑体" w:cs="黑体"/>
                <w:b w:val="0"/>
                <w:bCs w:val="0"/>
                <w:color w:val="auto"/>
                <w:spacing w:val="0"/>
                <w:kern w:val="2"/>
                <w:sz w:val="28"/>
                <w:szCs w:val="28"/>
                <w:u w:val="none" w:color="auto"/>
                <w:lang w:val="en-US" w:eastAsia="zh-CN" w:bidi="ar-SA"/>
              </w:rPr>
            </w:pPr>
            <w:r>
              <w:rPr>
                <w:rFonts w:hint="eastAsia" w:ascii="黑体" w:hAnsi="黑体" w:eastAsia="黑体" w:cs="黑体"/>
                <w:b w:val="0"/>
                <w:bCs w:val="0"/>
                <w:color w:val="auto"/>
                <w:spacing w:val="0"/>
                <w:kern w:val="2"/>
                <w:sz w:val="28"/>
                <w:szCs w:val="28"/>
                <w:u w:val="none" w:color="auto"/>
                <w:lang w:val="en-US" w:eastAsia="zh-CN" w:bidi="ar-SA"/>
              </w:rPr>
              <w:t>进一步推动优化民生服务</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黑体" w:hAnsi="黑体" w:eastAsia="黑体" w:cs="黑体"/>
                <w:b w:val="0"/>
                <w:bCs w:val="0"/>
                <w:color w:val="auto"/>
                <w:spacing w:val="0"/>
                <w:kern w:val="2"/>
                <w:sz w:val="28"/>
                <w:szCs w:val="28"/>
                <w:u w:val="none" w:color="auto"/>
                <w:vertAlign w:val="baseline"/>
                <w:lang w:val="en-US" w:eastAsia="zh-CN" w:bidi="ar-SA"/>
              </w:rPr>
            </w:pP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黑体" w:hAnsi="黑体" w:eastAsia="黑体" w:cs="黑体"/>
                <w:b w:val="0"/>
                <w:bCs w:val="0"/>
                <w:color w:val="auto"/>
                <w:spacing w:val="0"/>
                <w:kern w:val="2"/>
                <w:sz w:val="28"/>
                <w:szCs w:val="28"/>
                <w:u w:val="none" w:color="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1</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74" w:firstLineChars="200"/>
              <w:jc w:val="both"/>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color w:val="auto"/>
                <w:spacing w:val="0"/>
                <w:kern w:val="2"/>
                <w:sz w:val="28"/>
                <w:szCs w:val="28"/>
                <w:u w:val="none" w:color="auto"/>
                <w:lang w:val="en-US" w:eastAsia="zh-CN" w:bidi="ar-SA"/>
              </w:rPr>
              <w:t>继续推动福州、厦门开展诊所备案管理试点。</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省卫健委</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sz w:val="28"/>
                <w:szCs w:val="28"/>
                <w:u w:val="none" w:color="auto"/>
                <w:vertAlign w:val="baseline"/>
                <w:lang w:val="en-US" w:eastAsia="zh-CN"/>
              </w:rPr>
            </w:pPr>
            <w:r>
              <w:rPr>
                <w:rFonts w:hint="eastAsia" w:ascii="仿宋_GB2312" w:hAnsi="仿宋_GB2312" w:eastAsia="仿宋_GB2312" w:cs="仿宋_GB2312"/>
                <w:color w:val="auto"/>
                <w:spacing w:val="0"/>
                <w:sz w:val="28"/>
                <w:szCs w:val="28"/>
                <w:u w:val="none" w:color="auto"/>
                <w:vertAlign w:val="baseline"/>
                <w:lang w:val="en-US" w:eastAsia="zh-CN"/>
              </w:rPr>
              <w:t>2021</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sz w:val="28"/>
                <w:szCs w:val="28"/>
                <w:u w:val="none" w:color="auto"/>
                <w:vertAlign w:val="baseline"/>
                <w:lang w:val="en-US" w:eastAsia="zh-CN"/>
              </w:rPr>
            </w:pPr>
            <w:r>
              <w:rPr>
                <w:rFonts w:hint="eastAsia" w:ascii="仿宋_GB2312" w:hAnsi="仿宋_GB2312" w:eastAsia="仿宋_GB2312" w:cs="仿宋_GB2312"/>
                <w:color w:val="auto"/>
                <w:spacing w:val="0"/>
                <w:sz w:val="28"/>
                <w:szCs w:val="28"/>
                <w:u w:val="none" w:color="auto"/>
                <w:vertAlign w:val="baseline"/>
                <w:lang w:val="en-US" w:eastAsia="zh-CN"/>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2</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74" w:firstLineChars="200"/>
              <w:jc w:val="both"/>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color w:val="auto"/>
                <w:kern w:val="2"/>
                <w:sz w:val="28"/>
                <w:szCs w:val="28"/>
                <w:u w:val="none" w:color="auto"/>
                <w:lang w:val="en-US" w:eastAsia="zh-CN" w:bidi="ar-SA"/>
              </w:rPr>
              <w:t>制定完成“职业卫生技术服务机构乙级资质认定程序”，便利市场准入</w:t>
            </w:r>
            <w:r>
              <w:rPr>
                <w:rFonts w:hint="eastAsia" w:ascii="仿宋_GB2312" w:hAnsi="仿宋_GB2312" w:eastAsia="仿宋_GB2312" w:cs="仿宋_GB2312"/>
                <w:color w:val="auto"/>
                <w:spacing w:val="0"/>
                <w:kern w:val="2"/>
                <w:sz w:val="28"/>
                <w:szCs w:val="28"/>
                <w:u w:val="none" w:color="auto"/>
                <w:lang w:val="en-US" w:eastAsia="zh-CN" w:bidi="ar-SA"/>
              </w:rPr>
              <w:t>。</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省卫健委</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sz w:val="28"/>
                <w:szCs w:val="28"/>
                <w:u w:val="none" w:color="auto"/>
                <w:vertAlign w:val="baseline"/>
                <w:lang w:val="en-US" w:eastAsia="zh-CN"/>
              </w:rPr>
            </w:pPr>
            <w:r>
              <w:rPr>
                <w:rFonts w:hint="eastAsia" w:ascii="仿宋_GB2312" w:hAnsi="仿宋_GB2312" w:eastAsia="仿宋_GB2312" w:cs="仿宋_GB2312"/>
                <w:color w:val="auto"/>
                <w:spacing w:val="0"/>
                <w:sz w:val="28"/>
                <w:szCs w:val="28"/>
                <w:u w:val="none" w:color="auto"/>
                <w:vertAlign w:val="baseline"/>
                <w:lang w:val="en-US" w:eastAsia="zh-CN"/>
              </w:rPr>
              <w:t>2021</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sz w:val="28"/>
                <w:szCs w:val="28"/>
                <w:u w:val="none" w:color="auto"/>
                <w:vertAlign w:val="baseline"/>
                <w:lang w:val="en-US" w:eastAsia="zh-CN"/>
              </w:rPr>
            </w:pPr>
            <w:r>
              <w:rPr>
                <w:rFonts w:hint="eastAsia" w:ascii="仿宋_GB2312" w:hAnsi="仿宋_GB2312" w:eastAsia="仿宋_GB2312" w:cs="仿宋_GB2312"/>
                <w:color w:val="auto"/>
                <w:spacing w:val="0"/>
                <w:sz w:val="28"/>
                <w:szCs w:val="28"/>
                <w:u w:val="none" w:color="auto"/>
                <w:vertAlign w:val="baseline"/>
                <w:lang w:val="en-US" w:eastAsia="zh-CN"/>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3</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74" w:firstLineChars="200"/>
              <w:jc w:val="both"/>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color w:val="auto"/>
                <w:kern w:val="2"/>
                <w:sz w:val="28"/>
                <w:szCs w:val="28"/>
                <w:u w:val="none" w:color="auto"/>
                <w:lang w:val="en-US" w:eastAsia="zh-CN" w:bidi="ar-SA"/>
              </w:rPr>
              <w:t>改造社会救助综合服务平台，双向打通核对平台与社会救助综合服务平台，健全救助申请家庭经济状况核对机制，推动社会救助服务向“闽政通”等移动端和网上办事大厅延伸</w:t>
            </w:r>
            <w:r>
              <w:rPr>
                <w:rFonts w:hint="eastAsia" w:ascii="仿宋_GB2312" w:hAnsi="仿宋_GB2312" w:eastAsia="仿宋_GB2312" w:cs="仿宋_GB2312"/>
                <w:color w:val="auto"/>
                <w:spacing w:val="0"/>
                <w:kern w:val="2"/>
                <w:sz w:val="28"/>
                <w:szCs w:val="28"/>
                <w:u w:val="none" w:color="auto"/>
                <w:lang w:val="en-US" w:eastAsia="zh-CN" w:bidi="ar-SA"/>
              </w:rPr>
              <w:t>。</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省民政厅</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sz w:val="28"/>
                <w:szCs w:val="28"/>
                <w:u w:val="none" w:color="auto"/>
                <w:vertAlign w:val="baseline"/>
                <w:lang w:val="en-US" w:eastAsia="zh-CN"/>
              </w:rPr>
            </w:pPr>
            <w:r>
              <w:rPr>
                <w:rFonts w:hint="eastAsia" w:ascii="仿宋_GB2312" w:hAnsi="仿宋_GB2312" w:eastAsia="仿宋_GB2312" w:cs="仿宋_GB2312"/>
                <w:color w:val="auto"/>
                <w:spacing w:val="0"/>
                <w:sz w:val="28"/>
                <w:szCs w:val="28"/>
                <w:u w:val="none" w:color="auto"/>
                <w:vertAlign w:val="baseline"/>
                <w:lang w:val="en-US" w:eastAsia="zh-CN"/>
              </w:rPr>
              <w:t>2021</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sz w:val="28"/>
                <w:szCs w:val="28"/>
                <w:u w:val="none" w:color="auto"/>
                <w:vertAlign w:val="baseline"/>
                <w:lang w:val="en-US" w:eastAsia="zh-CN"/>
              </w:rPr>
            </w:pPr>
            <w:r>
              <w:rPr>
                <w:rFonts w:hint="eastAsia" w:ascii="仿宋_GB2312" w:hAnsi="仿宋_GB2312" w:eastAsia="仿宋_GB2312" w:cs="仿宋_GB2312"/>
                <w:color w:val="auto"/>
                <w:spacing w:val="0"/>
                <w:sz w:val="28"/>
                <w:szCs w:val="28"/>
                <w:u w:val="none" w:color="auto"/>
                <w:vertAlign w:val="baseline"/>
                <w:lang w:val="en-US" w:eastAsia="zh-CN"/>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76"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4</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74" w:firstLineChars="200"/>
              <w:jc w:val="both"/>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color w:val="auto"/>
                <w:kern w:val="2"/>
                <w:sz w:val="28"/>
                <w:szCs w:val="28"/>
                <w:u w:val="none" w:color="auto"/>
                <w:lang w:val="en-US" w:eastAsia="zh-CN" w:bidi="ar-SA"/>
              </w:rPr>
              <w:t>推动各级各部门完善并公布实行告知承诺制事项清单和证明事项保留清单。</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省司法厅</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2021</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21"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5</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74" w:firstLineChars="200"/>
              <w:jc w:val="both"/>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color w:val="auto"/>
                <w:kern w:val="2"/>
                <w:sz w:val="28"/>
                <w:szCs w:val="28"/>
                <w:u w:val="none" w:color="auto"/>
                <w:lang w:val="en-US" w:eastAsia="zh-CN" w:bidi="ar-SA"/>
              </w:rPr>
              <w:t>推动涉及我省的129项高频政务服务事项实现跨省通办</w:t>
            </w:r>
            <w:r>
              <w:rPr>
                <w:rFonts w:hint="eastAsia" w:ascii="仿宋_GB2312" w:hAnsi="仿宋_GB2312" w:eastAsia="仿宋_GB2312" w:cs="仿宋_GB2312"/>
                <w:color w:val="auto"/>
                <w:spacing w:val="0"/>
                <w:kern w:val="2"/>
                <w:sz w:val="28"/>
                <w:szCs w:val="28"/>
                <w:u w:val="none" w:color="auto"/>
                <w:lang w:val="en-US" w:eastAsia="zh-CN" w:bidi="ar-SA"/>
              </w:rPr>
              <w:t>。</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kern w:val="2"/>
                <w:sz w:val="28"/>
                <w:szCs w:val="28"/>
                <w:u w:val="none" w:color="auto"/>
                <w:vertAlign w:val="baseline"/>
                <w:lang w:val="en-US" w:eastAsia="zh-CN" w:bidi="ar-SA"/>
              </w:rPr>
            </w:pPr>
            <w:r>
              <w:rPr>
                <w:rFonts w:hint="eastAsia" w:ascii="仿宋_GB2312" w:hAnsi="仿宋_GB2312" w:eastAsia="仿宋_GB2312" w:cs="仿宋_GB2312"/>
                <w:color w:val="auto"/>
                <w:spacing w:val="-11"/>
                <w:kern w:val="2"/>
                <w:sz w:val="28"/>
                <w:szCs w:val="28"/>
                <w:u w:val="none" w:color="auto"/>
                <w:vertAlign w:val="baseline"/>
                <w:lang w:val="en-US" w:eastAsia="zh-CN" w:bidi="ar-SA"/>
              </w:rPr>
              <w:t>省审改办、</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11"/>
                <w:kern w:val="2"/>
                <w:sz w:val="28"/>
                <w:szCs w:val="28"/>
                <w:u w:val="none" w:color="auto"/>
                <w:vertAlign w:val="baseline"/>
                <w:lang w:val="en-US" w:eastAsia="zh-CN" w:bidi="ar-SA"/>
              </w:rPr>
              <w:t>数字办</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2021</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6</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74" w:firstLineChars="200"/>
              <w:jc w:val="both"/>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color w:val="auto"/>
                <w:kern w:val="2"/>
                <w:sz w:val="28"/>
                <w:szCs w:val="28"/>
                <w:u w:val="none" w:color="auto"/>
                <w:lang w:val="en-US" w:eastAsia="zh-CN" w:bidi="ar-SA"/>
              </w:rPr>
              <w:t>围绕企业全生命周期和群众</w:t>
            </w:r>
            <w:r>
              <w:rPr>
                <w:rFonts w:hint="eastAsia" w:ascii="仿宋_GB2312" w:hAnsi="仿宋_GB2312" w:cs="仿宋_GB2312"/>
                <w:color w:val="auto"/>
                <w:kern w:val="2"/>
                <w:sz w:val="28"/>
                <w:szCs w:val="28"/>
                <w:u w:val="none" w:color="auto"/>
                <w:lang w:val="en-US" w:eastAsia="zh-CN" w:bidi="ar-SA"/>
              </w:rPr>
              <w:t>需求</w:t>
            </w:r>
            <w:r>
              <w:rPr>
                <w:rFonts w:hint="eastAsia" w:ascii="仿宋_GB2312" w:hAnsi="仿宋_GB2312" w:eastAsia="仿宋_GB2312" w:cs="仿宋_GB2312"/>
                <w:color w:val="auto"/>
                <w:kern w:val="2"/>
                <w:sz w:val="28"/>
                <w:szCs w:val="28"/>
                <w:u w:val="none" w:color="auto"/>
                <w:lang w:val="en-US" w:eastAsia="zh-CN" w:bidi="ar-SA"/>
              </w:rPr>
              <w:t>，省级层面再推出一批“一件事”集成套餐服务</w:t>
            </w:r>
            <w:r>
              <w:rPr>
                <w:rFonts w:hint="eastAsia" w:ascii="仿宋_GB2312" w:hAnsi="仿宋_GB2312" w:eastAsia="仿宋_GB2312" w:cs="仿宋_GB2312"/>
                <w:color w:val="auto"/>
                <w:spacing w:val="0"/>
                <w:kern w:val="2"/>
                <w:sz w:val="28"/>
                <w:szCs w:val="28"/>
                <w:u w:val="none" w:color="auto"/>
                <w:lang w:val="en-US" w:eastAsia="zh-CN" w:bidi="ar-SA"/>
              </w:rPr>
              <w:t>。</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kern w:val="2"/>
                <w:sz w:val="28"/>
                <w:szCs w:val="28"/>
                <w:u w:val="none" w:color="auto"/>
                <w:vertAlign w:val="baseline"/>
                <w:lang w:val="en-US" w:eastAsia="zh-CN" w:bidi="ar-SA"/>
              </w:rPr>
            </w:pPr>
            <w:r>
              <w:rPr>
                <w:rFonts w:hint="eastAsia" w:ascii="仿宋_GB2312" w:hAnsi="仿宋_GB2312" w:eastAsia="仿宋_GB2312" w:cs="仿宋_GB2312"/>
                <w:color w:val="auto"/>
                <w:spacing w:val="-11"/>
                <w:kern w:val="2"/>
                <w:sz w:val="28"/>
                <w:szCs w:val="28"/>
                <w:u w:val="none" w:color="auto"/>
                <w:vertAlign w:val="baseline"/>
                <w:lang w:val="en-US" w:eastAsia="zh-CN" w:bidi="ar-SA"/>
              </w:rPr>
              <w:t>省审改办、</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11"/>
                <w:kern w:val="2"/>
                <w:sz w:val="28"/>
                <w:szCs w:val="28"/>
                <w:u w:val="none" w:color="auto"/>
                <w:vertAlign w:val="baseline"/>
                <w:lang w:val="en-US" w:eastAsia="zh-CN" w:bidi="ar-SA"/>
              </w:rPr>
              <w:t>数字办</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2021</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7</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firstLine="574" w:firstLineChars="200"/>
              <w:jc w:val="both"/>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color w:val="auto"/>
                <w:kern w:val="2"/>
                <w:sz w:val="28"/>
                <w:szCs w:val="28"/>
                <w:u w:val="none" w:color="auto"/>
                <w:lang w:val="en-US" w:eastAsia="zh-CN" w:bidi="ar-SA"/>
              </w:rPr>
              <w:t>完成省网上办事大厅老年人服务专区和闽政通老年人版建设</w:t>
            </w:r>
            <w:r>
              <w:rPr>
                <w:rFonts w:hint="eastAsia" w:ascii="仿宋_GB2312" w:hAnsi="仿宋_GB2312" w:eastAsia="仿宋_GB2312" w:cs="仿宋_GB2312"/>
                <w:color w:val="auto"/>
                <w:spacing w:val="0"/>
                <w:kern w:val="2"/>
                <w:sz w:val="28"/>
                <w:szCs w:val="28"/>
                <w:u w:val="none" w:color="auto"/>
                <w:lang w:val="en-US" w:eastAsia="zh-CN" w:bidi="ar-SA"/>
              </w:rPr>
              <w:t>。</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省数字办</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2021</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8</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firstLine="574" w:firstLineChars="200"/>
              <w:jc w:val="both"/>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color w:val="auto"/>
                <w:kern w:val="2"/>
                <w:sz w:val="28"/>
                <w:szCs w:val="28"/>
                <w:u w:val="none" w:color="auto"/>
                <w:lang w:val="en-US" w:eastAsia="zh-CN" w:bidi="ar-SA"/>
              </w:rPr>
              <w:t>制定一批我省政务服务改革地方性标准</w:t>
            </w:r>
            <w:r>
              <w:rPr>
                <w:rFonts w:hint="eastAsia" w:ascii="仿宋_GB2312" w:hAnsi="仿宋_GB2312" w:eastAsia="仿宋_GB2312" w:cs="仿宋_GB2312"/>
                <w:color w:val="auto"/>
                <w:spacing w:val="0"/>
                <w:kern w:val="2"/>
                <w:sz w:val="28"/>
                <w:szCs w:val="28"/>
                <w:u w:val="none" w:color="auto"/>
                <w:lang w:val="en-US" w:eastAsia="zh-CN" w:bidi="ar-SA"/>
              </w:rPr>
              <w:t>。</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省审改办、</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市场监管局</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2022</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80"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黑体" w:hAnsi="黑体" w:eastAsia="黑体" w:cs="黑体"/>
                <w:b w:val="0"/>
                <w:bCs w:val="0"/>
                <w:color w:val="auto"/>
                <w:spacing w:val="0"/>
                <w:kern w:val="2"/>
                <w:sz w:val="28"/>
                <w:szCs w:val="28"/>
                <w:u w:val="none" w:color="auto"/>
                <w:vertAlign w:val="baseline"/>
                <w:lang w:val="en-US" w:eastAsia="zh-CN" w:bidi="ar-SA"/>
              </w:rPr>
            </w:pPr>
            <w:r>
              <w:rPr>
                <w:rFonts w:hint="eastAsia" w:ascii="黑体" w:hAnsi="黑体" w:eastAsia="黑体" w:cs="黑体"/>
                <w:b w:val="0"/>
                <w:bCs w:val="0"/>
                <w:color w:val="auto"/>
                <w:spacing w:val="0"/>
                <w:kern w:val="2"/>
                <w:sz w:val="28"/>
                <w:szCs w:val="28"/>
                <w:u w:val="none" w:color="auto"/>
                <w:vertAlign w:val="baseline"/>
                <w:lang w:val="en-US" w:eastAsia="zh-CN" w:bidi="ar-SA"/>
              </w:rPr>
              <w:t>七</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74" w:firstLineChars="200"/>
              <w:jc w:val="both"/>
              <w:textAlignment w:val="auto"/>
              <w:outlineLvl w:val="9"/>
              <w:rPr>
                <w:rFonts w:hint="eastAsia" w:ascii="黑体" w:hAnsi="黑体" w:eastAsia="黑体" w:cs="黑体"/>
                <w:b w:val="0"/>
                <w:bCs w:val="0"/>
                <w:color w:val="auto"/>
                <w:spacing w:val="0"/>
                <w:kern w:val="2"/>
                <w:sz w:val="28"/>
                <w:szCs w:val="28"/>
                <w:u w:val="none" w:color="auto"/>
                <w:lang w:val="en-US" w:eastAsia="zh-CN" w:bidi="ar-SA"/>
              </w:rPr>
            </w:pPr>
            <w:r>
              <w:rPr>
                <w:rFonts w:hint="eastAsia" w:ascii="黑体" w:hAnsi="黑体" w:eastAsia="黑体" w:cs="黑体"/>
                <w:color w:val="auto"/>
                <w:kern w:val="2"/>
                <w:sz w:val="28"/>
                <w:szCs w:val="28"/>
                <w:u w:val="none" w:color="auto"/>
                <w:lang w:val="en-US" w:eastAsia="zh-CN" w:bidi="ar-SA"/>
              </w:rPr>
              <w:t>进一步创新和完善市场监管</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黑体" w:hAnsi="黑体" w:eastAsia="黑体" w:cs="黑体"/>
                <w:b w:val="0"/>
                <w:bCs w:val="0"/>
                <w:color w:val="auto"/>
                <w:spacing w:val="0"/>
                <w:kern w:val="2"/>
                <w:sz w:val="28"/>
                <w:szCs w:val="28"/>
                <w:u w:val="none" w:color="auto"/>
                <w:vertAlign w:val="baseline"/>
                <w:lang w:val="en-US" w:eastAsia="zh-CN" w:bidi="ar-SA"/>
              </w:rPr>
            </w:pP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黑体" w:hAnsi="黑体" w:eastAsia="黑体" w:cs="黑体"/>
                <w:b w:val="0"/>
                <w:bCs w:val="0"/>
                <w:color w:val="auto"/>
                <w:spacing w:val="0"/>
                <w:kern w:val="2"/>
                <w:sz w:val="28"/>
                <w:szCs w:val="28"/>
                <w:u w:val="none" w:color="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90"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1</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74" w:firstLineChars="200"/>
              <w:jc w:val="both"/>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color w:val="auto"/>
                <w:kern w:val="2"/>
                <w:sz w:val="28"/>
                <w:szCs w:val="28"/>
                <w:u w:val="none" w:color="auto"/>
                <w:lang w:val="en-US" w:eastAsia="zh-CN" w:bidi="ar-SA"/>
              </w:rPr>
              <w:t>规范行政审批服务事项下放（委托）程序，落实合法性审查和承接能力评估</w:t>
            </w:r>
            <w:r>
              <w:rPr>
                <w:rFonts w:hint="eastAsia" w:ascii="仿宋_GB2312" w:hAnsi="仿宋_GB2312" w:eastAsia="仿宋_GB2312" w:cs="仿宋_GB2312"/>
                <w:color w:val="auto"/>
                <w:spacing w:val="0"/>
                <w:kern w:val="2"/>
                <w:sz w:val="28"/>
                <w:szCs w:val="28"/>
                <w:u w:val="none" w:color="auto"/>
                <w:lang w:val="en-US" w:eastAsia="zh-CN" w:bidi="ar-SA"/>
              </w:rPr>
              <w:t>。</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11"/>
                <w:kern w:val="2"/>
                <w:sz w:val="28"/>
                <w:szCs w:val="28"/>
                <w:u w:val="none" w:color="auto"/>
                <w:vertAlign w:val="baseline"/>
                <w:lang w:val="en-US" w:eastAsia="zh-CN" w:bidi="ar-SA"/>
              </w:rPr>
            </w:pPr>
            <w:r>
              <w:rPr>
                <w:rFonts w:hint="eastAsia" w:ascii="仿宋_GB2312" w:hAnsi="仿宋_GB2312" w:eastAsia="仿宋_GB2312" w:cs="仿宋_GB2312"/>
                <w:color w:val="auto"/>
                <w:spacing w:val="-11"/>
                <w:kern w:val="2"/>
                <w:sz w:val="28"/>
                <w:szCs w:val="28"/>
                <w:u w:val="none" w:color="auto"/>
                <w:vertAlign w:val="baseline"/>
                <w:lang w:val="en-US" w:eastAsia="zh-CN" w:bidi="ar-SA"/>
              </w:rPr>
              <w:t>省审改办、</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11"/>
                <w:kern w:val="2"/>
                <w:sz w:val="28"/>
                <w:szCs w:val="28"/>
                <w:u w:val="none" w:color="auto"/>
                <w:vertAlign w:val="baseline"/>
                <w:lang w:val="en-US" w:eastAsia="zh-CN" w:bidi="ar-SA"/>
              </w:rPr>
              <w:t>司法厅</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2021</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748"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2</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74" w:firstLineChars="200"/>
              <w:jc w:val="both"/>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color w:val="auto"/>
                <w:kern w:val="2"/>
                <w:sz w:val="28"/>
                <w:szCs w:val="28"/>
                <w:u w:val="none" w:color="auto"/>
                <w:lang w:val="en-US" w:eastAsia="zh-CN" w:bidi="ar-SA"/>
              </w:rPr>
              <w:t>梳理编制我省生态环境保护、交通运输、市场监管等领域的综合行政执法事项目录，明确各级监管部门的监管执法职责和责任分工</w:t>
            </w:r>
            <w:r>
              <w:rPr>
                <w:rFonts w:hint="eastAsia" w:ascii="仿宋_GB2312" w:hAnsi="仿宋_GB2312" w:eastAsia="仿宋_GB2312" w:cs="仿宋_GB2312"/>
                <w:color w:val="auto"/>
                <w:spacing w:val="0"/>
                <w:kern w:val="2"/>
                <w:sz w:val="28"/>
                <w:szCs w:val="28"/>
                <w:u w:val="none" w:color="auto"/>
                <w:lang w:val="en-US" w:eastAsia="zh-CN" w:bidi="ar-SA"/>
              </w:rPr>
              <w:t>。</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省委编办，</w:t>
            </w:r>
            <w:r>
              <w:rPr>
                <w:rFonts w:hint="eastAsia" w:ascii="仿宋_GB2312" w:hAnsi="仿宋_GB2312" w:cs="仿宋_GB2312"/>
                <w:color w:val="auto"/>
                <w:spacing w:val="0"/>
                <w:kern w:val="2"/>
                <w:sz w:val="28"/>
                <w:szCs w:val="28"/>
                <w:u w:val="none" w:color="auto"/>
                <w:vertAlign w:val="baseline"/>
                <w:lang w:val="en-US" w:eastAsia="zh-CN" w:bidi="ar-SA"/>
              </w:rPr>
              <w:t>省</w:t>
            </w:r>
            <w:r>
              <w:rPr>
                <w:rFonts w:hint="eastAsia" w:ascii="仿宋_GB2312" w:hAnsi="仿宋_GB2312" w:eastAsia="仿宋_GB2312" w:cs="仿宋_GB2312"/>
                <w:color w:val="auto"/>
                <w:spacing w:val="0"/>
                <w:kern w:val="2"/>
                <w:sz w:val="28"/>
                <w:szCs w:val="28"/>
                <w:u w:val="none" w:color="auto"/>
                <w:vertAlign w:val="baseline"/>
                <w:lang w:val="en-US" w:eastAsia="zh-CN" w:bidi="ar-SA"/>
              </w:rPr>
              <w:t>生态环境厅、交通运输厅、市场监管局</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2021</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8"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3</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74" w:firstLineChars="200"/>
              <w:jc w:val="both"/>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cs="仿宋_GB2312"/>
                <w:sz w:val="28"/>
                <w:szCs w:val="28"/>
                <w:u w:val="none" w:color="auto"/>
                <w:lang w:eastAsia="zh-CN"/>
              </w:rPr>
              <w:t>完善</w:t>
            </w:r>
            <w:r>
              <w:rPr>
                <w:rFonts w:hint="eastAsia" w:ascii="仿宋_GB2312" w:hAnsi="仿宋_GB2312" w:eastAsia="仿宋_GB2312" w:cs="仿宋_GB2312"/>
                <w:sz w:val="28"/>
                <w:szCs w:val="28"/>
                <w:u w:val="none" w:color="auto"/>
              </w:rPr>
              <w:t>省“互联网+监管”系统</w:t>
            </w:r>
            <w:r>
              <w:rPr>
                <w:rFonts w:hint="eastAsia" w:ascii="仿宋_GB2312" w:hAnsi="仿宋_GB2312" w:cs="仿宋_GB2312"/>
                <w:sz w:val="28"/>
                <w:szCs w:val="28"/>
                <w:u w:val="none" w:color="auto"/>
                <w:lang w:eastAsia="zh-CN"/>
              </w:rPr>
              <w:t>建设，</w:t>
            </w:r>
            <w:r>
              <w:rPr>
                <w:rFonts w:hint="eastAsia" w:ascii="仿宋_GB2312" w:hAnsi="仿宋_GB2312" w:eastAsia="仿宋_GB2312" w:cs="仿宋_GB2312"/>
                <w:color w:val="auto"/>
                <w:sz w:val="28"/>
                <w:szCs w:val="28"/>
                <w:u w:val="none" w:color="auto"/>
                <w:lang w:val="en-US" w:eastAsia="zh-CN"/>
              </w:rPr>
              <w:t>建立健全管理制度，</w:t>
            </w:r>
            <w:r>
              <w:rPr>
                <w:rFonts w:hint="eastAsia" w:ascii="仿宋_GB2312" w:hAnsi="仿宋_GB2312" w:eastAsia="仿宋_GB2312" w:cs="仿宋_GB2312"/>
                <w:b w:val="0"/>
                <w:bCs/>
                <w:strike w:val="0"/>
                <w:dstrike w:val="0"/>
                <w:color w:val="auto"/>
                <w:sz w:val="28"/>
                <w:szCs w:val="28"/>
                <w:u w:val="none" w:color="auto"/>
                <w:lang w:val="en-US" w:eastAsia="zh-CN"/>
              </w:rPr>
              <w:t>优化提升</w:t>
            </w:r>
            <w:r>
              <w:rPr>
                <w:rFonts w:hint="eastAsia" w:ascii="仿宋_GB2312" w:hAnsi="仿宋_GB2312" w:eastAsia="仿宋_GB2312" w:cs="仿宋_GB2312"/>
                <w:color w:val="auto"/>
                <w:sz w:val="28"/>
                <w:szCs w:val="28"/>
                <w:u w:val="none" w:color="auto"/>
                <w:lang w:val="en-US" w:eastAsia="zh-CN"/>
              </w:rPr>
              <w:t>“互</w:t>
            </w:r>
            <w:r>
              <w:rPr>
                <w:rFonts w:hint="eastAsia" w:ascii="仿宋_GB2312" w:hAnsi="仿宋_GB2312" w:eastAsia="仿宋_GB2312" w:cs="仿宋_GB2312"/>
                <w:b w:val="0"/>
                <w:bCs/>
                <w:color w:val="auto"/>
                <w:sz w:val="28"/>
                <w:szCs w:val="28"/>
                <w:u w:val="none" w:color="auto"/>
                <w:lang w:val="en-US" w:eastAsia="zh-CN"/>
              </w:rPr>
              <w:t>联网+监管”系统功能，</w:t>
            </w:r>
            <w:r>
              <w:rPr>
                <w:rFonts w:hint="eastAsia" w:ascii="仿宋_GB2312" w:hAnsi="仿宋_GB2312" w:eastAsia="仿宋_GB2312" w:cs="仿宋_GB2312"/>
                <w:b w:val="0"/>
                <w:bCs/>
                <w:color w:val="auto"/>
                <w:sz w:val="28"/>
                <w:szCs w:val="28"/>
                <w:u w:val="none" w:color="auto"/>
              </w:rPr>
              <w:t>加强大数据综合分析能力</w:t>
            </w:r>
            <w:r>
              <w:rPr>
                <w:rFonts w:hint="eastAsia" w:ascii="仿宋_GB2312" w:hAnsi="仿宋_GB2312" w:eastAsia="仿宋_GB2312" w:cs="仿宋_GB2312"/>
                <w:sz w:val="28"/>
                <w:szCs w:val="28"/>
                <w:u w:val="none" w:color="auto"/>
              </w:rPr>
              <w:t>，推动各行业监管部门依托省“互联网+监管”系统开展应用</w:t>
            </w:r>
            <w:r>
              <w:rPr>
                <w:rFonts w:hint="eastAsia" w:ascii="仿宋_GB2312" w:hAnsi="仿宋_GB2312" w:eastAsia="仿宋_GB2312" w:cs="仿宋_GB2312"/>
                <w:b w:val="0"/>
                <w:bCs/>
                <w:color w:val="auto"/>
                <w:sz w:val="28"/>
                <w:szCs w:val="28"/>
                <w:u w:val="none" w:color="auto"/>
              </w:rPr>
              <w:t>。</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省审改办、</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市场监管局、</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司法厅、</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数字办</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2021</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0"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4</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574" w:firstLineChars="200"/>
              <w:jc w:val="both"/>
              <w:textAlignment w:val="auto"/>
              <w:outlineLvl w:val="9"/>
              <w:rPr>
                <w:rFonts w:hint="eastAsia" w:ascii="Calibri" w:hAnsi="Calibri" w:eastAsia="仿宋_GB2312" w:cs="Times New Roman"/>
                <w:bCs/>
                <w:color w:val="auto"/>
                <w:spacing w:val="0"/>
                <w:kern w:val="0"/>
                <w:sz w:val="28"/>
                <w:szCs w:val="28"/>
                <w:u w:val="none" w:color="auto"/>
                <w:lang w:val="zh-CN" w:eastAsia="zh-CN" w:bidi="ar-SA"/>
              </w:rPr>
            </w:pPr>
            <w:r>
              <w:rPr>
                <w:rFonts w:hint="eastAsia" w:ascii="Calibri" w:hAnsi="Calibri" w:eastAsia="仿宋_GB2312" w:cs="Times New Roman"/>
                <w:bCs/>
                <w:color w:val="auto"/>
                <w:kern w:val="0"/>
                <w:sz w:val="28"/>
                <w:szCs w:val="28"/>
                <w:u w:val="none" w:color="auto"/>
                <w:lang w:val="zh-CN" w:eastAsia="zh-CN" w:bidi="ar-SA"/>
              </w:rPr>
              <w:t>开展危化品、水泥等生产企业产品质量安全信用风险分级分类监管试点工作</w:t>
            </w:r>
            <w:r>
              <w:rPr>
                <w:rFonts w:hint="eastAsia" w:ascii="Calibri" w:hAnsi="Calibri" w:eastAsia="仿宋_GB2312" w:cs="Times New Roman"/>
                <w:bCs/>
                <w:color w:val="auto"/>
                <w:spacing w:val="0"/>
                <w:kern w:val="0"/>
                <w:sz w:val="28"/>
                <w:szCs w:val="28"/>
                <w:u w:val="none" w:color="auto"/>
                <w:lang w:val="zh-CN" w:eastAsia="zh-CN" w:bidi="ar-SA"/>
              </w:rPr>
              <w:t>。</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省市场监管局</w:t>
            </w:r>
          </w:p>
        </w:tc>
        <w:tc>
          <w:tcPr>
            <w:tcW w:w="1463" w:type="dxa"/>
            <w:noWrap w:val="0"/>
            <w:vAlign w:val="center"/>
          </w:tcPr>
          <w:p>
            <w:pPr>
              <w:widowControl w:val="0"/>
              <w:spacing w:line="320" w:lineRule="exact"/>
              <w:ind w:firstLine="0" w:firstLineChars="0"/>
              <w:jc w:val="center"/>
              <w:rPr>
                <w:rFonts w:hint="eastAsia" w:ascii="仿宋_GB2312" w:hAnsi="仿宋_GB2312" w:eastAsia="仿宋_GB2312" w:cs="仿宋_GB2312"/>
                <w:color w:val="auto"/>
                <w:kern w:val="2"/>
                <w:sz w:val="28"/>
                <w:szCs w:val="28"/>
                <w:u w:val="none" w:color="auto"/>
                <w:lang w:val="en-US" w:eastAsia="zh-CN" w:bidi="ar-SA"/>
              </w:rPr>
            </w:pPr>
            <w:r>
              <w:rPr>
                <w:rFonts w:hint="eastAsia" w:ascii="仿宋_GB2312" w:hAnsi="仿宋_GB2312" w:eastAsia="仿宋_GB2312" w:cs="仿宋_GB2312"/>
                <w:color w:val="auto"/>
                <w:kern w:val="2"/>
                <w:sz w:val="28"/>
                <w:szCs w:val="28"/>
                <w:u w:val="none" w:color="auto"/>
                <w:lang w:val="en-US" w:eastAsia="zh-CN" w:bidi="ar-SA"/>
              </w:rPr>
              <w:t>2021</w:t>
            </w:r>
          </w:p>
          <w:p>
            <w:pPr>
              <w:widowControl w:val="0"/>
              <w:spacing w:line="320" w:lineRule="exact"/>
              <w:ind w:firstLine="0" w:firstLineChars="0"/>
              <w:jc w:val="center"/>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kern w:val="2"/>
                <w:sz w:val="28"/>
                <w:szCs w:val="28"/>
                <w:u w:val="none" w:color="auto"/>
                <w:lang w:val="en-US" w:eastAsia="zh-CN" w:bidi="ar-SA"/>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25"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5</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574" w:firstLineChars="200"/>
              <w:jc w:val="both"/>
              <w:textAlignment w:val="auto"/>
              <w:outlineLvl w:val="9"/>
              <w:rPr>
                <w:rFonts w:hint="eastAsia" w:ascii="仿宋_GB2312" w:hAnsi="仿宋_GB2312" w:eastAsia="仿宋_GB2312" w:cs="仿宋_GB2312"/>
                <w:color w:val="auto"/>
                <w:spacing w:val="0"/>
                <w:kern w:val="2"/>
                <w:sz w:val="28"/>
                <w:szCs w:val="28"/>
                <w:u w:val="none" w:color="auto"/>
                <w:lang w:val="en-US" w:eastAsia="zh-CN" w:bidi="ar-SA"/>
              </w:rPr>
            </w:pPr>
            <w:r>
              <w:rPr>
                <w:rFonts w:hint="eastAsia" w:ascii="仿宋_GB2312" w:hAnsi="仿宋_GB2312" w:eastAsia="仿宋_GB2312" w:cs="仿宋_GB2312"/>
                <w:color w:val="auto"/>
                <w:kern w:val="2"/>
                <w:sz w:val="28"/>
                <w:szCs w:val="28"/>
                <w:u w:val="none" w:color="auto"/>
                <w:lang w:val="en-US" w:eastAsia="zh-CN" w:bidi="ar-SA"/>
              </w:rPr>
              <w:t>推动各部门制定轻微违法行为不予行政处罚事项清单</w:t>
            </w:r>
            <w:r>
              <w:rPr>
                <w:rFonts w:hint="eastAsia" w:ascii="仿宋_GB2312" w:hAnsi="仿宋_GB2312" w:eastAsia="仿宋_GB2312" w:cs="仿宋_GB2312"/>
                <w:color w:val="auto"/>
                <w:spacing w:val="0"/>
                <w:kern w:val="2"/>
                <w:sz w:val="28"/>
                <w:szCs w:val="28"/>
                <w:u w:val="none" w:color="auto"/>
                <w:lang w:val="en-US" w:eastAsia="zh-CN" w:bidi="ar-SA"/>
              </w:rPr>
              <w:t>。</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省司法厅</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2021</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15"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黑体" w:hAnsi="黑体" w:eastAsia="黑体" w:cs="黑体"/>
                <w:color w:val="auto"/>
                <w:kern w:val="2"/>
                <w:sz w:val="28"/>
                <w:szCs w:val="28"/>
                <w:u w:val="none" w:color="auto"/>
                <w:lang w:val="en" w:eastAsia="zh-CN" w:bidi="ar-SA"/>
              </w:rPr>
            </w:pPr>
            <w:r>
              <w:rPr>
                <w:rFonts w:hint="eastAsia" w:ascii="黑体" w:hAnsi="黑体" w:eastAsia="黑体" w:cs="黑体"/>
                <w:color w:val="auto"/>
                <w:kern w:val="2"/>
                <w:sz w:val="28"/>
                <w:szCs w:val="28"/>
                <w:u w:val="none" w:color="auto"/>
                <w:lang w:val="en" w:eastAsia="zh-CN" w:bidi="ar-SA"/>
              </w:rPr>
              <w:t>八</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74" w:firstLineChars="200"/>
              <w:jc w:val="both"/>
              <w:textAlignment w:val="auto"/>
              <w:outlineLvl w:val="9"/>
              <w:rPr>
                <w:rFonts w:hint="eastAsia" w:ascii="黑体" w:hAnsi="黑体" w:eastAsia="黑体" w:cs="黑体"/>
                <w:color w:val="auto"/>
                <w:kern w:val="2"/>
                <w:sz w:val="28"/>
                <w:szCs w:val="28"/>
                <w:u w:val="none" w:color="auto"/>
                <w:lang w:val="en-US" w:eastAsia="zh-CN" w:bidi="ar-SA"/>
              </w:rPr>
            </w:pPr>
            <w:r>
              <w:rPr>
                <w:rFonts w:hint="eastAsia" w:ascii="黑体" w:hAnsi="黑体" w:eastAsia="黑体" w:cs="黑体"/>
                <w:color w:val="auto"/>
                <w:kern w:val="2"/>
                <w:sz w:val="28"/>
                <w:szCs w:val="28"/>
                <w:u w:val="none" w:color="auto"/>
                <w:lang w:val="en-US" w:eastAsia="zh-CN" w:bidi="ar-SA"/>
              </w:rPr>
              <w:t>加强督促检查，确保各项任务完成</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35"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1</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eastAsia" w:ascii="Calibri" w:hAnsi="Calibri" w:eastAsia="仿宋_GB2312" w:cs="Times New Roman"/>
                <w:bCs/>
                <w:color w:val="auto"/>
                <w:kern w:val="0"/>
                <w:sz w:val="28"/>
                <w:szCs w:val="28"/>
                <w:u w:val="none" w:color="auto"/>
                <w:lang w:val="en-US" w:eastAsia="zh-CN" w:bidi="ar-SA"/>
              </w:rPr>
            </w:pPr>
            <w:r>
              <w:rPr>
                <w:rFonts w:hint="eastAsia" w:ascii="Calibri" w:hAnsi="Calibri" w:cs="Times New Roman"/>
                <w:bCs/>
                <w:color w:val="auto"/>
                <w:kern w:val="0"/>
                <w:sz w:val="28"/>
                <w:szCs w:val="28"/>
                <w:u w:val="none" w:color="auto"/>
                <w:lang w:val="en-US" w:eastAsia="zh-CN" w:bidi="ar-SA"/>
              </w:rPr>
              <w:t xml:space="preserve">    </w:t>
            </w:r>
            <w:r>
              <w:rPr>
                <w:rFonts w:hint="eastAsia" w:ascii="Calibri" w:hAnsi="Calibri" w:eastAsia="仿宋_GB2312" w:cs="Times New Roman"/>
                <w:bCs/>
                <w:color w:val="auto"/>
                <w:kern w:val="0"/>
                <w:sz w:val="28"/>
                <w:szCs w:val="28"/>
                <w:u w:val="none" w:color="auto"/>
                <w:lang w:val="en-US" w:eastAsia="zh-CN" w:bidi="ar-SA"/>
              </w:rPr>
              <w:t>分解目标任务，明确工作责任，细化进度安排，将相关工作进展情况报送省审改办。</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cs="仿宋_GB2312"/>
                <w:color w:val="auto"/>
                <w:spacing w:val="0"/>
                <w:kern w:val="2"/>
                <w:sz w:val="28"/>
                <w:szCs w:val="28"/>
                <w:u w:val="none" w:color="auto"/>
                <w:vertAlign w:val="baseline"/>
                <w:lang w:val="en-US" w:eastAsia="zh-CN" w:bidi="ar-SA"/>
              </w:rPr>
              <w:t>各省级牵头单位</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cs="仿宋_GB2312"/>
                <w:color w:val="auto"/>
                <w:spacing w:val="0"/>
                <w:kern w:val="2"/>
                <w:sz w:val="28"/>
                <w:szCs w:val="28"/>
                <w:u w:val="none" w:color="auto"/>
                <w:vertAlign w:val="baseline"/>
                <w:lang w:val="en-US" w:eastAsia="zh-CN" w:bidi="ar-SA"/>
              </w:rPr>
              <w:t>2021年</w:t>
            </w:r>
            <w:r>
              <w:rPr>
                <w:rFonts w:hint="eastAsia" w:ascii="仿宋_GB2312" w:hAnsi="仿宋_GB2312" w:eastAsia="仿宋_GB2312" w:cs="仿宋_GB2312"/>
                <w:color w:val="auto"/>
                <w:spacing w:val="0"/>
                <w:kern w:val="2"/>
                <w:sz w:val="28"/>
                <w:szCs w:val="28"/>
                <w:u w:val="none" w:color="auto"/>
                <w:vertAlign w:val="baseline"/>
                <w:lang w:val="en-US" w:eastAsia="zh-CN" w:bidi="ar-SA"/>
              </w:rPr>
              <w:t>和</w:t>
            </w:r>
            <w:r>
              <w:rPr>
                <w:rFonts w:hint="eastAsia" w:ascii="仿宋_GB2312" w:hAnsi="仿宋_GB2312" w:cs="仿宋_GB2312"/>
                <w:color w:val="auto"/>
                <w:spacing w:val="0"/>
                <w:kern w:val="2"/>
                <w:sz w:val="28"/>
                <w:szCs w:val="28"/>
                <w:u w:val="none" w:color="auto"/>
                <w:vertAlign w:val="baseline"/>
                <w:lang w:val="en-US" w:eastAsia="zh-CN" w:bidi="ar-SA"/>
              </w:rPr>
              <w:t>2022年年</w:t>
            </w:r>
            <w:r>
              <w:rPr>
                <w:rFonts w:hint="eastAsia" w:ascii="仿宋_GB2312" w:hAnsi="仿宋_GB2312" w:eastAsia="仿宋_GB2312" w:cs="仿宋_GB2312"/>
                <w:color w:val="auto"/>
                <w:spacing w:val="0"/>
                <w:kern w:val="2"/>
                <w:sz w:val="28"/>
                <w:szCs w:val="28"/>
                <w:u w:val="none" w:color="auto"/>
                <w:vertAlign w:val="baseline"/>
                <w:lang w:val="en-US" w:eastAsia="zh-CN" w:bidi="ar-SA"/>
              </w:rPr>
              <w:t>底</w:t>
            </w:r>
            <w:r>
              <w:rPr>
                <w:rFonts w:hint="eastAsia" w:ascii="仿宋_GB2312" w:hAnsi="仿宋_GB2312" w:cs="仿宋_GB2312"/>
                <w:color w:val="auto"/>
                <w:spacing w:val="0"/>
                <w:kern w:val="2"/>
                <w:sz w:val="28"/>
                <w:szCs w:val="28"/>
                <w:u w:val="none" w:color="auto"/>
                <w:vertAlign w:val="baseline"/>
                <w:lang w:val="en-US" w:eastAsia="zh-CN" w:bidi="ar-SA"/>
              </w:rPr>
              <w:t>前</w:t>
            </w:r>
            <w:r>
              <w:rPr>
                <w:rFonts w:hint="eastAsia" w:ascii="仿宋_GB2312" w:hAnsi="仿宋_GB2312" w:eastAsia="仿宋_GB2312" w:cs="仿宋_GB2312"/>
                <w:color w:val="auto"/>
                <w:spacing w:val="0"/>
                <w:kern w:val="2"/>
                <w:sz w:val="28"/>
                <w:szCs w:val="28"/>
                <w:u w:val="none" w:color="auto"/>
                <w:vertAlign w:val="baseline"/>
                <w:lang w:val="en-US" w:eastAsia="zh-CN" w:bidi="ar-SA"/>
              </w:rPr>
              <w:t>分别</w:t>
            </w:r>
            <w:r>
              <w:rPr>
                <w:rFonts w:hint="eastAsia" w:ascii="仿宋_GB2312" w:hAnsi="仿宋_GB2312" w:cs="仿宋_GB2312"/>
                <w:color w:val="auto"/>
                <w:spacing w:val="0"/>
                <w:kern w:val="2"/>
                <w:sz w:val="28"/>
                <w:szCs w:val="28"/>
                <w:u w:val="none" w:color="auto"/>
                <w:vertAlign w:val="baseline"/>
                <w:lang w:val="en-US" w:eastAsia="zh-CN" w:bidi="ar-SA"/>
              </w:rPr>
              <w:t>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45"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2</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eastAsia" w:ascii="Calibri" w:hAnsi="Calibri" w:eastAsia="仿宋_GB2312" w:cs="Times New Roman"/>
                <w:bCs/>
                <w:color w:val="auto"/>
                <w:kern w:val="0"/>
                <w:sz w:val="28"/>
                <w:szCs w:val="28"/>
                <w:u w:val="none" w:color="auto"/>
                <w:lang w:val="en-US" w:eastAsia="zh-CN" w:bidi="ar-SA"/>
              </w:rPr>
            </w:pPr>
            <w:r>
              <w:rPr>
                <w:rFonts w:hint="eastAsia" w:ascii="Calibri" w:hAnsi="Calibri" w:cs="Times New Roman"/>
                <w:bCs/>
                <w:color w:val="auto"/>
                <w:kern w:val="0"/>
                <w:sz w:val="28"/>
                <w:szCs w:val="28"/>
                <w:u w:val="none" w:color="auto"/>
                <w:lang w:val="en-US" w:eastAsia="zh-CN" w:bidi="ar-SA"/>
              </w:rPr>
              <w:t xml:space="preserve">    </w:t>
            </w:r>
            <w:r>
              <w:rPr>
                <w:rFonts w:hint="eastAsia" w:ascii="Calibri" w:hAnsi="Calibri" w:eastAsia="仿宋_GB2312" w:cs="Times New Roman"/>
                <w:bCs/>
                <w:color w:val="auto"/>
                <w:kern w:val="0"/>
                <w:sz w:val="28"/>
                <w:szCs w:val="28"/>
                <w:u w:val="none" w:color="auto"/>
                <w:lang w:val="en-US" w:eastAsia="zh-CN" w:bidi="ar-SA"/>
              </w:rPr>
              <w:t>加强督导检查，适时开展专项工作进展情况检查</w:t>
            </w:r>
            <w:r>
              <w:rPr>
                <w:rFonts w:hint="eastAsia" w:ascii="Calibri" w:hAnsi="Calibri" w:cs="Times New Roman"/>
                <w:bCs/>
                <w:color w:val="auto"/>
                <w:kern w:val="0"/>
                <w:sz w:val="28"/>
                <w:szCs w:val="28"/>
                <w:u w:val="none" w:color="auto"/>
                <w:lang w:val="en-US" w:eastAsia="zh-CN" w:bidi="ar-SA"/>
              </w:rPr>
              <w:t>，</w:t>
            </w:r>
            <w:r>
              <w:rPr>
                <w:rFonts w:hint="eastAsia" w:ascii="Calibri" w:hAnsi="Calibri" w:eastAsia="仿宋_GB2312" w:cs="Times New Roman"/>
                <w:bCs/>
                <w:color w:val="auto"/>
                <w:kern w:val="0"/>
                <w:sz w:val="28"/>
                <w:szCs w:val="28"/>
                <w:u w:val="none" w:color="auto"/>
                <w:lang w:val="en-US" w:eastAsia="zh-CN" w:bidi="ar-SA"/>
              </w:rPr>
              <w:t>对存在问题整改情况组织开展“回头看”。</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省审改办</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cs="仿宋_GB2312"/>
                <w:color w:val="auto"/>
                <w:spacing w:val="0"/>
                <w:kern w:val="2"/>
                <w:sz w:val="28"/>
                <w:szCs w:val="28"/>
                <w:u w:val="none" w:color="auto"/>
                <w:vertAlign w:val="baseline"/>
                <w:lang w:val="en-US" w:eastAsia="zh-CN" w:bidi="ar-SA"/>
              </w:rPr>
              <w:t>根据工作需要适时开展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05" w:hRule="atLeast"/>
          <w:jc w:val="center"/>
        </w:trPr>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eastAsia="仿宋_GB2312" w:cs="仿宋_GB2312"/>
                <w:color w:val="auto"/>
                <w:spacing w:val="0"/>
                <w:kern w:val="2"/>
                <w:sz w:val="28"/>
                <w:szCs w:val="28"/>
                <w:u w:val="none" w:color="auto"/>
                <w:vertAlign w:val="baseline"/>
                <w:lang w:val="en-US" w:eastAsia="zh-CN" w:bidi="ar-SA"/>
              </w:rPr>
              <w:t>3</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eastAsia" w:ascii="Calibri" w:hAnsi="Calibri" w:eastAsia="仿宋_GB2312" w:cs="Times New Roman"/>
                <w:bCs/>
                <w:color w:val="auto"/>
                <w:kern w:val="0"/>
                <w:sz w:val="28"/>
                <w:szCs w:val="28"/>
                <w:u w:val="none" w:color="auto"/>
                <w:lang w:val="en-US" w:eastAsia="zh-CN" w:bidi="ar-SA"/>
              </w:rPr>
            </w:pPr>
            <w:r>
              <w:rPr>
                <w:rFonts w:hint="eastAsia" w:ascii="Calibri" w:hAnsi="Calibri" w:cs="Times New Roman"/>
                <w:bCs/>
                <w:color w:val="auto"/>
                <w:kern w:val="0"/>
                <w:sz w:val="28"/>
                <w:szCs w:val="28"/>
                <w:u w:val="none" w:color="auto"/>
                <w:lang w:val="en-US" w:eastAsia="zh-CN" w:bidi="ar-SA"/>
              </w:rPr>
              <w:t xml:space="preserve">    </w:t>
            </w:r>
            <w:r>
              <w:rPr>
                <w:rFonts w:hint="eastAsia" w:ascii="Calibri" w:hAnsi="Calibri" w:eastAsia="仿宋_GB2312" w:cs="Times New Roman"/>
                <w:bCs/>
                <w:color w:val="auto"/>
                <w:kern w:val="0"/>
                <w:sz w:val="28"/>
                <w:szCs w:val="28"/>
                <w:u w:val="none" w:color="auto"/>
                <w:lang w:val="en-US" w:eastAsia="zh-CN" w:bidi="ar-SA"/>
              </w:rPr>
              <w:t>做好“放管服”改革工作年度总结和结果评估，巩固改革成效。</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cs="仿宋_GB2312"/>
                <w:color w:val="auto"/>
                <w:spacing w:val="0"/>
                <w:kern w:val="2"/>
                <w:sz w:val="28"/>
                <w:szCs w:val="28"/>
                <w:u w:val="none" w:color="auto"/>
                <w:vertAlign w:val="baseline"/>
                <w:lang w:val="en-US" w:eastAsia="zh-CN" w:bidi="ar-SA"/>
              </w:rPr>
              <w:t>省审改办</w:t>
            </w:r>
          </w:p>
        </w:tc>
        <w:tc>
          <w:tcPr>
            <w:tcW w:w="146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cs="仿宋_GB2312"/>
                <w:color w:val="auto"/>
                <w:spacing w:val="0"/>
                <w:kern w:val="2"/>
                <w:sz w:val="28"/>
                <w:szCs w:val="28"/>
                <w:u w:val="none" w:color="auto"/>
                <w:vertAlign w:val="baseline"/>
                <w:lang w:val="en-US" w:eastAsia="zh-CN" w:bidi="ar-SA"/>
              </w:rPr>
            </w:pPr>
            <w:r>
              <w:rPr>
                <w:rFonts w:hint="eastAsia" w:ascii="仿宋_GB2312" w:hAnsi="仿宋_GB2312" w:cs="仿宋_GB2312"/>
                <w:color w:val="auto"/>
                <w:spacing w:val="0"/>
                <w:kern w:val="2"/>
                <w:sz w:val="28"/>
                <w:szCs w:val="28"/>
                <w:u w:val="none" w:color="auto"/>
                <w:vertAlign w:val="baseline"/>
                <w:lang w:val="en-US" w:eastAsia="zh-CN" w:bidi="ar-SA"/>
              </w:rPr>
              <w:t>按年度</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pacing w:val="0"/>
                <w:kern w:val="2"/>
                <w:sz w:val="28"/>
                <w:szCs w:val="28"/>
                <w:u w:val="none" w:color="auto"/>
                <w:vertAlign w:val="baseline"/>
                <w:lang w:val="en-US" w:eastAsia="zh-CN" w:bidi="ar-SA"/>
              </w:rPr>
            </w:pPr>
            <w:r>
              <w:rPr>
                <w:rFonts w:hint="eastAsia" w:ascii="仿宋_GB2312" w:hAnsi="仿宋_GB2312" w:cs="仿宋_GB2312"/>
                <w:color w:val="auto"/>
                <w:spacing w:val="0"/>
                <w:kern w:val="2"/>
                <w:sz w:val="28"/>
                <w:szCs w:val="28"/>
                <w:u w:val="none" w:color="auto"/>
                <w:vertAlign w:val="baseline"/>
                <w:lang w:val="en-US" w:eastAsia="zh-CN" w:bidi="ar-SA"/>
              </w:rPr>
              <w:t>进行</w:t>
            </w:r>
          </w:p>
        </w:tc>
      </w:tr>
    </w:tbl>
    <w:p>
      <w:pPr>
        <w:keepNext w:val="0"/>
        <w:keepLines w:val="0"/>
        <w:pageBreakBefore w:val="0"/>
        <w:widowControl w:val="0"/>
        <w:kinsoku/>
        <w:overflowPunct/>
        <w:topLinePunct w:val="0"/>
        <w:autoSpaceDE/>
        <w:bidi w:val="0"/>
        <w:adjustRightInd/>
        <w:snapToGrid/>
        <w:spacing w:line="596" w:lineRule="exact"/>
        <w:ind w:left="0" w:leftChars="0" w:right="0" w:rightChars="0"/>
        <w:jc w:val="both"/>
        <w:outlineLvl w:val="9"/>
        <w:rPr>
          <w:rFonts w:hint="eastAsia"/>
          <w:lang w:val="en-US" w:eastAsia="zh-CN"/>
        </w:rPr>
      </w:pPr>
    </w:p>
    <w:p>
      <w:pPr>
        <w:tabs>
          <w:tab w:val="left" w:pos="1071"/>
        </w:tabs>
        <w:jc w:val="left"/>
        <w:rPr>
          <w:rFonts w:hint="eastAsia" w:eastAsia="仿宋_GB2312"/>
          <w:spacing w:val="0"/>
          <w:kern w:val="2"/>
          <w:sz w:val="31"/>
          <w:szCs w:val="31"/>
          <w:lang w:val="en-US" w:eastAsia="zh-CN" w:bidi="ar-SA"/>
        </w:rPr>
      </w:pPr>
      <w:r>
        <w:rPr>
          <w:rFonts w:hint="eastAsia"/>
          <w:spacing w:val="0"/>
          <w:kern w:val="2"/>
          <w:sz w:val="31"/>
          <w:szCs w:val="31"/>
          <w:lang w:val="en-US" w:eastAsia="zh-CN" w:bidi="ar-SA"/>
        </w:rPr>
        <w:tab/>
      </w:r>
    </w:p>
    <w:tbl>
      <w:tblPr>
        <w:tblStyle w:val="7"/>
        <w:tblpPr w:leftFromText="181" w:rightFromText="181" w:horzAnchor="margin" w:tblpYSpec="bottom"/>
        <w:tblOverlap w:val="never"/>
        <w:tblW w:w="0" w:type="auto"/>
        <w:tblInd w:w="0" w:type="dxa"/>
        <w:tblBorders>
          <w:top w:val="single" w:color="auto" w:sz="12" w:space="0"/>
          <w:left w:val="none" w:color="auto" w:sz="0" w:space="0"/>
          <w:bottom w:val="single" w:color="auto" w:sz="12" w:space="0"/>
          <w:right w:val="none" w:color="auto" w:sz="0" w:space="0"/>
          <w:insideH w:val="single" w:color="auto" w:sz="8" w:space="0"/>
          <w:insideV w:val="none" w:color="auto" w:sz="0" w:space="0"/>
        </w:tblBorders>
        <w:tblLayout w:type="fixed"/>
        <w:tblCellMar>
          <w:top w:w="0" w:type="dxa"/>
          <w:left w:w="0" w:type="dxa"/>
          <w:bottom w:w="0" w:type="dxa"/>
          <w:right w:w="0" w:type="dxa"/>
        </w:tblCellMar>
      </w:tblPr>
      <w:tblGrid>
        <w:gridCol w:w="1050"/>
        <w:gridCol w:w="3358"/>
        <w:gridCol w:w="4493"/>
      </w:tblGrid>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PrEx>
        <w:trPr>
          <w:trHeight w:val="0" w:hRule="atLeast"/>
        </w:trPr>
        <w:tc>
          <w:tcPr>
            <w:tcW w:w="1050" w:type="dxa"/>
            <w:tcBorders>
              <w:top w:val="single" w:color="auto" w:sz="4" w:space="0"/>
              <w:bottom w:val="single" w:color="auto" w:sz="4" w:space="0"/>
            </w:tcBorders>
            <w:noWrap w:val="0"/>
            <w:tcMar>
              <w:top w:w="0" w:type="dxa"/>
              <w:left w:w="0" w:type="dxa"/>
              <w:bottom w:w="0" w:type="dxa"/>
              <w:right w:w="0" w:type="dxa"/>
            </w:tcMar>
            <w:vAlign w:val="top"/>
          </w:tcPr>
          <w:p>
            <w:pPr>
              <w:keepNext w:val="0"/>
              <w:keepLines w:val="0"/>
              <w:pageBreakBefore w:val="0"/>
              <w:widowControl w:val="0"/>
              <w:kinsoku/>
              <w:wordWrap w:val="0"/>
              <w:overflowPunct/>
              <w:topLinePunct w:val="0"/>
              <w:autoSpaceDE/>
              <w:autoSpaceDN w:val="0"/>
              <w:bidi w:val="0"/>
              <w:adjustRightInd/>
              <w:snapToGrid/>
              <w:spacing w:line="240" w:lineRule="auto"/>
              <w:ind w:left="317" w:leftChars="100" w:right="0" w:rightChars="0"/>
              <w:jc w:val="both"/>
              <w:textAlignment w:val="center"/>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vertAlign w:val="baseline"/>
                <w:lang w:eastAsia="zh-CN"/>
              </w:rPr>
              <w:t>抄送：</w:t>
            </w:r>
          </w:p>
        </w:tc>
        <w:tc>
          <w:tcPr>
            <w:tcW w:w="7851" w:type="dxa"/>
            <w:gridSpan w:val="2"/>
            <w:tcBorders>
              <w:top w:val="single" w:color="auto" w:sz="4" w:space="0"/>
              <w:bottom w:val="single" w:color="auto" w:sz="4" w:space="0"/>
            </w:tcBorders>
            <w:noWrap w:val="0"/>
            <w:tcMar>
              <w:top w:w="0" w:type="dxa"/>
              <w:left w:w="0" w:type="dxa"/>
              <w:bottom w:w="0" w:type="dxa"/>
              <w:right w:w="108" w:type="dxa"/>
            </w:tcMar>
            <w:vAlign w:val="top"/>
          </w:tcPr>
          <w:p>
            <w:pPr>
              <w:keepNext w:val="0"/>
              <w:keepLines w:val="0"/>
              <w:pageBreakBefore w:val="0"/>
              <w:widowControl w:val="0"/>
              <w:tabs>
                <w:tab w:val="left" w:pos="891"/>
              </w:tabs>
              <w:kinsoku/>
              <w:wordWrap/>
              <w:overflowPunct/>
              <w:topLinePunct w:val="0"/>
              <w:autoSpaceDE/>
              <w:autoSpaceDN/>
              <w:bidi w:val="0"/>
              <w:adjustRightInd/>
              <w:snapToGrid/>
              <w:spacing w:line="240" w:lineRule="auto"/>
              <w:ind w:left="0" w:leftChars="0" w:right="317" w:rightChars="100"/>
              <w:jc w:val="both"/>
              <w:textAlignment w:val="center"/>
              <w:outlineLvl w:val="9"/>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省委办公厅、省委各部门，中央驻闽各机构，省军区，各人民团体。</w:t>
            </w:r>
          </w:p>
          <w:p>
            <w:pPr>
              <w:pStyle w:val="2"/>
              <w:spacing w:line="240" w:lineRule="auto"/>
              <w:ind w:right="317" w:rightChars="100"/>
              <w:rPr>
                <w:rFonts w:hint="default"/>
                <w:lang w:val="en-US" w:eastAsia="zh-CN"/>
              </w:rPr>
            </w:pPr>
            <w:r>
              <w:rPr>
                <w:rFonts w:hint="eastAsia" w:ascii="仿宋_GB2312" w:hAnsi="仿宋_GB2312" w:cs="仿宋_GB2312"/>
                <w:sz w:val="28"/>
                <w:szCs w:val="28"/>
                <w:lang w:val="en-US" w:eastAsia="zh-CN"/>
              </w:rPr>
              <w:t>省人大常委会办公厅，省政协办公厅，省监委，省法院，省检察院。</w:t>
            </w:r>
          </w:p>
        </w:tc>
      </w:tr>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0" w:type="dxa"/>
            <w:bottom w:w="0" w:type="dxa"/>
            <w:right w:w="0" w:type="dxa"/>
          </w:tblCellMar>
        </w:tblPrEx>
        <w:trPr>
          <w:trHeight w:val="0" w:hRule="atLeast"/>
        </w:trPr>
        <w:tc>
          <w:tcPr>
            <w:tcW w:w="4408" w:type="dxa"/>
            <w:gridSpan w:val="2"/>
            <w:tcBorders>
              <w:top w:val="single" w:color="auto" w:sz="4" w:space="0"/>
              <w:bottom w:val="single" w:color="auto" w:sz="8"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596" w:lineRule="exact"/>
              <w:ind w:left="317" w:leftChars="100" w:right="0" w:rightChars="0"/>
              <w:jc w:val="both"/>
              <w:textAlignment w:val="center"/>
              <w:outlineLvl w:val="9"/>
              <w:rPr>
                <w:rFonts w:hint="eastAsia" w:ascii="仿宋_GB2312" w:hAnsi="仿宋_GB2312" w:eastAsia="仿宋_GB2312" w:cs="仿宋_GB2312"/>
                <w:sz w:val="31"/>
                <w:szCs w:val="31"/>
              </w:rPr>
            </w:pPr>
            <w:r>
              <w:rPr>
                <w:rFonts w:hint="eastAsia" w:ascii="仿宋_GB2312" w:hAnsi="仿宋_GB2312" w:eastAsia="仿宋_GB2312" w:cs="仿宋_GB2312"/>
                <w:sz w:val="28"/>
                <w:szCs w:val="28"/>
                <w:vertAlign w:val="baseline"/>
                <w:lang w:eastAsia="zh-CN"/>
              </w:rPr>
              <w:t>福建省人民政府办公厅</w:t>
            </w:r>
          </w:p>
        </w:tc>
        <w:tc>
          <w:tcPr>
            <w:tcW w:w="4493" w:type="dxa"/>
            <w:tcBorders>
              <w:top w:val="single" w:color="auto" w:sz="4" w:space="0"/>
              <w:bottom w:val="single" w:color="auto" w:sz="8"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596" w:lineRule="exact"/>
              <w:ind w:left="0" w:leftChars="0" w:right="317" w:rightChars="100"/>
              <w:jc w:val="right"/>
              <w:textAlignment w:val="center"/>
              <w:outlineLvl w:val="9"/>
              <w:rPr>
                <w:rFonts w:hint="eastAsia" w:ascii="仿宋_GB2312" w:hAnsi="仿宋_GB2312" w:eastAsia="仿宋_GB2312" w:cs="仿宋_GB2312"/>
                <w:sz w:val="31"/>
                <w:szCs w:val="31"/>
              </w:rPr>
            </w:pPr>
            <w:r>
              <w:rPr>
                <w:rFonts w:hint="default" w:ascii="仿宋_GB2312" w:hAnsi="仿宋_GB2312" w:cs="仿宋_GB2312"/>
                <w:sz w:val="28"/>
                <w:szCs w:val="28"/>
                <w:lang w:val="en"/>
              </w:rPr>
              <w:t>2021年8月16日</w:t>
            </w:r>
            <w:r>
              <w:rPr>
                <w:rFonts w:hint="eastAsia" w:ascii="仿宋_GB2312" w:hAnsi="仿宋_GB2312" w:eastAsia="仿宋_GB2312" w:cs="仿宋_GB2312"/>
                <w:sz w:val="28"/>
                <w:szCs w:val="28"/>
              </w:rPr>
              <w:t>印发</w:t>
            </w:r>
          </w:p>
        </w:tc>
      </w:tr>
    </w:tbl>
    <w:p>
      <w:pPr>
        <w:tabs>
          <w:tab w:val="left" w:pos="1071"/>
        </w:tabs>
        <w:jc w:val="left"/>
        <w:rPr>
          <w:rFonts w:hint="eastAsia" w:eastAsia="仿宋_GB2312"/>
          <w:spacing w:val="0"/>
          <w:kern w:val="2"/>
          <w:sz w:val="31"/>
          <w:szCs w:val="31"/>
          <w:lang w:val="en-US" w:eastAsia="zh-CN" w:bidi="ar-SA"/>
        </w:rPr>
      </w:pPr>
      <w:r>
        <w:rPr>
          <w:rFonts w:hint="eastAsia" w:eastAsia="仿宋_GB2312"/>
          <w:spacing w:val="0"/>
          <w:kern w:val="2"/>
          <w:sz w:val="31"/>
          <w:szCs w:val="31"/>
          <w:lang w:val="en-US" w:eastAsia="zh-CN" w:bidi="ar-SA"/>
        </w:rPr>
        <w:drawing>
          <wp:anchor distT="0" distB="0" distL="114300" distR="114300" simplePos="0" relativeHeight="251659264" behindDoc="0" locked="0" layoutInCell="1" allowOverlap="1">
            <wp:simplePos x="0" y="0"/>
            <wp:positionH relativeFrom="page">
              <wp:posOffset>4846320</wp:posOffset>
            </wp:positionH>
            <wp:positionV relativeFrom="page">
              <wp:posOffset>9770745</wp:posOffset>
            </wp:positionV>
            <wp:extent cx="1790700" cy="431800"/>
            <wp:effectExtent l="0" t="0" r="0" b="6350"/>
            <wp:wrapNone/>
            <wp:docPr id="1" name="图片 84" descr="/tmp/local.png"/>
            <wp:cNvGraphicFramePr/>
            <a:graphic xmlns:a="http://schemas.openxmlformats.org/drawingml/2006/main">
              <a:graphicData uri="http://schemas.openxmlformats.org/drawingml/2006/picture">
                <pic:pic xmlns:pic="http://schemas.openxmlformats.org/drawingml/2006/picture">
                  <pic:nvPicPr>
                    <pic:cNvPr id="1" name="图片 84" descr="/tmp/local.png"/>
                    <pic:cNvPicPr/>
                  </pic:nvPicPr>
                  <pic:blipFill>
                    <a:blip r:embed="rId8" r:link="rId9"/>
                    <a:stretch>
                      <a:fillRect/>
                    </a:stretch>
                  </pic:blipFill>
                  <pic:spPr>
                    <a:xfrm>
                      <a:off x="0" y="0"/>
                      <a:ext cx="1790700" cy="431800"/>
                    </a:xfrm>
                    <a:prstGeom prst="rect">
                      <a:avLst/>
                    </a:prstGeom>
                    <a:noFill/>
                    <a:ln>
                      <a:noFill/>
                    </a:ln>
                  </pic:spPr>
                </pic:pic>
              </a:graphicData>
            </a:graphic>
          </wp:anchor>
        </w:drawing>
      </w:r>
    </w:p>
    <w:sectPr>
      <w:footerReference r:id="rId5" w:type="default"/>
      <w:footerReference r:id="rId6" w:type="even"/>
      <w:pgSz w:w="11906" w:h="16838"/>
      <w:pgMar w:top="2098" w:right="1417" w:bottom="1587" w:left="1587" w:header="851" w:footer="1361" w:gutter="0"/>
      <w:paperSrc/>
      <w:pgBorders>
        <w:top w:val="none" w:sz="0" w:space="0"/>
        <w:left w:val="none" w:sz="0" w:space="0"/>
        <w:bottom w:val="none" w:sz="0" w:space="0"/>
        <w:right w:val="none" w:sz="0" w:space="0"/>
      </w:pgBorders>
      <w:cols w:space="720" w:num="1"/>
      <w:rtlGutter w:val="0"/>
      <w:docGrid w:type="linesAndChars" w:linePitch="597" w:charSpace="16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altName w:val="微软雅黑"/>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page">
                <wp:posOffset>5824855</wp:posOffset>
              </wp:positionH>
              <wp:positionV relativeFrom="page">
                <wp:posOffset>9769475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keepNext w:val="0"/>
                            <w:keepLines w:val="0"/>
                            <w:pageBreakBefore w:val="0"/>
                            <w:widowControl w:val="0"/>
                            <w:kinsoku/>
                            <w:wordWrap/>
                            <w:overflowPunct w:val="0"/>
                            <w:topLinePunct w:val="0"/>
                            <w:autoSpaceDE w:val="0"/>
                            <w:autoSpaceDN w:val="0"/>
                            <w:bidi w:val="0"/>
                            <w:adjustRightInd w:val="0"/>
                            <w:snapToGrid w:val="0"/>
                            <w:spacing w:line="240" w:lineRule="auto"/>
                            <w:ind w:left="0" w:leftChars="0" w:right="310" w:rightChars="100"/>
                            <w:jc w:val="both"/>
                            <w:textAlignment w:val="baseline"/>
                            <w:outlineLvl w:val="9"/>
                          </w:pPr>
                          <w:r>
                            <w:rPr>
                              <w:rStyle w:val="10"/>
                              <w:rFonts w:hint="eastAsia" w:ascii="宋体" w:hAnsi="宋体" w:eastAsia="宋体"/>
                              <w:sz w:val="28"/>
                            </w:rPr>
                            <w:t>—</w:t>
                          </w:r>
                          <w:r>
                            <w:rPr>
                              <w:rStyle w:val="10"/>
                              <w:rFonts w:ascii="宋体" w:hAnsi="宋体" w:eastAsia="宋体"/>
                              <w:sz w:val="28"/>
                            </w:rPr>
                            <w:t xml:space="preserve"> </w:t>
                          </w:r>
                          <w:r>
                            <w:rPr>
                              <w:rFonts w:ascii="宋体" w:hAnsi="宋体" w:eastAsia="宋体"/>
                              <w:sz w:val="28"/>
                            </w:rPr>
                            <w:fldChar w:fldCharType="begin"/>
                          </w:r>
                          <w:r>
                            <w:rPr>
                              <w:rStyle w:val="10"/>
                              <w:rFonts w:ascii="宋体" w:hAnsi="宋体" w:eastAsia="宋体"/>
                              <w:sz w:val="28"/>
                            </w:rPr>
                            <w:instrText xml:space="preserve">PAGE  </w:instrText>
                          </w:r>
                          <w:r>
                            <w:rPr>
                              <w:rFonts w:ascii="宋体" w:hAnsi="宋体" w:eastAsia="宋体"/>
                              <w:sz w:val="28"/>
                            </w:rPr>
                            <w:fldChar w:fldCharType="separate"/>
                          </w:r>
                          <w:r>
                            <w:rPr>
                              <w:rStyle w:val="10"/>
                              <w:rFonts w:ascii="宋体" w:hAnsi="宋体" w:eastAsia="宋体"/>
                              <w:sz w:val="28"/>
                            </w:rPr>
                            <w:t>1</w:t>
                          </w:r>
                          <w:r>
                            <w:rPr>
                              <w:rFonts w:ascii="宋体" w:hAnsi="宋体" w:eastAsia="宋体"/>
                              <w:sz w:val="28"/>
                            </w:rPr>
                            <w:fldChar w:fldCharType="end"/>
                          </w:r>
                          <w:r>
                            <w:rPr>
                              <w:rStyle w:val="10"/>
                              <w:rFonts w:ascii="宋体" w:hAnsi="宋体" w:eastAsia="宋体"/>
                              <w:sz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458.65pt;margin-top:769.25pt;height:144pt;width:144pt;mso-position-horizontal-relative:page;mso-position-vertical-relative:page;mso-wrap-style:none;z-index:251660288;mso-width-relative:page;mso-height-relative:page;" filled="f" stroked="f" coordsize="21600,21600" o:gfxdata="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ufCmT2gAAAA4BAAAPAAAAAAAAAAEAIAAA&#10;ACIAAABkcnMvZG93bnJldi54bWxQSwECFAAUAAAACACHTuJAsbjpjNEBAACiAwAADgAAAAAAAAAB&#10;ACAAAAApAQAAZHJzL2Uyb0RvYy54bWxQSwUGAAAAAAYABgBZAQAAbAU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val="0"/>
                      <w:topLinePunct w:val="0"/>
                      <w:autoSpaceDE w:val="0"/>
                      <w:autoSpaceDN w:val="0"/>
                      <w:bidi w:val="0"/>
                      <w:adjustRightInd w:val="0"/>
                      <w:snapToGrid w:val="0"/>
                      <w:spacing w:line="240" w:lineRule="auto"/>
                      <w:ind w:left="0" w:leftChars="0" w:right="310" w:rightChars="100"/>
                      <w:jc w:val="both"/>
                      <w:textAlignment w:val="baseline"/>
                      <w:outlineLvl w:val="9"/>
                    </w:pPr>
                    <w:r>
                      <w:rPr>
                        <w:rStyle w:val="10"/>
                        <w:rFonts w:hint="eastAsia" w:ascii="宋体" w:hAnsi="宋体" w:eastAsia="宋体"/>
                        <w:sz w:val="28"/>
                      </w:rPr>
                      <w:t>—</w:t>
                    </w:r>
                    <w:r>
                      <w:rPr>
                        <w:rStyle w:val="10"/>
                        <w:rFonts w:ascii="宋体" w:hAnsi="宋体" w:eastAsia="宋体"/>
                        <w:sz w:val="28"/>
                      </w:rPr>
                      <w:t xml:space="preserve"> </w:t>
                    </w:r>
                    <w:r>
                      <w:rPr>
                        <w:rFonts w:ascii="宋体" w:hAnsi="宋体" w:eastAsia="宋体"/>
                        <w:sz w:val="28"/>
                      </w:rPr>
                      <w:fldChar w:fldCharType="begin"/>
                    </w:r>
                    <w:r>
                      <w:rPr>
                        <w:rStyle w:val="10"/>
                        <w:rFonts w:ascii="宋体" w:hAnsi="宋体" w:eastAsia="宋体"/>
                        <w:sz w:val="28"/>
                      </w:rPr>
                      <w:instrText xml:space="preserve">PAGE  </w:instrText>
                    </w:r>
                    <w:r>
                      <w:rPr>
                        <w:rFonts w:ascii="宋体" w:hAnsi="宋体" w:eastAsia="宋体"/>
                        <w:sz w:val="28"/>
                      </w:rPr>
                      <w:fldChar w:fldCharType="separate"/>
                    </w:r>
                    <w:r>
                      <w:rPr>
                        <w:rStyle w:val="10"/>
                        <w:rFonts w:ascii="宋体" w:hAnsi="宋体" w:eastAsia="宋体"/>
                        <w:sz w:val="28"/>
                      </w:rPr>
                      <w:t>1</w:t>
                    </w:r>
                    <w:r>
                      <w:rPr>
                        <w:rFonts w:ascii="宋体" w:hAnsi="宋体" w:eastAsia="宋体"/>
                        <w:sz w:val="28"/>
                      </w:rPr>
                      <w:fldChar w:fldCharType="end"/>
                    </w:r>
                    <w:r>
                      <w:rPr>
                        <w:rStyle w:val="10"/>
                        <w:rFonts w:ascii="宋体" w:hAnsi="宋体" w:eastAsia="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sz w:val="28"/>
        <w:szCs w:val="28"/>
      </w:rPr>
      <mc:AlternateContent>
        <mc:Choice Requires="wps">
          <w:drawing>
            <wp:anchor distT="0" distB="0" distL="114300" distR="114300" simplePos="0" relativeHeight="251659264" behindDoc="0" locked="0" layoutInCell="1" allowOverlap="1">
              <wp:simplePos x="0" y="0"/>
              <wp:positionH relativeFrom="page">
                <wp:posOffset>920750</wp:posOffset>
              </wp:positionH>
              <wp:positionV relativeFrom="page">
                <wp:posOffset>9750425</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keepNext w:val="0"/>
                            <w:keepLines w:val="0"/>
                            <w:pageBreakBefore w:val="0"/>
                            <w:widowControl w:val="0"/>
                            <w:kinsoku/>
                            <w:wordWrap/>
                            <w:overflowPunct w:val="0"/>
                            <w:topLinePunct w:val="0"/>
                            <w:autoSpaceDE w:val="0"/>
                            <w:autoSpaceDN w:val="0"/>
                            <w:bidi w:val="0"/>
                            <w:adjustRightInd w:val="0"/>
                            <w:snapToGrid w:val="0"/>
                            <w:spacing w:line="240" w:lineRule="auto"/>
                            <w:ind w:left="310" w:leftChars="100" w:right="310" w:rightChars="100"/>
                            <w:textAlignment w:val="baseline"/>
                            <w:outlineLvl w:val="9"/>
                          </w:pPr>
                          <w:r>
                            <w:rPr>
                              <w:rStyle w:val="10"/>
                              <w:rFonts w:hint="eastAsia" w:ascii="宋体" w:hAnsi="宋体" w:eastAsia="宋体"/>
                              <w:sz w:val="28"/>
                            </w:rPr>
                            <w:t>—</w:t>
                          </w:r>
                          <w:r>
                            <w:rPr>
                              <w:rStyle w:val="10"/>
                              <w:rFonts w:ascii="宋体" w:hAnsi="宋体" w:eastAsia="宋体"/>
                              <w:sz w:val="28"/>
                            </w:rPr>
                            <w:t xml:space="preserve"> </w:t>
                          </w:r>
                          <w:r>
                            <w:rPr>
                              <w:rFonts w:ascii="宋体" w:hAnsi="宋体" w:eastAsia="宋体"/>
                              <w:sz w:val="28"/>
                            </w:rPr>
                            <w:fldChar w:fldCharType="begin"/>
                          </w:r>
                          <w:r>
                            <w:rPr>
                              <w:rStyle w:val="10"/>
                              <w:rFonts w:ascii="宋体" w:hAnsi="宋体" w:eastAsia="宋体"/>
                              <w:sz w:val="28"/>
                            </w:rPr>
                            <w:instrText xml:space="preserve">PAGE  </w:instrText>
                          </w:r>
                          <w:r>
                            <w:rPr>
                              <w:rFonts w:ascii="宋体" w:hAnsi="宋体" w:eastAsia="宋体"/>
                              <w:sz w:val="28"/>
                            </w:rPr>
                            <w:fldChar w:fldCharType="separate"/>
                          </w:r>
                          <w:r>
                            <w:rPr>
                              <w:rStyle w:val="10"/>
                              <w:rFonts w:ascii="宋体" w:hAnsi="宋体" w:eastAsia="宋体"/>
                              <w:sz w:val="28"/>
                            </w:rPr>
                            <w:t>1</w:t>
                          </w:r>
                          <w:r>
                            <w:rPr>
                              <w:rFonts w:ascii="宋体" w:hAnsi="宋体" w:eastAsia="宋体"/>
                              <w:sz w:val="28"/>
                            </w:rPr>
                            <w:fldChar w:fldCharType="end"/>
                          </w:r>
                          <w:r>
                            <w:rPr>
                              <w:rStyle w:val="10"/>
                              <w:rFonts w:ascii="宋体" w:hAnsi="宋体" w:eastAsia="宋体"/>
                              <w:sz w:val="28"/>
                            </w:rPr>
                            <w:t xml:space="preserve"> —</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left:72.5pt;margin-top:767.75pt;height:144pt;width:144pt;mso-position-horizontal-relative:page;mso-position-vertical-relative:page;mso-wrap-style:none;z-index:251659264;mso-width-relative:page;mso-height-relative:page;" filled="f" stroked="f" coordsize="21600,21600" o:gfxdata="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E+QWs1wAA&#10;AA0BAAAPAAAAAAAAAAEAIAAAACIAAABkcnMvZG93bnJldi54bWxQSwECFAAUAAAACACHTuJAMTWS&#10;seYBAADHAwAADgAAAAAAAAABACAAAAAmAQAAZHJzL2Uyb0RvYy54bWxQSwUGAAAAAAYABgBZAQAA&#10;fgU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val="0"/>
                      <w:topLinePunct w:val="0"/>
                      <w:autoSpaceDE w:val="0"/>
                      <w:autoSpaceDN w:val="0"/>
                      <w:bidi w:val="0"/>
                      <w:adjustRightInd w:val="0"/>
                      <w:snapToGrid w:val="0"/>
                      <w:spacing w:line="240" w:lineRule="auto"/>
                      <w:ind w:left="310" w:leftChars="100" w:right="310" w:rightChars="100"/>
                      <w:textAlignment w:val="baseline"/>
                      <w:outlineLvl w:val="9"/>
                    </w:pPr>
                    <w:r>
                      <w:rPr>
                        <w:rStyle w:val="10"/>
                        <w:rFonts w:hint="eastAsia" w:ascii="宋体" w:hAnsi="宋体" w:eastAsia="宋体"/>
                        <w:sz w:val="28"/>
                      </w:rPr>
                      <w:t>—</w:t>
                    </w:r>
                    <w:r>
                      <w:rPr>
                        <w:rStyle w:val="10"/>
                        <w:rFonts w:ascii="宋体" w:hAnsi="宋体" w:eastAsia="宋体"/>
                        <w:sz w:val="28"/>
                      </w:rPr>
                      <w:t xml:space="preserve"> </w:t>
                    </w:r>
                    <w:r>
                      <w:rPr>
                        <w:rFonts w:ascii="宋体" w:hAnsi="宋体" w:eastAsia="宋体"/>
                        <w:sz w:val="28"/>
                      </w:rPr>
                      <w:fldChar w:fldCharType="begin"/>
                    </w:r>
                    <w:r>
                      <w:rPr>
                        <w:rStyle w:val="10"/>
                        <w:rFonts w:ascii="宋体" w:hAnsi="宋体" w:eastAsia="宋体"/>
                        <w:sz w:val="28"/>
                      </w:rPr>
                      <w:instrText xml:space="preserve">PAGE  </w:instrText>
                    </w:r>
                    <w:r>
                      <w:rPr>
                        <w:rFonts w:ascii="宋体" w:hAnsi="宋体" w:eastAsia="宋体"/>
                        <w:sz w:val="28"/>
                      </w:rPr>
                      <w:fldChar w:fldCharType="separate"/>
                    </w:r>
                    <w:r>
                      <w:rPr>
                        <w:rStyle w:val="10"/>
                        <w:rFonts w:ascii="宋体" w:hAnsi="宋体" w:eastAsia="宋体"/>
                        <w:sz w:val="28"/>
                      </w:rPr>
                      <w:t>1</w:t>
                    </w:r>
                    <w:r>
                      <w:rPr>
                        <w:rFonts w:ascii="宋体" w:hAnsi="宋体" w:eastAsia="宋体"/>
                        <w:sz w:val="28"/>
                      </w:rPr>
                      <w:fldChar w:fldCharType="end"/>
                    </w:r>
                    <w:r>
                      <w:rPr>
                        <w:rStyle w:val="10"/>
                        <w:rFonts w:ascii="宋体" w:hAnsi="宋体" w:eastAsia="宋体"/>
                        <w:sz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360"/>
  <w:evenAndOddHeaders w:val="1"/>
  <w:drawingGridHorizontalSpacing w:val="3"/>
  <w:drawingGridVerticalSpacing w:val="6"/>
  <w:displayHorizontalDrawingGridEvery w:val="0"/>
  <w:displayVerticalDrawingGridEvery w:val="2"/>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D7FFA46C"/>
    <w:rsid w:val="005250C5"/>
    <w:rsid w:val="007C0FEF"/>
    <w:rsid w:val="009634B5"/>
    <w:rsid w:val="00BD1DCE"/>
    <w:rsid w:val="010A3B39"/>
    <w:rsid w:val="012F690B"/>
    <w:rsid w:val="01345E86"/>
    <w:rsid w:val="01E7372B"/>
    <w:rsid w:val="01EB7BB3"/>
    <w:rsid w:val="039F69F7"/>
    <w:rsid w:val="03D14550"/>
    <w:rsid w:val="03FA5714"/>
    <w:rsid w:val="044472D9"/>
    <w:rsid w:val="049E0421"/>
    <w:rsid w:val="04BE2ED4"/>
    <w:rsid w:val="05301F0E"/>
    <w:rsid w:val="05781409"/>
    <w:rsid w:val="07823ED3"/>
    <w:rsid w:val="094A4734"/>
    <w:rsid w:val="09F77C68"/>
    <w:rsid w:val="0A426DE3"/>
    <w:rsid w:val="0B425A3C"/>
    <w:rsid w:val="0B453D2B"/>
    <w:rsid w:val="0B571D7F"/>
    <w:rsid w:val="0BAB7DE0"/>
    <w:rsid w:val="0BD50C3E"/>
    <w:rsid w:val="0BF56429"/>
    <w:rsid w:val="0C7634FF"/>
    <w:rsid w:val="0CE8253A"/>
    <w:rsid w:val="0D0C1474"/>
    <w:rsid w:val="0D5166E6"/>
    <w:rsid w:val="0D9B5860"/>
    <w:rsid w:val="0E945A78"/>
    <w:rsid w:val="0F734B5B"/>
    <w:rsid w:val="0FC7643B"/>
    <w:rsid w:val="10410FB7"/>
    <w:rsid w:val="1059665E"/>
    <w:rsid w:val="110E070B"/>
    <w:rsid w:val="11237698"/>
    <w:rsid w:val="11C875C3"/>
    <w:rsid w:val="121A10F0"/>
    <w:rsid w:val="12D703AA"/>
    <w:rsid w:val="13251FF4"/>
    <w:rsid w:val="13833436"/>
    <w:rsid w:val="144C30DB"/>
    <w:rsid w:val="144E4DC8"/>
    <w:rsid w:val="151A4A2D"/>
    <w:rsid w:val="15297246"/>
    <w:rsid w:val="155B729E"/>
    <w:rsid w:val="157F8D3A"/>
    <w:rsid w:val="1584450A"/>
    <w:rsid w:val="16B90C56"/>
    <w:rsid w:val="16E52D9F"/>
    <w:rsid w:val="1794536E"/>
    <w:rsid w:val="17A36655"/>
    <w:rsid w:val="17B111EE"/>
    <w:rsid w:val="182511AD"/>
    <w:rsid w:val="191C251E"/>
    <w:rsid w:val="197C5EDB"/>
    <w:rsid w:val="1A0A4EA4"/>
    <w:rsid w:val="1A5823C6"/>
    <w:rsid w:val="1A854CCA"/>
    <w:rsid w:val="1B1D5607"/>
    <w:rsid w:val="1B674782"/>
    <w:rsid w:val="1B81532C"/>
    <w:rsid w:val="1BA52068"/>
    <w:rsid w:val="1BB8785D"/>
    <w:rsid w:val="1C8F32EB"/>
    <w:rsid w:val="1CDF436F"/>
    <w:rsid w:val="1CFA5F7F"/>
    <w:rsid w:val="1D0432AA"/>
    <w:rsid w:val="1E6C4DFA"/>
    <w:rsid w:val="1E8016A9"/>
    <w:rsid w:val="1EB3776D"/>
    <w:rsid w:val="1EBEDB07"/>
    <w:rsid w:val="1F225822"/>
    <w:rsid w:val="1F8467C0"/>
    <w:rsid w:val="1FA13B72"/>
    <w:rsid w:val="203D39F0"/>
    <w:rsid w:val="20474344"/>
    <w:rsid w:val="20D14264"/>
    <w:rsid w:val="20F65178"/>
    <w:rsid w:val="214E67BA"/>
    <w:rsid w:val="21672AEF"/>
    <w:rsid w:val="224805CD"/>
    <w:rsid w:val="22AD02F2"/>
    <w:rsid w:val="22E0224E"/>
    <w:rsid w:val="23807427"/>
    <w:rsid w:val="23CA67DA"/>
    <w:rsid w:val="23FE699A"/>
    <w:rsid w:val="241A62CA"/>
    <w:rsid w:val="2444388B"/>
    <w:rsid w:val="247C2AEC"/>
    <w:rsid w:val="24DE1660"/>
    <w:rsid w:val="25EB5B45"/>
    <w:rsid w:val="25FE1963"/>
    <w:rsid w:val="27D123D2"/>
    <w:rsid w:val="281B645A"/>
    <w:rsid w:val="284705A3"/>
    <w:rsid w:val="2852241E"/>
    <w:rsid w:val="287E64FF"/>
    <w:rsid w:val="28CE27B3"/>
    <w:rsid w:val="29B53FFD"/>
    <w:rsid w:val="2A0321A1"/>
    <w:rsid w:val="2A2A68C4"/>
    <w:rsid w:val="2A94732F"/>
    <w:rsid w:val="2AFF2083"/>
    <w:rsid w:val="2BDE8CE8"/>
    <w:rsid w:val="2BF84F15"/>
    <w:rsid w:val="2C187F64"/>
    <w:rsid w:val="2C38122A"/>
    <w:rsid w:val="2C7F4490"/>
    <w:rsid w:val="2CC04EFA"/>
    <w:rsid w:val="2CFE6F5D"/>
    <w:rsid w:val="2D0F04FC"/>
    <w:rsid w:val="2D140142"/>
    <w:rsid w:val="2D7D4194"/>
    <w:rsid w:val="2E904CA7"/>
    <w:rsid w:val="2F0C4ABE"/>
    <w:rsid w:val="2F305F78"/>
    <w:rsid w:val="2F3B6F11"/>
    <w:rsid w:val="2F660BEC"/>
    <w:rsid w:val="2F6B4AD8"/>
    <w:rsid w:val="2F8D7928"/>
    <w:rsid w:val="2FBC27C3"/>
    <w:rsid w:val="2FF41B48"/>
    <w:rsid w:val="30991CC7"/>
    <w:rsid w:val="30BB3500"/>
    <w:rsid w:val="311E0065"/>
    <w:rsid w:val="31362E4A"/>
    <w:rsid w:val="315F0A35"/>
    <w:rsid w:val="31B02B14"/>
    <w:rsid w:val="31FBEE10"/>
    <w:rsid w:val="32697D44"/>
    <w:rsid w:val="32DB47FF"/>
    <w:rsid w:val="33852B08"/>
    <w:rsid w:val="33906063"/>
    <w:rsid w:val="33BB130D"/>
    <w:rsid w:val="33BB606C"/>
    <w:rsid w:val="35091591"/>
    <w:rsid w:val="35B87D6A"/>
    <w:rsid w:val="36AA0CBD"/>
    <w:rsid w:val="36FF406B"/>
    <w:rsid w:val="376C0D7B"/>
    <w:rsid w:val="37BA0AFA"/>
    <w:rsid w:val="37FFA97B"/>
    <w:rsid w:val="383C7DCF"/>
    <w:rsid w:val="38D832B5"/>
    <w:rsid w:val="393A470E"/>
    <w:rsid w:val="39AA3EAF"/>
    <w:rsid w:val="39C7685E"/>
    <w:rsid w:val="3A0B03CA"/>
    <w:rsid w:val="3B02765D"/>
    <w:rsid w:val="3B0B6436"/>
    <w:rsid w:val="3B3955B9"/>
    <w:rsid w:val="3C1B5BAC"/>
    <w:rsid w:val="3C3F466B"/>
    <w:rsid w:val="3C6514A3"/>
    <w:rsid w:val="3D36B51C"/>
    <w:rsid w:val="3DCD7770"/>
    <w:rsid w:val="3DD9A345"/>
    <w:rsid w:val="3E105946"/>
    <w:rsid w:val="3EAF3377"/>
    <w:rsid w:val="3F65658D"/>
    <w:rsid w:val="3FBF770E"/>
    <w:rsid w:val="3FFCF485"/>
    <w:rsid w:val="4053211D"/>
    <w:rsid w:val="40651BA3"/>
    <w:rsid w:val="40873AC2"/>
    <w:rsid w:val="40A01B27"/>
    <w:rsid w:val="40CC265C"/>
    <w:rsid w:val="41C73B79"/>
    <w:rsid w:val="41E7323A"/>
    <w:rsid w:val="422269D4"/>
    <w:rsid w:val="44872453"/>
    <w:rsid w:val="44C8586C"/>
    <w:rsid w:val="452D190C"/>
    <w:rsid w:val="45E8203F"/>
    <w:rsid w:val="471A5C34"/>
    <w:rsid w:val="4752380F"/>
    <w:rsid w:val="49061F5C"/>
    <w:rsid w:val="493675D5"/>
    <w:rsid w:val="49C66B17"/>
    <w:rsid w:val="49EE7CDB"/>
    <w:rsid w:val="4A146896"/>
    <w:rsid w:val="4A2C3F3D"/>
    <w:rsid w:val="4A637C9A"/>
    <w:rsid w:val="4AFF7B18"/>
    <w:rsid w:val="4B16773E"/>
    <w:rsid w:val="4B7E82AC"/>
    <w:rsid w:val="4B904E89"/>
    <w:rsid w:val="4BA85548"/>
    <w:rsid w:val="4BF58C7F"/>
    <w:rsid w:val="4C237703"/>
    <w:rsid w:val="4C2C1484"/>
    <w:rsid w:val="4CA22748"/>
    <w:rsid w:val="4CA45653"/>
    <w:rsid w:val="4CF237CB"/>
    <w:rsid w:val="4CF71E51"/>
    <w:rsid w:val="4D8C0147"/>
    <w:rsid w:val="4E570B14"/>
    <w:rsid w:val="4E5C4F9C"/>
    <w:rsid w:val="4EA64116"/>
    <w:rsid w:val="4EA96D60"/>
    <w:rsid w:val="4F26376B"/>
    <w:rsid w:val="50640BF4"/>
    <w:rsid w:val="50D12421"/>
    <w:rsid w:val="50F20458"/>
    <w:rsid w:val="50FB580A"/>
    <w:rsid w:val="51DE4BDE"/>
    <w:rsid w:val="51EA4273"/>
    <w:rsid w:val="527E0EE4"/>
    <w:rsid w:val="52E07C83"/>
    <w:rsid w:val="530E2D51"/>
    <w:rsid w:val="534E0138"/>
    <w:rsid w:val="536D0B6C"/>
    <w:rsid w:val="53C54A7E"/>
    <w:rsid w:val="53FE04E9"/>
    <w:rsid w:val="545626FC"/>
    <w:rsid w:val="54963482"/>
    <w:rsid w:val="55914FEE"/>
    <w:rsid w:val="55BB16B6"/>
    <w:rsid w:val="55DE10CF"/>
    <w:rsid w:val="56275BAA"/>
    <w:rsid w:val="57522A51"/>
    <w:rsid w:val="57925AEC"/>
    <w:rsid w:val="57BDE776"/>
    <w:rsid w:val="57BF9384"/>
    <w:rsid w:val="58005BFE"/>
    <w:rsid w:val="585F770B"/>
    <w:rsid w:val="58C52C0E"/>
    <w:rsid w:val="58F3622B"/>
    <w:rsid w:val="590E07A8"/>
    <w:rsid w:val="59443FBA"/>
    <w:rsid w:val="594F1212"/>
    <w:rsid w:val="59A736D3"/>
    <w:rsid w:val="59BA4144"/>
    <w:rsid w:val="5A425322"/>
    <w:rsid w:val="5A4717AA"/>
    <w:rsid w:val="5ACD2D08"/>
    <w:rsid w:val="5B1E180D"/>
    <w:rsid w:val="5B5C12F2"/>
    <w:rsid w:val="5B7B1BA7"/>
    <w:rsid w:val="5CBB2533"/>
    <w:rsid w:val="5D111C3D"/>
    <w:rsid w:val="5D3D7D3D"/>
    <w:rsid w:val="5D432A17"/>
    <w:rsid w:val="5D751961"/>
    <w:rsid w:val="5D7F4714"/>
    <w:rsid w:val="5DB88301"/>
    <w:rsid w:val="5E17116A"/>
    <w:rsid w:val="5EC702BE"/>
    <w:rsid w:val="5F8D6E20"/>
    <w:rsid w:val="5FBB761D"/>
    <w:rsid w:val="5FEF4405"/>
    <w:rsid w:val="603A5D87"/>
    <w:rsid w:val="604B148A"/>
    <w:rsid w:val="60711CEB"/>
    <w:rsid w:val="60A93A22"/>
    <w:rsid w:val="60B846BF"/>
    <w:rsid w:val="60D657EB"/>
    <w:rsid w:val="62310026"/>
    <w:rsid w:val="62A27060"/>
    <w:rsid w:val="63886FFF"/>
    <w:rsid w:val="64837576"/>
    <w:rsid w:val="64D50279"/>
    <w:rsid w:val="661C3E14"/>
    <w:rsid w:val="66344D3E"/>
    <w:rsid w:val="66377EC1"/>
    <w:rsid w:val="665541AD"/>
    <w:rsid w:val="66FFE6B9"/>
    <w:rsid w:val="67180834"/>
    <w:rsid w:val="677F895D"/>
    <w:rsid w:val="67F2429A"/>
    <w:rsid w:val="6880233D"/>
    <w:rsid w:val="69287ADC"/>
    <w:rsid w:val="699B4CCF"/>
    <w:rsid w:val="699D4BC6"/>
    <w:rsid w:val="6A3A1355"/>
    <w:rsid w:val="6A4270CE"/>
    <w:rsid w:val="6A7946BD"/>
    <w:rsid w:val="6A9774F1"/>
    <w:rsid w:val="6AB64522"/>
    <w:rsid w:val="6AC769BB"/>
    <w:rsid w:val="6ACC2E43"/>
    <w:rsid w:val="6BAB02B2"/>
    <w:rsid w:val="6C9E65C1"/>
    <w:rsid w:val="6CB07B60"/>
    <w:rsid w:val="6D9E07C0"/>
    <w:rsid w:val="6E6A45B3"/>
    <w:rsid w:val="6F5FBF8A"/>
    <w:rsid w:val="6F7D6B02"/>
    <w:rsid w:val="6FA8783E"/>
    <w:rsid w:val="6FFF2A48"/>
    <w:rsid w:val="7076338E"/>
    <w:rsid w:val="71336AFA"/>
    <w:rsid w:val="714C6B88"/>
    <w:rsid w:val="71675AB7"/>
    <w:rsid w:val="720D4729"/>
    <w:rsid w:val="72606732"/>
    <w:rsid w:val="730E33D2"/>
    <w:rsid w:val="73501C11"/>
    <w:rsid w:val="746016FA"/>
    <w:rsid w:val="753814B1"/>
    <w:rsid w:val="754164DB"/>
    <w:rsid w:val="75473A1A"/>
    <w:rsid w:val="766C04D6"/>
    <w:rsid w:val="77755B55"/>
    <w:rsid w:val="778A108A"/>
    <w:rsid w:val="77962542"/>
    <w:rsid w:val="77FAF8CF"/>
    <w:rsid w:val="77FDFC9D"/>
    <w:rsid w:val="796B11C3"/>
    <w:rsid w:val="798E6DF9"/>
    <w:rsid w:val="799022FC"/>
    <w:rsid w:val="79938ECD"/>
    <w:rsid w:val="799D3D50"/>
    <w:rsid w:val="79C535B5"/>
    <w:rsid w:val="79DE369F"/>
    <w:rsid w:val="79DFD6C9"/>
    <w:rsid w:val="7A1173D2"/>
    <w:rsid w:val="7A5A01D6"/>
    <w:rsid w:val="7B7EFF3B"/>
    <w:rsid w:val="7BDA69BE"/>
    <w:rsid w:val="7C0D0F49"/>
    <w:rsid w:val="7C81735B"/>
    <w:rsid w:val="7D0970B0"/>
    <w:rsid w:val="7D7879D2"/>
    <w:rsid w:val="7D8A16F2"/>
    <w:rsid w:val="7D921593"/>
    <w:rsid w:val="7DFFF87C"/>
    <w:rsid w:val="7E013DC5"/>
    <w:rsid w:val="7E021846"/>
    <w:rsid w:val="7EB755B1"/>
    <w:rsid w:val="7EBF90EA"/>
    <w:rsid w:val="7EEECE2E"/>
    <w:rsid w:val="7F2870AA"/>
    <w:rsid w:val="7F7DB3F0"/>
    <w:rsid w:val="7F7F2E24"/>
    <w:rsid w:val="7FBF2769"/>
    <w:rsid w:val="7FE83C65"/>
    <w:rsid w:val="7FFF8D22"/>
    <w:rsid w:val="8B936500"/>
    <w:rsid w:val="9F7CB5C8"/>
    <w:rsid w:val="A9C775D6"/>
    <w:rsid w:val="B539D719"/>
    <w:rsid w:val="B7EF964B"/>
    <w:rsid w:val="B8EEA52E"/>
    <w:rsid w:val="B8FFED49"/>
    <w:rsid w:val="BAF97AD2"/>
    <w:rsid w:val="BDE30DF9"/>
    <w:rsid w:val="BDED9A22"/>
    <w:rsid w:val="BEB7FD10"/>
    <w:rsid w:val="BEFD1C3D"/>
    <w:rsid w:val="BFD6796C"/>
    <w:rsid w:val="CDEB91FD"/>
    <w:rsid w:val="CDFFAC21"/>
    <w:rsid w:val="D7FF539A"/>
    <w:rsid w:val="D7FFA46C"/>
    <w:rsid w:val="DEBF2DD0"/>
    <w:rsid w:val="E36F479C"/>
    <w:rsid w:val="E7B60E05"/>
    <w:rsid w:val="ED4C5248"/>
    <w:rsid w:val="EEF3C6AB"/>
    <w:rsid w:val="EF9E9DC4"/>
    <w:rsid w:val="EFBF71C3"/>
    <w:rsid w:val="EFDF34EB"/>
    <w:rsid w:val="EFF34D0D"/>
    <w:rsid w:val="EFFA7A9C"/>
    <w:rsid w:val="F4BD1AF8"/>
    <w:rsid w:val="F5BF373E"/>
    <w:rsid w:val="F76FD8DB"/>
    <w:rsid w:val="F7FFA28F"/>
    <w:rsid w:val="F97BCE70"/>
    <w:rsid w:val="FBBE1676"/>
    <w:rsid w:val="FBFCC1B4"/>
    <w:rsid w:val="FBFDEA64"/>
    <w:rsid w:val="FC7A9315"/>
    <w:rsid w:val="FDAF85A8"/>
    <w:rsid w:val="FDDD12CD"/>
    <w:rsid w:val="FDF7B7C2"/>
    <w:rsid w:val="FF0ED159"/>
    <w:rsid w:val="FF7D8B0D"/>
    <w:rsid w:val="FF8FBEC8"/>
    <w:rsid w:val="FFAA3D7E"/>
    <w:rsid w:val="FFB53FEF"/>
    <w:rsid w:val="FFDE8503"/>
    <w:rsid w:val="FFE9774C"/>
    <w:rsid w:val="FFFB8E7A"/>
    <w:rsid w:val="FFFFB5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eastAsia="仿宋_GB2312"/>
      <w:spacing w:val="0"/>
      <w:kern w:val="2"/>
      <w:sz w:val="31"/>
      <w:szCs w:val="31"/>
      <w:lang w:val="en-US" w:eastAsia="zh-CN" w:bidi="ar-SA"/>
    </w:rPr>
  </w:style>
  <w:style w:type="character" w:default="1" w:styleId="9">
    <w:name w:val="Default Paragraph Font"/>
    <w:uiPriority w:val="0"/>
  </w:style>
  <w:style w:type="table" w:default="1" w:styleId="7">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7"/>
      <w:tblCellMar>
        <w:top w:w="0" w:type="dxa"/>
        <w:left w:w="108" w:type="dxa"/>
        <w:bottom w:w="0" w:type="dxa"/>
        <w:right w:w="108" w:type="dxa"/>
      </w:tblCellMar>
    </w:tblPr>
  </w:style>
  <w:style w:type="paragraph" w:styleId="2">
    <w:name w:val="Balloon Text"/>
    <w:basedOn w:val="1"/>
    <w:next w:val="3"/>
    <w:semiHidden/>
    <w:qFormat/>
    <w:uiPriority w:val="0"/>
    <w:rPr>
      <w:sz w:val="18"/>
      <w:szCs w:val="18"/>
    </w:rPr>
  </w:style>
  <w:style w:type="paragraph" w:styleId="3">
    <w:name w:val="index 5"/>
    <w:basedOn w:val="1"/>
    <w:next w:val="1"/>
    <w:qFormat/>
    <w:uiPriority w:val="0"/>
    <w:pPr>
      <w:ind w:left="1680"/>
    </w:pPr>
  </w:style>
  <w:style w:type="paragraph" w:styleId="4">
    <w:name w:val="index 6"/>
    <w:basedOn w:val="1"/>
    <w:next w:val="1"/>
    <w:qFormat/>
    <w:uiPriority w:val="0"/>
    <w:pPr>
      <w:ind w:left="21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table" w:styleId="8">
    <w:name w:val="Table Grid"/>
    <w:basedOn w:val="7"/>
    <w:qFormat/>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0"/>
  </w:style>
  <w:style w:type="character" w:styleId="11">
    <w:name w:val="line number"/>
    <w:basedOn w:val="9"/>
    <w:uiPriority w:val="0"/>
  </w:style>
  <w:style w:type="paragraph" w:customStyle="1" w:styleId="12">
    <w:name w:val="居中"/>
    <w:basedOn w:val="1"/>
    <w:uiPriority w:val="0"/>
    <w:pPr>
      <w:numPr>
        <w:ilvl w:val="0"/>
        <w:numId w:val="1"/>
      </w:numPr>
    </w:pPr>
  </w:style>
</w:styles>
</file>

<file path=word/_rels/document.xml.rels><?xml version="1.0" encoding="UTF-8" standalone="yes"?>
<Relationships xmlns="http://schemas.openxmlformats.org/package/2006/relationships"><Relationship Id="rId9" Type="http://schemas.openxmlformats.org/officeDocument/2006/relationships/image" Target="/tmp/local.png" TargetMode="Externa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opt\kingsoft\wps-office\office6\mui\zh_CN\templates\wps\GB9704%20electronic%20document%20templates\summary.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summary.wpt</Template>
  <Pages>20</Pages>
  <Words>10470</Words>
  <Characters>10729</Characters>
  <Lines>8</Lines>
  <Paragraphs>2</Paragraphs>
  <TotalTime>1.33333333333333</TotalTime>
  <ScaleCrop>false</ScaleCrop>
  <LinksUpToDate>false</LinksUpToDate>
  <CharactersWithSpaces>10786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2021-01-31T03:50:00Z</dcterms:created>
  <dc:creator>黄良振</dc:creator>
  <cp:lastModifiedBy>Dawn</cp:lastModifiedBy>
  <cp:lastPrinted>2021-08-09T00:08:09Z</cp:lastPrinted>
  <dcterms:modified xsi:type="dcterms:W3CDTF">2021-09-26T08:20:30Z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公文模板版本">
    <vt:lpwstr>20200227</vt:lpwstr>
  </property>
  <property fmtid="{D5CDD505-2E9C-101B-9397-08002B2CF9AE}" pid="4" name="ICV">
    <vt:lpwstr>1CD25A15A1194D488753DBB441B677E5</vt:lpwstr>
  </property>
</Properties>
</file>