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9C91A">
      <w:pPr>
        <w:pStyle w:val="3"/>
        <w:keepNext w:val="0"/>
        <w:keepLines w:val="0"/>
        <w:widowControl/>
        <w:suppressLineNumbers w:val="0"/>
        <w:spacing w:before="75" w:beforeAutospacing="0" w:after="75" w:afterAutospacing="0" w:line="705" w:lineRule="atLeast"/>
        <w:ind w:left="0" w:right="0" w:firstLine="0"/>
        <w:jc w:val="center"/>
        <w:rPr>
          <w:rFonts w:ascii="Calibri" w:hAnsi="Calibri" w:cs="Calibri"/>
          <w:i w:val="0"/>
          <w:iCs w:val="0"/>
          <w:caps w:val="0"/>
          <w:color w:val="000000"/>
          <w:spacing w:val="0"/>
          <w:sz w:val="21"/>
          <w:szCs w:val="21"/>
        </w:rPr>
      </w:pPr>
      <w:r>
        <w:rPr>
          <w:rFonts w:ascii="方正小标宋简体" w:hAnsi="方正小标宋简体" w:eastAsia="方正小标宋简体" w:cs="方正小标宋简体"/>
          <w:i w:val="0"/>
          <w:iCs w:val="0"/>
          <w:caps w:val="0"/>
          <w:color w:val="000000"/>
          <w:spacing w:val="0"/>
          <w:sz w:val="43"/>
          <w:szCs w:val="43"/>
        </w:rPr>
        <w:t>福建省</w:t>
      </w:r>
      <w:r>
        <w:rPr>
          <w:rFonts w:hint="eastAsia" w:ascii="方正小标宋简体" w:hAnsi="方正小标宋简体" w:eastAsia="方正小标宋简体" w:cs="方正小标宋简体"/>
          <w:i w:val="0"/>
          <w:iCs w:val="0"/>
          <w:caps w:val="0"/>
          <w:color w:val="000000"/>
          <w:spacing w:val="0"/>
          <w:sz w:val="43"/>
          <w:szCs w:val="43"/>
        </w:rPr>
        <w:t>罗源县烟草专卖局</w:t>
      </w:r>
    </w:p>
    <w:p w14:paraId="31B0655D">
      <w:pPr>
        <w:pStyle w:val="3"/>
        <w:keepNext w:val="0"/>
        <w:keepLines w:val="0"/>
        <w:widowControl/>
        <w:suppressLineNumbers w:val="0"/>
        <w:spacing w:before="75" w:beforeAutospacing="0" w:after="75" w:afterAutospacing="0" w:line="705" w:lineRule="atLeast"/>
        <w:ind w:left="0" w:right="0" w:firstLine="0"/>
        <w:jc w:val="center"/>
        <w:rPr>
          <w:rFonts w:hint="default" w:ascii="Calibri" w:hAnsi="Calibri" w:cs="Calibri"/>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43"/>
          <w:szCs w:val="43"/>
        </w:rPr>
        <w:t>烟草制品零售点合理布局规划</w:t>
      </w:r>
    </w:p>
    <w:p w14:paraId="25C0E68A">
      <w:pPr>
        <w:pStyle w:val="3"/>
        <w:keepNext w:val="0"/>
        <w:keepLines w:val="0"/>
        <w:widowControl/>
        <w:suppressLineNumbers w:val="0"/>
        <w:spacing w:before="75" w:beforeAutospacing="0" w:after="75" w:afterAutospacing="0" w:line="705" w:lineRule="atLeast"/>
        <w:ind w:left="0" w:right="0" w:firstLine="0"/>
        <w:jc w:val="center"/>
        <w:rPr>
          <w:rFonts w:hint="default" w:ascii="Calibri" w:hAnsi="Calibri" w:cs="Calibri"/>
          <w:i w:val="0"/>
          <w:iCs w:val="0"/>
          <w:caps w:val="0"/>
          <w:color w:val="000000"/>
          <w:spacing w:val="0"/>
          <w:sz w:val="21"/>
          <w:szCs w:val="21"/>
        </w:rPr>
      </w:pPr>
      <w:r>
        <w:rPr>
          <w:rFonts w:ascii="楷体_GB2312" w:hAnsi="Calibri" w:eastAsia="楷体_GB2312" w:cs="楷体_GB2312"/>
          <w:i w:val="0"/>
          <w:iCs w:val="0"/>
          <w:caps w:val="0"/>
          <w:color w:val="000000"/>
          <w:spacing w:val="0"/>
          <w:sz w:val="31"/>
          <w:szCs w:val="31"/>
        </w:rPr>
        <w:t>（</w:t>
      </w:r>
      <w:r>
        <w:rPr>
          <w:rFonts w:hint="eastAsia" w:ascii="楷体_GB2312" w:hAnsi="Calibri" w:eastAsia="楷体_GB2312" w:cs="楷体_GB2312"/>
          <w:i w:val="0"/>
          <w:iCs w:val="0"/>
          <w:caps w:val="0"/>
          <w:color w:val="000000"/>
          <w:spacing w:val="0"/>
          <w:sz w:val="31"/>
          <w:szCs w:val="31"/>
        </w:rPr>
        <w:t>征求意见稿）</w:t>
      </w:r>
    </w:p>
    <w:p w14:paraId="7E9CE40E">
      <w:pPr>
        <w:pStyle w:val="3"/>
        <w:keepNext w:val="0"/>
        <w:keepLines w:val="0"/>
        <w:widowControl/>
        <w:suppressLineNumbers w:val="0"/>
        <w:spacing w:before="75" w:beforeAutospacing="0" w:after="75" w:afterAutospacing="0"/>
        <w:ind w:left="0" w:right="0" w:firstLine="0"/>
        <w:jc w:val="both"/>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rPr>
        <w:t>    </w:t>
      </w:r>
    </w:p>
    <w:p w14:paraId="26D34B79">
      <w:pPr>
        <w:pStyle w:val="3"/>
        <w:keepNext w:val="0"/>
        <w:keepLines w:val="0"/>
        <w:widowControl/>
        <w:suppressLineNumbers w:val="0"/>
        <w:spacing w:before="75" w:beforeAutospacing="0" w:after="75" w:afterAutospacing="0"/>
        <w:ind w:left="0" w:right="0" w:firstLine="615"/>
        <w:jc w:val="both"/>
        <w:rPr>
          <w:rFonts w:hint="default" w:ascii="Calibri" w:hAnsi="Calibri" w:cs="Calibri"/>
          <w:i w:val="0"/>
          <w:iCs w:val="0"/>
          <w:caps w:val="0"/>
          <w:color w:val="000000"/>
          <w:spacing w:val="0"/>
          <w:sz w:val="21"/>
          <w:szCs w:val="21"/>
        </w:rPr>
      </w:pPr>
      <w:r>
        <w:rPr>
          <w:rFonts w:ascii="黑体" w:hAnsi="宋体" w:eastAsia="黑体" w:cs="黑体"/>
          <w:i w:val="0"/>
          <w:iCs w:val="0"/>
          <w:caps w:val="0"/>
          <w:color w:val="000000"/>
          <w:spacing w:val="0"/>
          <w:sz w:val="31"/>
          <w:szCs w:val="31"/>
        </w:rPr>
        <w:t>第一条</w:t>
      </w:r>
      <w:r>
        <w:rPr>
          <w:rFonts w:hint="eastAsia" w:ascii="黑体" w:hAnsi="宋体" w:eastAsia="黑体" w:cs="黑体"/>
          <w:i w:val="0"/>
          <w:iCs w:val="0"/>
          <w:caps w:val="0"/>
          <w:color w:val="000000"/>
          <w:spacing w:val="0"/>
          <w:sz w:val="31"/>
          <w:szCs w:val="31"/>
        </w:rPr>
        <w:t> </w:t>
      </w:r>
      <w:r>
        <w:rPr>
          <w:rFonts w:hint="eastAsia" w:ascii="宋体" w:hAnsi="宋体" w:eastAsia="宋体" w:cs="宋体"/>
          <w:i w:val="0"/>
          <w:iCs w:val="0"/>
          <w:caps w:val="0"/>
          <w:color w:val="000000"/>
          <w:spacing w:val="0"/>
          <w:sz w:val="21"/>
          <w:szCs w:val="21"/>
        </w:rPr>
        <w:t> </w:t>
      </w:r>
      <w:r>
        <w:rPr>
          <w:rFonts w:hint="eastAsia" w:ascii="仿宋_GB2312" w:hAnsi="Calibri" w:eastAsia="仿宋_GB2312" w:cs="仿宋_GB2312"/>
          <w:i w:val="0"/>
          <w:iCs w:val="0"/>
          <w:caps w:val="0"/>
          <w:color w:val="000000"/>
          <w:spacing w:val="0"/>
          <w:sz w:val="31"/>
          <w:szCs w:val="31"/>
        </w:rPr>
        <w:t>为加强本县烟草专卖零售许可管理，规范烟草制品零售市场经营秩序，维护经营者、消费者及未成年人的合法权益，促进烟草市场健康有序发展，根据《中华人民共和国烟草专卖法》《中华人民共和国行政许可法》《中华人民共和国未成年人保护法》《中华人民共和国烟草专卖法实施条例》《烟草专卖许可证管理办法》《烟草专卖许可证管理办法实施细则》《国家烟草专卖局关于印发完善烟草专卖零售许可管理优化政务服务工作指引的通知》等法律法规、规章和规范性文件的规定，结合福建省罗源县辖区实际，制定本规划。</w:t>
      </w:r>
    </w:p>
    <w:p w14:paraId="43CB1FD7">
      <w:pPr>
        <w:pStyle w:val="3"/>
        <w:keepNext w:val="0"/>
        <w:keepLines w:val="0"/>
        <w:widowControl/>
        <w:suppressLineNumbers w:val="0"/>
        <w:spacing w:before="75" w:beforeAutospacing="0" w:after="75" w:afterAutospacing="0"/>
        <w:ind w:left="0" w:right="0" w:firstLine="0"/>
        <w:jc w:val="both"/>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rPr>
        <w:t>    </w:t>
      </w:r>
      <w:r>
        <w:rPr>
          <w:rFonts w:hint="eastAsia" w:ascii="黑体" w:hAnsi="宋体" w:eastAsia="黑体" w:cs="黑体"/>
          <w:i w:val="0"/>
          <w:iCs w:val="0"/>
          <w:caps w:val="0"/>
          <w:color w:val="000000"/>
          <w:spacing w:val="0"/>
          <w:sz w:val="31"/>
          <w:szCs w:val="31"/>
        </w:rPr>
        <w:t>第二条</w:t>
      </w:r>
      <w:r>
        <w:rPr>
          <w:rFonts w:hint="eastAsia" w:ascii="宋体" w:hAnsi="宋体" w:eastAsia="宋体" w:cs="宋体"/>
          <w:i w:val="0"/>
          <w:iCs w:val="0"/>
          <w:caps w:val="0"/>
          <w:color w:val="000000"/>
          <w:spacing w:val="0"/>
          <w:sz w:val="21"/>
          <w:szCs w:val="21"/>
        </w:rPr>
        <w:t>  </w:t>
      </w:r>
      <w:r>
        <w:rPr>
          <w:rFonts w:hint="eastAsia" w:ascii="仿宋_GB2312" w:hAnsi="Calibri" w:eastAsia="仿宋_GB2312" w:cs="仿宋_GB2312"/>
          <w:i w:val="0"/>
          <w:iCs w:val="0"/>
          <w:caps w:val="0"/>
          <w:color w:val="000000"/>
          <w:spacing w:val="0"/>
          <w:sz w:val="31"/>
          <w:szCs w:val="31"/>
        </w:rPr>
        <w:t>本规划所称烟草制品零售点（以下简称“零售点”）是指依法取得烟草专卖零售许可证的公民、法人和其他组织开展烟草制品零售业务的经营场所。</w:t>
      </w:r>
    </w:p>
    <w:p w14:paraId="68B5EC7A">
      <w:pPr>
        <w:pStyle w:val="3"/>
        <w:keepNext w:val="0"/>
        <w:keepLines w:val="0"/>
        <w:widowControl/>
        <w:suppressLineNumbers w:val="0"/>
        <w:spacing w:before="75" w:beforeAutospacing="0" w:after="75" w:afterAutospacing="0"/>
        <w:ind w:left="0" w:right="0" w:firstLine="0"/>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    零售点的设置应当具备与住所相独立的固定经营场所，申请人应当对经营场所拥有合法使用权。</w:t>
      </w:r>
    </w:p>
    <w:p w14:paraId="54939947">
      <w:pPr>
        <w:pStyle w:val="3"/>
        <w:keepNext w:val="0"/>
        <w:keepLines w:val="0"/>
        <w:widowControl/>
        <w:suppressLineNumbers w:val="0"/>
        <w:spacing w:before="75" w:beforeAutospacing="0" w:after="75" w:afterAutospacing="0"/>
        <w:ind w:left="0" w:right="0" w:firstLine="0"/>
        <w:jc w:val="both"/>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rPr>
        <w:t>    </w:t>
      </w:r>
      <w:r>
        <w:rPr>
          <w:rFonts w:hint="eastAsia" w:ascii="黑体" w:hAnsi="宋体" w:eastAsia="黑体" w:cs="黑体"/>
          <w:i w:val="0"/>
          <w:iCs w:val="0"/>
          <w:caps w:val="0"/>
          <w:color w:val="000000"/>
          <w:spacing w:val="0"/>
          <w:sz w:val="31"/>
          <w:szCs w:val="31"/>
        </w:rPr>
        <w:t>第三条</w:t>
      </w:r>
      <w:r>
        <w:rPr>
          <w:rFonts w:hint="eastAsia" w:ascii="宋体" w:hAnsi="宋体" w:eastAsia="宋体" w:cs="宋体"/>
          <w:i w:val="0"/>
          <w:iCs w:val="0"/>
          <w:caps w:val="0"/>
          <w:color w:val="000000"/>
          <w:spacing w:val="0"/>
          <w:sz w:val="21"/>
          <w:szCs w:val="21"/>
        </w:rPr>
        <w:t>  </w:t>
      </w:r>
      <w:r>
        <w:rPr>
          <w:rFonts w:hint="eastAsia" w:ascii="仿宋_GB2312" w:hAnsi="Calibri" w:eastAsia="仿宋_GB2312" w:cs="仿宋_GB2312"/>
          <w:i w:val="0"/>
          <w:iCs w:val="0"/>
          <w:caps w:val="0"/>
          <w:color w:val="000000"/>
          <w:spacing w:val="0"/>
          <w:sz w:val="31"/>
          <w:szCs w:val="31"/>
        </w:rPr>
        <w:t>本规划适用于福建省罗源县辖区内卷烟、雪茄烟零售点（不含电子烟）的布局。</w:t>
      </w:r>
    </w:p>
    <w:p w14:paraId="71438853">
      <w:pPr>
        <w:pStyle w:val="3"/>
        <w:keepNext w:val="0"/>
        <w:keepLines w:val="0"/>
        <w:widowControl/>
        <w:suppressLineNumbers w:val="0"/>
        <w:spacing w:before="75" w:beforeAutospacing="0" w:after="75" w:afterAutospacing="0" w:line="555" w:lineRule="atLeast"/>
        <w:ind w:left="0" w:right="0" w:firstLine="58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电子烟零售点布局依据《福建省电子烟零售点布局规定》执行。</w:t>
      </w:r>
    </w:p>
    <w:p w14:paraId="117891EF">
      <w:pPr>
        <w:pStyle w:val="3"/>
        <w:keepNext w:val="0"/>
        <w:keepLines w:val="0"/>
        <w:widowControl/>
        <w:suppressLineNumbers w:val="0"/>
        <w:spacing w:before="75" w:beforeAutospacing="0" w:after="75" w:afterAutospacing="0"/>
        <w:ind w:left="0" w:right="0" w:firstLine="0"/>
        <w:jc w:val="both"/>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rPr>
        <w:t>    </w:t>
      </w:r>
      <w:r>
        <w:rPr>
          <w:rFonts w:hint="eastAsia" w:ascii="黑体" w:hAnsi="宋体" w:eastAsia="黑体" w:cs="黑体"/>
          <w:i w:val="0"/>
          <w:iCs w:val="0"/>
          <w:caps w:val="0"/>
          <w:color w:val="000000"/>
          <w:spacing w:val="0"/>
          <w:sz w:val="31"/>
          <w:szCs w:val="31"/>
        </w:rPr>
        <w:t>第四条</w:t>
      </w:r>
      <w:r>
        <w:rPr>
          <w:rFonts w:ascii="仿宋_GB2312" w:hAnsi="仿宋_GB2312" w:eastAsia="仿宋_GB2312" w:cs="仿宋_GB2312"/>
          <w:i w:val="0"/>
          <w:iCs w:val="0"/>
          <w:caps w:val="0"/>
          <w:color w:val="000000"/>
          <w:spacing w:val="0"/>
          <w:sz w:val="31"/>
          <w:szCs w:val="31"/>
        </w:rPr>
        <w:t>  </w:t>
      </w:r>
      <w:r>
        <w:rPr>
          <w:rFonts w:hint="eastAsia" w:ascii="仿宋_GB2312" w:hAnsi="Calibri" w:eastAsia="仿宋_GB2312" w:cs="仿宋_GB2312"/>
          <w:i w:val="0"/>
          <w:iCs w:val="0"/>
          <w:caps w:val="0"/>
          <w:color w:val="000000"/>
          <w:spacing w:val="0"/>
          <w:sz w:val="31"/>
          <w:szCs w:val="31"/>
        </w:rPr>
        <w:t>已合法持有烟草专卖零售许可证的零售户，在许可证有效期内不受本布局规划调整的影响。</w:t>
      </w:r>
    </w:p>
    <w:p w14:paraId="2E1A8947">
      <w:pPr>
        <w:pStyle w:val="3"/>
        <w:keepNext w:val="0"/>
        <w:keepLines w:val="0"/>
        <w:widowControl/>
        <w:suppressLineNumbers w:val="0"/>
        <w:spacing w:before="75" w:beforeAutospacing="0" w:after="75" w:afterAutospacing="0"/>
        <w:ind w:left="0" w:right="0" w:firstLine="645"/>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rPr>
        <w:t>持证人办理延续申请，除经营场所的安全要求和中小学、幼儿园周围的限制规定外，不受本布局规划其他规定调整的影响。</w:t>
      </w:r>
    </w:p>
    <w:p w14:paraId="32ADEAE9">
      <w:pPr>
        <w:pStyle w:val="3"/>
        <w:keepNext w:val="0"/>
        <w:keepLines w:val="0"/>
        <w:widowControl/>
        <w:suppressLineNumbers w:val="0"/>
        <w:spacing w:before="75" w:beforeAutospacing="0" w:after="75" w:afterAutospacing="0"/>
        <w:ind w:left="0" w:right="0" w:firstLine="0"/>
        <w:jc w:val="both"/>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rPr>
        <w:t>    </w:t>
      </w:r>
      <w:r>
        <w:rPr>
          <w:rFonts w:hint="eastAsia" w:ascii="黑体" w:hAnsi="宋体" w:eastAsia="黑体" w:cs="黑体"/>
          <w:i w:val="0"/>
          <w:iCs w:val="0"/>
          <w:caps w:val="0"/>
          <w:color w:val="000000"/>
          <w:spacing w:val="0"/>
          <w:sz w:val="31"/>
          <w:szCs w:val="31"/>
        </w:rPr>
        <w:t>第五条</w:t>
      </w:r>
      <w:r>
        <w:rPr>
          <w:rFonts w:hint="eastAsia" w:ascii="宋体" w:hAnsi="宋体" w:eastAsia="宋体" w:cs="宋体"/>
          <w:i w:val="0"/>
          <w:iCs w:val="0"/>
          <w:caps w:val="0"/>
          <w:color w:val="000000"/>
          <w:spacing w:val="0"/>
          <w:sz w:val="21"/>
          <w:szCs w:val="21"/>
        </w:rPr>
        <w:t>  </w:t>
      </w:r>
      <w:r>
        <w:rPr>
          <w:rFonts w:hint="eastAsia" w:ascii="仿宋_GB2312" w:hAnsi="Calibri" w:eastAsia="仿宋_GB2312" w:cs="仿宋_GB2312"/>
          <w:i w:val="0"/>
          <w:iCs w:val="0"/>
          <w:caps w:val="0"/>
          <w:color w:val="000000"/>
          <w:spacing w:val="0"/>
          <w:sz w:val="31"/>
          <w:szCs w:val="31"/>
        </w:rPr>
        <w:t>零售点合理布局遵循依法行政、科学规划、服务社会、均衡发展的原则。根据辖区经济社会发展变化，定期开展评估，实行动态管理。</w:t>
      </w:r>
    </w:p>
    <w:p w14:paraId="585FC4EA">
      <w:pPr>
        <w:pStyle w:val="3"/>
        <w:keepNext w:val="0"/>
        <w:keepLines w:val="0"/>
        <w:widowControl/>
        <w:suppressLineNumbers w:val="0"/>
        <w:spacing w:before="75" w:beforeAutospacing="0" w:after="75" w:afterAutospacing="0" w:line="555" w:lineRule="atLeast"/>
        <w:ind w:left="0" w:right="0" w:firstLine="0"/>
        <w:jc w:val="both"/>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rPr>
        <w:t>    </w:t>
      </w:r>
      <w:r>
        <w:rPr>
          <w:rFonts w:hint="eastAsia" w:ascii="黑体" w:hAnsi="宋体" w:eastAsia="黑体" w:cs="黑体"/>
          <w:i w:val="0"/>
          <w:iCs w:val="0"/>
          <w:caps w:val="0"/>
          <w:color w:val="000000"/>
          <w:spacing w:val="0"/>
          <w:sz w:val="31"/>
          <w:szCs w:val="31"/>
        </w:rPr>
        <w:t>第六条</w:t>
      </w:r>
      <w:r>
        <w:rPr>
          <w:rStyle w:val="6"/>
          <w:rFonts w:hint="eastAsia" w:ascii="黑体" w:hAnsi="宋体" w:eastAsia="黑体" w:cs="黑体"/>
          <w:i w:val="0"/>
          <w:iCs w:val="0"/>
          <w:caps w:val="0"/>
          <w:color w:val="000000"/>
          <w:spacing w:val="0"/>
          <w:sz w:val="31"/>
          <w:szCs w:val="31"/>
        </w:rPr>
        <w:t>  </w:t>
      </w:r>
      <w:r>
        <w:rPr>
          <w:rFonts w:hint="eastAsia" w:ascii="仿宋_GB2312" w:hAnsi="Calibri" w:eastAsia="仿宋_GB2312" w:cs="仿宋_GB2312"/>
          <w:i w:val="0"/>
          <w:iCs w:val="0"/>
          <w:caps w:val="0"/>
          <w:color w:val="000000"/>
          <w:spacing w:val="0"/>
          <w:sz w:val="31"/>
          <w:szCs w:val="31"/>
        </w:rPr>
        <w:t>法律法规、规章及政策明确禁止设置零售点或不予核发烟草专卖零售许可证的区域为零售布局禁止准入区，禁入区内不予设置零售点；原已核发的许可证，有效期届满后不再延续。禁入区包括下列情形：</w:t>
      </w:r>
    </w:p>
    <w:p w14:paraId="128F1DBB">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（一）经营场所位于中小学、幼儿园校园内，或距离校园进出通道口最短可通行间距50米范围内（含50米）的区域；</w:t>
      </w:r>
    </w:p>
    <w:p w14:paraId="395D4887">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（二）政府、行业规定禁止或不宜经营烟草制品类商品的区域，如党政机关内部、医疗机构内部等。</w:t>
      </w:r>
    </w:p>
    <w:p w14:paraId="2A0EA1EF">
      <w:pPr>
        <w:pStyle w:val="3"/>
        <w:keepNext w:val="0"/>
        <w:keepLines w:val="0"/>
        <w:widowControl/>
        <w:suppressLineNumbers w:val="0"/>
        <w:spacing w:before="75" w:beforeAutospacing="0" w:after="75" w:afterAutospacing="0" w:line="555" w:lineRule="atLeast"/>
        <w:ind w:left="0" w:right="0" w:firstLine="0"/>
        <w:jc w:val="both"/>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rPr>
        <w:t>    </w:t>
      </w:r>
      <w:r>
        <w:rPr>
          <w:rFonts w:hint="eastAsia" w:ascii="黑体" w:hAnsi="宋体" w:eastAsia="黑体" w:cs="黑体"/>
          <w:i w:val="0"/>
          <w:iCs w:val="0"/>
          <w:caps w:val="0"/>
          <w:color w:val="000000"/>
          <w:spacing w:val="0"/>
          <w:sz w:val="31"/>
          <w:szCs w:val="31"/>
        </w:rPr>
        <w:t>第七条 </w:t>
      </w:r>
      <w:r>
        <w:rPr>
          <w:rFonts w:hint="eastAsia" w:ascii="黑体" w:hAnsi="宋体" w:eastAsia="黑体" w:cs="黑体"/>
          <w:i w:val="0"/>
          <w:iCs w:val="0"/>
          <w:caps w:val="0"/>
          <w:color w:val="000000"/>
          <w:spacing w:val="0"/>
          <w:sz w:val="21"/>
          <w:szCs w:val="21"/>
        </w:rPr>
        <w:t> </w:t>
      </w:r>
      <w:r>
        <w:rPr>
          <w:rFonts w:hint="eastAsia" w:ascii="仿宋_GB2312" w:hAnsi="Calibri" w:eastAsia="仿宋_GB2312" w:cs="仿宋_GB2312"/>
          <w:i w:val="0"/>
          <w:iCs w:val="0"/>
          <w:caps w:val="0"/>
          <w:color w:val="000000"/>
          <w:spacing w:val="0"/>
          <w:sz w:val="31"/>
          <w:szCs w:val="31"/>
        </w:rPr>
        <w:t>本规划根据市场单元内烟草专卖零售许可证现有数量和规划调控数量划分区域类型。市场单元内持证户数未达到规划调控数量的，为一般区域。一般区域按照申请人提交完整申请材料的先后顺序，依法依规办理、发放烟草专卖零售许可证，并综合运用数量、间距和其他符合当地实际、科学合理的布局模式。</w:t>
      </w:r>
    </w:p>
    <w:p w14:paraId="6884B15A">
      <w:pPr>
        <w:pStyle w:val="3"/>
        <w:keepNext w:val="0"/>
        <w:keepLines w:val="0"/>
        <w:widowControl/>
        <w:suppressLineNumbers w:val="0"/>
        <w:spacing w:before="75" w:beforeAutospacing="0" w:after="75" w:afterAutospacing="0" w:line="555" w:lineRule="atLeast"/>
        <w:ind w:left="0" w:right="0" w:firstLine="61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（一）数量调控布局模式。参照全市统一模型测算的各区域单元合理证件数量，结合辖区实际，对零售点布局实行总量控制并进行动态调整，各区域单元具体规划数量定期公示。</w:t>
      </w:r>
    </w:p>
    <w:p w14:paraId="2158A49D">
      <w:pPr>
        <w:pStyle w:val="3"/>
        <w:keepNext w:val="0"/>
        <w:keepLines w:val="0"/>
        <w:widowControl/>
        <w:suppressLineNumbers w:val="0"/>
        <w:shd w:val="clear" w:fill="FFFFFF"/>
        <w:spacing w:before="75" w:beforeAutospacing="0" w:after="75" w:afterAutospacing="0" w:line="555" w:lineRule="atLeast"/>
        <w:ind w:left="0" w:right="0" w:firstLine="67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15"/>
          <w:sz w:val="31"/>
          <w:szCs w:val="31"/>
          <w:shd w:val="clear" w:fill="FFFFFF"/>
        </w:rPr>
        <w:t>（二）</w:t>
      </w:r>
      <w:r>
        <w:rPr>
          <w:rFonts w:hint="eastAsia" w:ascii="仿宋_GB2312" w:hAnsi="Calibri" w:eastAsia="仿宋_GB2312" w:cs="仿宋_GB2312"/>
          <w:i w:val="0"/>
          <w:iCs w:val="0"/>
          <w:caps w:val="0"/>
          <w:color w:val="000000"/>
          <w:spacing w:val="0"/>
          <w:sz w:val="31"/>
          <w:szCs w:val="31"/>
          <w:shd w:val="clear" w:fill="FFFFFF"/>
        </w:rPr>
        <w:t>间距限制布局模式。零售点间距现场测量采取可行进间距测量方式，新设零售点与已设零售点各自出入口中心点之间最短可通行距离原则上不得少于15米，以发证机关现场核查结果为准。</w:t>
      </w:r>
    </w:p>
    <w:p w14:paraId="07A291DE">
      <w:pPr>
        <w:pStyle w:val="3"/>
        <w:keepNext w:val="0"/>
        <w:keepLines w:val="0"/>
        <w:widowControl/>
        <w:suppressLineNumbers w:val="0"/>
        <w:shd w:val="clear" w:fill="FFFFFF"/>
        <w:spacing w:before="75" w:beforeAutospacing="0" w:after="75" w:afterAutospacing="0" w:line="555" w:lineRule="atLeast"/>
        <w:ind w:left="0" w:right="0" w:firstLine="0"/>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shd w:val="clear" w:fill="FFFFFF"/>
        </w:rPr>
        <w:t>    </w:t>
      </w:r>
      <w:r>
        <w:rPr>
          <w:rFonts w:hint="eastAsia" w:ascii="黑体" w:hAnsi="宋体" w:eastAsia="黑体" w:cs="黑体"/>
          <w:i w:val="0"/>
          <w:iCs w:val="0"/>
          <w:caps w:val="0"/>
          <w:color w:val="000000"/>
          <w:spacing w:val="0"/>
          <w:sz w:val="31"/>
          <w:szCs w:val="31"/>
          <w:shd w:val="clear" w:fill="FFFFFF"/>
        </w:rPr>
        <w:t>第八条  </w:t>
      </w:r>
      <w:r>
        <w:rPr>
          <w:rFonts w:hint="eastAsia" w:ascii="仿宋_GB2312" w:hAnsi="Calibri" w:eastAsia="仿宋_GB2312" w:cs="仿宋_GB2312"/>
          <w:i w:val="0"/>
          <w:iCs w:val="0"/>
          <w:caps w:val="0"/>
          <w:color w:val="000000"/>
          <w:spacing w:val="0"/>
          <w:sz w:val="31"/>
          <w:szCs w:val="31"/>
          <w:shd w:val="clear" w:fill="FFFFFF"/>
        </w:rPr>
        <w:t>在一般区域申请设置零售点，属于下列情形之一的，不受所在区域单元的数量调控和间距限制：</w:t>
      </w:r>
    </w:p>
    <w:p w14:paraId="6FB96BA8">
      <w:pPr>
        <w:pStyle w:val="3"/>
        <w:keepNext w:val="0"/>
        <w:keepLines w:val="0"/>
        <w:widowControl/>
        <w:suppressLineNumbers w:val="0"/>
        <w:shd w:val="clear" w:fill="FFFFFF"/>
        <w:spacing w:before="75" w:beforeAutospacing="0" w:after="75" w:afterAutospacing="0" w:line="555"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shd w:val="clear" w:fill="FFFFFF"/>
        </w:rPr>
        <w:t>（一）综合型商品交易市场内所设零售点，规划户数在500户以下，设置零售点不超过7个；规划户数在500户以上，设置零售点不超过15个，沿街经营户内外均设有进出口，纳入市场内经营户数；</w:t>
      </w:r>
    </w:p>
    <w:p w14:paraId="49172ED0">
      <w:pPr>
        <w:pStyle w:val="3"/>
        <w:keepNext w:val="0"/>
        <w:keepLines w:val="0"/>
        <w:widowControl/>
        <w:suppressLineNumbers w:val="0"/>
        <w:shd w:val="clear" w:fill="FFFFFF"/>
        <w:spacing w:before="75" w:beforeAutospacing="0" w:after="75" w:afterAutospacing="0" w:line="555"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shd w:val="clear" w:fill="FFFFFF"/>
        </w:rPr>
        <w:t>（二）全封闭式的特殊区域内设置的对内经营场所，如高速公路服务区、部队营区、看守所、拘留所等特殊场所，可设置1个零售点；</w:t>
      </w:r>
    </w:p>
    <w:p w14:paraId="414CC595">
      <w:pPr>
        <w:pStyle w:val="3"/>
        <w:keepNext w:val="0"/>
        <w:keepLines w:val="0"/>
        <w:widowControl/>
        <w:suppressLineNumbers w:val="0"/>
        <w:shd w:val="clear" w:fill="FFFFFF"/>
        <w:spacing w:before="75" w:beforeAutospacing="0" w:after="75" w:afterAutospacing="0" w:line="555" w:lineRule="atLeast"/>
        <w:ind w:left="0" w:right="0" w:firstLine="61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shd w:val="clear" w:fill="FFFFFF"/>
        </w:rPr>
        <w:t>（三）经政府有关部门批准运营的3A级以上大型景区内，可设置1个零售点；</w:t>
      </w:r>
    </w:p>
    <w:p w14:paraId="73D97B7D">
      <w:pPr>
        <w:pStyle w:val="3"/>
        <w:keepNext w:val="0"/>
        <w:keepLines w:val="0"/>
        <w:widowControl/>
        <w:suppressLineNumbers w:val="0"/>
        <w:shd w:val="clear" w:fill="FFFFFF"/>
        <w:spacing w:before="75" w:beforeAutospacing="0" w:after="75" w:afterAutospacing="0" w:line="555"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shd w:val="clear" w:fill="FFFFFF"/>
        </w:rPr>
        <w:t>（四）长途汽车站、火车站等交通枢纽点候乘场所内的，设置零售点不超过3个；</w:t>
      </w:r>
    </w:p>
    <w:p w14:paraId="622ECB24">
      <w:pPr>
        <w:pStyle w:val="3"/>
        <w:keepNext w:val="0"/>
        <w:keepLines w:val="0"/>
        <w:widowControl/>
        <w:suppressLineNumbers w:val="0"/>
        <w:shd w:val="clear" w:fill="FFFFFF"/>
        <w:spacing w:before="75" w:beforeAutospacing="0" w:after="75" w:afterAutospacing="0" w:line="555"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shd w:val="clear" w:fill="FFFFFF"/>
        </w:rPr>
        <w:t>（五）辖区内实施高等教育的学校，设置零售点不超过5个；</w:t>
      </w:r>
    </w:p>
    <w:p w14:paraId="5A79D7AE">
      <w:pPr>
        <w:pStyle w:val="3"/>
        <w:keepNext w:val="0"/>
        <w:keepLines w:val="0"/>
        <w:widowControl/>
        <w:suppressLineNumbers w:val="0"/>
        <w:shd w:val="clear" w:fill="FFFFFF"/>
        <w:spacing w:before="75" w:beforeAutospacing="0" w:after="75" w:afterAutospacing="0" w:line="555"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shd w:val="clear" w:fill="FFFFFF"/>
        </w:rPr>
        <w:t>（六）封闭式管理的工厂内部及位于工业园区、农业园区、科技园区、物流园区、文化创意园区等政府为实现产业发展目标而创立的特殊区位环境产业园区内的，设置零售点不超过10个；</w:t>
      </w:r>
    </w:p>
    <w:p w14:paraId="032A0BB5">
      <w:pPr>
        <w:pStyle w:val="3"/>
        <w:keepNext w:val="0"/>
        <w:keepLines w:val="0"/>
        <w:widowControl/>
        <w:suppressLineNumbers w:val="0"/>
        <w:shd w:val="clear" w:fill="FFFFFF"/>
        <w:spacing w:before="75" w:beforeAutospacing="0" w:after="75" w:afterAutospacing="0" w:line="555" w:lineRule="atLeast"/>
        <w:ind w:left="0" w:right="0" w:firstLine="61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shd w:val="clear" w:fill="FFFFFF"/>
        </w:rPr>
        <w:t>（七）高度集约的商业购物中心内部，以出租店面、柜台为主要经营方式的，设置零售点不超过5个；</w:t>
      </w:r>
    </w:p>
    <w:p w14:paraId="7D27BA1C">
      <w:pPr>
        <w:pStyle w:val="3"/>
        <w:keepNext w:val="0"/>
        <w:keepLines w:val="0"/>
        <w:widowControl/>
        <w:suppressLineNumbers w:val="0"/>
        <w:shd w:val="clear" w:fill="FFFFFF"/>
        <w:spacing w:before="75" w:beforeAutospacing="0" w:after="75" w:afterAutospacing="0" w:line="555" w:lineRule="atLeast"/>
        <w:ind w:left="0" w:right="0" w:firstLine="61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shd w:val="clear" w:fill="FFFFFF"/>
        </w:rPr>
        <w:t>（八）规划工期在半年以上的在建工程项目，为服务项目施工人员，设置零售点不超过2个，许可证有效期应设在工期内；</w:t>
      </w:r>
    </w:p>
    <w:p w14:paraId="6CAE3B54">
      <w:pPr>
        <w:pStyle w:val="3"/>
        <w:keepNext w:val="0"/>
        <w:keepLines w:val="0"/>
        <w:widowControl/>
        <w:suppressLineNumbers w:val="0"/>
        <w:shd w:val="clear" w:fill="FFFFFF"/>
        <w:spacing w:before="75" w:beforeAutospacing="0" w:after="75" w:afterAutospacing="0" w:line="555" w:lineRule="atLeast"/>
        <w:ind w:left="0" w:right="0" w:firstLine="61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shd w:val="clear" w:fill="FFFFFF"/>
        </w:rPr>
        <w:t>（九）地方政府推动城市发展、乡村振兴、产业扶持等，需要烟草零售业务配套的，提供当地县级以上政府部门出具的相应批复、文件、会议纪要等材料，或者由上述部门以公函形式进行商洽的。</w:t>
      </w:r>
    </w:p>
    <w:p w14:paraId="595FB709">
      <w:pPr>
        <w:pStyle w:val="3"/>
        <w:keepNext w:val="0"/>
        <w:keepLines w:val="0"/>
        <w:widowControl/>
        <w:suppressLineNumbers w:val="0"/>
        <w:shd w:val="clear" w:fill="FFFFFF"/>
        <w:spacing w:before="75" w:beforeAutospacing="0" w:after="75" w:afterAutospacing="0" w:line="555" w:lineRule="atLeast"/>
        <w:ind w:left="0" w:right="0" w:firstLine="0"/>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shd w:val="clear" w:fill="FFFFFF"/>
        </w:rPr>
        <w:t>    </w:t>
      </w:r>
      <w:r>
        <w:rPr>
          <w:rFonts w:hint="eastAsia" w:ascii="黑体" w:hAnsi="宋体" w:eastAsia="黑体" w:cs="黑体"/>
          <w:i w:val="0"/>
          <w:iCs w:val="0"/>
          <w:caps w:val="0"/>
          <w:color w:val="000000"/>
          <w:spacing w:val="0"/>
          <w:sz w:val="31"/>
          <w:szCs w:val="31"/>
          <w:shd w:val="clear" w:fill="FFFFFF"/>
        </w:rPr>
        <w:t>第九条</w:t>
      </w:r>
      <w:r>
        <w:rPr>
          <w:rStyle w:val="6"/>
          <w:rFonts w:hint="default" w:ascii="Times New Roman" w:hAnsi="Times New Roman" w:cs="Times New Roman"/>
          <w:i w:val="0"/>
          <w:iCs w:val="0"/>
          <w:caps w:val="0"/>
          <w:color w:val="000000"/>
          <w:spacing w:val="0"/>
          <w:sz w:val="31"/>
          <w:szCs w:val="31"/>
          <w:shd w:val="clear" w:fill="FFFFFF"/>
        </w:rPr>
        <w:t> </w:t>
      </w:r>
      <w:r>
        <w:rPr>
          <w:rStyle w:val="6"/>
          <w:rFonts w:hint="default" w:ascii="Times New Roman" w:hAnsi="Times New Roman" w:cs="Times New Roman"/>
          <w:i w:val="0"/>
          <w:iCs w:val="0"/>
          <w:caps w:val="0"/>
          <w:color w:val="000000"/>
          <w:spacing w:val="15"/>
          <w:sz w:val="31"/>
          <w:szCs w:val="31"/>
          <w:shd w:val="clear" w:fill="FFFFFF"/>
        </w:rPr>
        <w:t> </w:t>
      </w:r>
      <w:r>
        <w:rPr>
          <w:rFonts w:hint="eastAsia" w:ascii="仿宋_GB2312" w:hAnsi="Calibri" w:eastAsia="仿宋_GB2312" w:cs="仿宋_GB2312"/>
          <w:i w:val="0"/>
          <w:iCs w:val="0"/>
          <w:caps w:val="0"/>
          <w:color w:val="000000"/>
          <w:spacing w:val="0"/>
          <w:sz w:val="31"/>
          <w:szCs w:val="31"/>
          <w:shd w:val="clear" w:fill="FFFFFF"/>
        </w:rPr>
        <w:t>在一般区域申请设置零售点，属于下列情形之一的，不受间距限制，但受数量调控：</w:t>
      </w:r>
    </w:p>
    <w:p w14:paraId="653F299A">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（一）居民小区（新村）内零售点根据商品房数量确定，商品房在500户以下的可设置5个零售点，500户以上每超过150户可增设1个零售点，原则上1栋居民楼只设置2个零售点；</w:t>
      </w:r>
    </w:p>
    <w:p w14:paraId="02EA63A9">
      <w:pPr>
        <w:pStyle w:val="3"/>
        <w:keepNext w:val="0"/>
        <w:keepLines w:val="0"/>
        <w:widowControl/>
        <w:suppressLineNumbers w:val="0"/>
        <w:spacing w:before="75" w:beforeAutospacing="0" w:after="75" w:afterAutospacing="0" w:line="555" w:lineRule="atLeast"/>
        <w:ind w:left="0" w:right="0" w:firstLine="0"/>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    （二）长途汽车站和火车站</w:t>
      </w:r>
      <w:r>
        <w:rPr>
          <w:rFonts w:hint="eastAsia" w:ascii="仿宋_GB2312" w:hAnsi="Calibri" w:eastAsia="仿宋_GB2312" w:cs="仿宋_GB2312"/>
          <w:i w:val="0"/>
          <w:iCs w:val="0"/>
          <w:caps w:val="0"/>
          <w:color w:val="000000"/>
          <w:spacing w:val="0"/>
          <w:sz w:val="31"/>
          <w:szCs w:val="31"/>
          <w:shd w:val="clear" w:fill="FFFFFF"/>
        </w:rPr>
        <w:t>等交通枢纽点</w:t>
      </w:r>
      <w:r>
        <w:rPr>
          <w:rFonts w:hint="eastAsia" w:ascii="仿宋_GB2312" w:hAnsi="Calibri" w:eastAsia="仿宋_GB2312" w:cs="仿宋_GB2312"/>
          <w:i w:val="0"/>
          <w:iCs w:val="0"/>
          <w:caps w:val="0"/>
          <w:color w:val="000000"/>
          <w:spacing w:val="0"/>
          <w:sz w:val="31"/>
          <w:szCs w:val="31"/>
        </w:rPr>
        <w:t>乘客主要出入口左右两侧20米内各可设置2个零售点。</w:t>
      </w:r>
    </w:p>
    <w:p w14:paraId="179A9E34">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（三）经营面积在1000平方米以上的酒店、宾馆、KTV、酒吧等娱乐服务场所，满足对内经营需求的；</w:t>
      </w:r>
    </w:p>
    <w:p w14:paraId="162D2778">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（四）经营面积在100平方米以上的便利店、超市、烟酒商店。</w:t>
      </w:r>
    </w:p>
    <w:p w14:paraId="76195DF8">
      <w:pPr>
        <w:pStyle w:val="3"/>
        <w:keepNext w:val="0"/>
        <w:keepLines w:val="0"/>
        <w:widowControl/>
        <w:suppressLineNumbers w:val="0"/>
        <w:spacing w:before="75" w:beforeAutospacing="0" w:after="75" w:afterAutospacing="0" w:line="555" w:lineRule="atLeast"/>
        <w:ind w:left="0" w:right="0" w:firstLine="0"/>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rPr>
        <w:t>    </w:t>
      </w:r>
      <w:r>
        <w:rPr>
          <w:rFonts w:hint="eastAsia" w:ascii="黑体" w:hAnsi="宋体" w:eastAsia="黑体" w:cs="黑体"/>
          <w:i w:val="0"/>
          <w:iCs w:val="0"/>
          <w:caps w:val="0"/>
          <w:color w:val="000000"/>
          <w:spacing w:val="0"/>
          <w:sz w:val="31"/>
          <w:szCs w:val="31"/>
        </w:rPr>
        <w:t>第十条</w:t>
      </w:r>
      <w:r>
        <w:rPr>
          <w:rFonts w:hint="default" w:ascii="Times New Roman" w:hAnsi="Times New Roman" w:cs="Times New Roman"/>
          <w:i w:val="0"/>
          <w:iCs w:val="0"/>
          <w:caps w:val="0"/>
          <w:color w:val="000000"/>
          <w:spacing w:val="0"/>
          <w:sz w:val="31"/>
          <w:szCs w:val="31"/>
        </w:rPr>
        <w:t>  </w:t>
      </w:r>
      <w:r>
        <w:rPr>
          <w:rFonts w:hint="eastAsia" w:ascii="仿宋_GB2312" w:hAnsi="Calibri" w:eastAsia="仿宋_GB2312" w:cs="仿宋_GB2312"/>
          <w:i w:val="0"/>
          <w:iCs w:val="0"/>
          <w:caps w:val="0"/>
          <w:color w:val="000000"/>
          <w:spacing w:val="0"/>
          <w:sz w:val="31"/>
          <w:szCs w:val="31"/>
        </w:rPr>
        <w:t>在一般区域申请设置零售点，属于下列情形之一的，不受数量、间距管控限制，但应在原许可证有效期内且在客观原因发生之日起六个月内提出申请：</w:t>
      </w:r>
    </w:p>
    <w:p w14:paraId="104F0E27">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（一）烟草专卖零售许可证被许可人（自然人）死亡、丧失民事行为能力导致无法继续经营的，在注销其原许可证的同时，原共同生活的配偶、父母、子女在原址重新申请的；</w:t>
      </w:r>
    </w:p>
    <w:p w14:paraId="496AC350">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（二）因自然灾害、城市建设、道路规划等客观原因造成无法在核定经营地址经营的原持证人，持原地址政府出具的相关书面材料，申请变更到其他经营地址的；原址重建后，持证人申请回迁原址经营的；</w:t>
      </w:r>
    </w:p>
    <w:p w14:paraId="55DC2898">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（三）因新建或改建中小学校园、幼儿园等原因导致原经营场所不符合法定条件的原持证人，需要更换到其他经营地址的；原中小学、幼儿园周围不予许可认定因素消除后，原持证人申请回迁原址经营的；</w:t>
      </w:r>
    </w:p>
    <w:p w14:paraId="6BA48506">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（四）因法律法规修改导致原经营场所不符合法定条件的原持证人，需要变更到其他经营地址的。</w:t>
      </w:r>
    </w:p>
    <w:p w14:paraId="67BD1788">
      <w:pPr>
        <w:pStyle w:val="3"/>
        <w:keepNext w:val="0"/>
        <w:keepLines w:val="0"/>
        <w:widowControl/>
        <w:suppressLineNumbers w:val="0"/>
        <w:spacing w:before="75" w:beforeAutospacing="0" w:after="75" w:afterAutospacing="0" w:line="555"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符合前款第（二）、（三）、（四）项所列情形的持证户，不作为变更时已受理或已排队申请人的间距管控的有效参照物。</w:t>
      </w:r>
    </w:p>
    <w:p w14:paraId="17FD5B6C">
      <w:pPr>
        <w:pStyle w:val="3"/>
        <w:keepNext w:val="0"/>
        <w:keepLines w:val="0"/>
        <w:widowControl/>
        <w:suppressLineNumbers w:val="0"/>
        <w:spacing w:before="75" w:beforeAutospacing="0" w:after="75" w:afterAutospacing="0" w:line="555" w:lineRule="atLeast"/>
        <w:ind w:left="0" w:right="0" w:firstLine="0"/>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rPr>
        <w:t>    </w:t>
      </w:r>
      <w:r>
        <w:rPr>
          <w:rFonts w:hint="eastAsia" w:ascii="黑体" w:hAnsi="宋体" w:eastAsia="黑体" w:cs="黑体"/>
          <w:i w:val="0"/>
          <w:iCs w:val="0"/>
          <w:caps w:val="0"/>
          <w:color w:val="000000"/>
          <w:spacing w:val="0"/>
          <w:sz w:val="31"/>
          <w:szCs w:val="31"/>
        </w:rPr>
        <w:t>第十一条  </w:t>
      </w:r>
      <w:r>
        <w:rPr>
          <w:rFonts w:hint="eastAsia" w:ascii="仿宋_GB2312" w:hAnsi="Calibri" w:eastAsia="仿宋_GB2312" w:cs="仿宋_GB2312"/>
          <w:i w:val="0"/>
          <w:iCs w:val="0"/>
          <w:caps w:val="0"/>
          <w:color w:val="000000"/>
          <w:spacing w:val="0"/>
          <w:sz w:val="31"/>
          <w:szCs w:val="31"/>
        </w:rPr>
        <w:t>本县常住人口、未持有本县烟草专卖零售许可证且由本人驻店经营的个体工商户，属于下列情形之一的（智力残疾、精神残疾人员除外），在一般区域申请设置零售点，可将间距标准放宽50%：</w:t>
      </w:r>
    </w:p>
    <w:p w14:paraId="0F025854">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（一）残疾军人、持有1-4级残疾证的残疾人、军烈属；</w:t>
      </w:r>
    </w:p>
    <w:p w14:paraId="4F853F80">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（二）县政府相关部门致函要求照顾的特殊群体；</w:t>
      </w:r>
    </w:p>
    <w:p w14:paraId="7FACBE4D">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（三）其他确有政策扶持需要的特殊情形。</w:t>
      </w:r>
    </w:p>
    <w:p w14:paraId="78016E80">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上述申请人一人依据本条规定只能享受一次放宽政策。</w:t>
      </w:r>
    </w:p>
    <w:p w14:paraId="05055E8E">
      <w:pPr>
        <w:pStyle w:val="3"/>
        <w:keepNext w:val="0"/>
        <w:keepLines w:val="0"/>
        <w:widowControl/>
        <w:suppressLineNumbers w:val="0"/>
        <w:spacing w:before="75" w:beforeAutospacing="0" w:after="75" w:afterAutospacing="0"/>
        <w:ind w:left="0" w:right="0" w:firstLine="0"/>
        <w:jc w:val="both"/>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rPr>
        <w:t>    </w:t>
      </w:r>
      <w:r>
        <w:rPr>
          <w:rFonts w:hint="eastAsia" w:ascii="黑体" w:hAnsi="宋体" w:eastAsia="黑体" w:cs="黑体"/>
          <w:i w:val="0"/>
          <w:iCs w:val="0"/>
          <w:caps w:val="0"/>
          <w:color w:val="000000"/>
          <w:spacing w:val="0"/>
          <w:sz w:val="31"/>
          <w:szCs w:val="31"/>
        </w:rPr>
        <w:t>第十二条</w:t>
      </w:r>
      <w:r>
        <w:rPr>
          <w:rFonts w:ascii="仿宋_GB2312" w:hAnsi="仿宋_GB2312" w:eastAsia="仿宋_GB2312" w:cs="仿宋_GB2312"/>
          <w:i w:val="0"/>
          <w:iCs w:val="0"/>
          <w:caps w:val="0"/>
          <w:color w:val="000000"/>
          <w:spacing w:val="0"/>
          <w:sz w:val="31"/>
          <w:szCs w:val="31"/>
        </w:rPr>
        <w:t>  </w:t>
      </w:r>
      <w:r>
        <w:rPr>
          <w:rFonts w:hint="eastAsia" w:ascii="仿宋_GB2312" w:hAnsi="Calibri" w:eastAsia="仿宋_GB2312" w:cs="仿宋_GB2312"/>
          <w:i w:val="0"/>
          <w:iCs w:val="0"/>
          <w:caps w:val="0"/>
          <w:color w:val="000000"/>
          <w:spacing w:val="0"/>
          <w:sz w:val="31"/>
          <w:szCs w:val="31"/>
        </w:rPr>
        <w:t>市场单元区域持证户数达到或超过规划调控数量的，该区域启动排队轮候管理，以申请先后顺序统一纳入轮候序列，依次办理。</w:t>
      </w:r>
    </w:p>
    <w:p w14:paraId="47A907AC">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排队轮候实行“谁申请谁排号、排号转让无效、过号失效、公开透明”的原则，登记排号轮候的有效期限为长期有效，发证机关应对长期轮候的申请人定期核实办证意愿和登记事项。</w:t>
      </w:r>
    </w:p>
    <w:p w14:paraId="38C42616">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轮候公示以办证服务大厅窗口、金叶便民小程序等多种方式对外公示。</w:t>
      </w:r>
    </w:p>
    <w:p w14:paraId="1AFAD64E">
      <w:pPr>
        <w:pStyle w:val="3"/>
        <w:keepNext w:val="0"/>
        <w:keepLines w:val="0"/>
        <w:widowControl/>
        <w:suppressLineNumbers w:val="0"/>
        <w:spacing w:before="75" w:beforeAutospacing="0" w:after="75" w:afterAutospacing="0" w:line="555" w:lineRule="atLeast"/>
        <w:ind w:left="0" w:right="0" w:firstLine="0"/>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rPr>
        <w:t>   </w:t>
      </w:r>
      <w:r>
        <w:rPr>
          <w:rFonts w:hint="eastAsia" w:ascii="黑体" w:hAnsi="宋体" w:eastAsia="黑体" w:cs="黑体"/>
          <w:i w:val="0"/>
          <w:iCs w:val="0"/>
          <w:caps w:val="0"/>
          <w:color w:val="000000"/>
          <w:spacing w:val="0"/>
          <w:sz w:val="31"/>
          <w:szCs w:val="31"/>
        </w:rPr>
        <w:t> 第十三条</w:t>
      </w:r>
      <w:r>
        <w:rPr>
          <w:rFonts w:ascii="仿宋_GB2312" w:hAnsi="仿宋_GB2312" w:eastAsia="仿宋_GB2312" w:cs="仿宋_GB2312"/>
          <w:i w:val="0"/>
          <w:iCs w:val="0"/>
          <w:caps w:val="0"/>
          <w:color w:val="000000"/>
          <w:spacing w:val="0"/>
          <w:sz w:val="31"/>
          <w:szCs w:val="31"/>
        </w:rPr>
        <w:t>  </w:t>
      </w:r>
      <w:r>
        <w:rPr>
          <w:rFonts w:hint="eastAsia" w:ascii="仿宋_GB2312" w:hAnsi="Calibri" w:eastAsia="仿宋_GB2312" w:cs="仿宋_GB2312"/>
          <w:i w:val="0"/>
          <w:iCs w:val="0"/>
          <w:caps w:val="0"/>
          <w:color w:val="000000"/>
          <w:spacing w:val="0"/>
          <w:sz w:val="31"/>
          <w:szCs w:val="31"/>
        </w:rPr>
        <w:t>排队实行区域轮候登记，按照该区域申请的先后顺序进行排号备案。对于符合法定条件且申请材料齐全的申请人，受理机关按受理时间的先后顺序审核发放烟草零售许可证。</w:t>
      </w:r>
    </w:p>
    <w:p w14:paraId="109C42B1">
      <w:pPr>
        <w:pStyle w:val="3"/>
        <w:keepNext w:val="0"/>
        <w:keepLines w:val="0"/>
        <w:widowControl/>
        <w:suppressLineNumbers w:val="0"/>
        <w:spacing w:before="75" w:beforeAutospacing="0" w:after="75" w:afterAutospacing="0" w:line="555" w:lineRule="atLeast"/>
        <w:ind w:left="0" w:right="0" w:firstLine="61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申请人进入排队轮候后，除由于系统故障、生僻字无法录入等原因导致轮候登记的事项信息不一致的，申请人登记的企业名称、法定代表人或其他组织负责人、企业住所、经营地址等登记事项应与实际经营情况相一致。申请人如客观原因需更改企业名称或更正身份信息的，应当在到号前向发证机关申请作出相应修改。</w:t>
      </w:r>
    </w:p>
    <w:p w14:paraId="10489BC5">
      <w:pPr>
        <w:pStyle w:val="3"/>
        <w:keepNext w:val="0"/>
        <w:keepLines w:val="0"/>
        <w:widowControl/>
        <w:suppressLineNumbers w:val="0"/>
        <w:spacing w:before="75" w:beforeAutospacing="0" w:after="75" w:afterAutospacing="0" w:line="555"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申请人排队到号应当在收到办理通知之日起三个工作日内提交办证申请材料，逾期未提交或在三个工作日内按照其提供的联系方式无法联系通知办理的，视同放弃申请，并由下一位排号人递补申请。</w:t>
      </w:r>
    </w:p>
    <w:p w14:paraId="26168EFC">
      <w:pPr>
        <w:pStyle w:val="3"/>
        <w:keepNext w:val="0"/>
        <w:keepLines w:val="0"/>
        <w:widowControl/>
        <w:suppressLineNumbers w:val="0"/>
        <w:spacing w:before="75" w:beforeAutospacing="0" w:after="75" w:afterAutospacing="0"/>
        <w:ind w:left="0" w:right="0" w:firstLine="0"/>
        <w:jc w:val="both"/>
        <w:rPr>
          <w:rFonts w:hint="default" w:ascii="Calibri" w:hAnsi="Calibri" w:cs="Calibri"/>
          <w:i w:val="0"/>
          <w:iCs w:val="0"/>
          <w:caps w:val="0"/>
          <w:color w:val="000000"/>
          <w:spacing w:val="0"/>
          <w:sz w:val="21"/>
          <w:szCs w:val="21"/>
        </w:rPr>
      </w:pPr>
      <w:r>
        <w:rPr>
          <w:rFonts w:ascii="仿宋_GB2312" w:hAnsi="仿宋_GB2312" w:eastAsia="仿宋_GB2312" w:cs="仿宋_GB2312"/>
          <w:i w:val="0"/>
          <w:iCs w:val="0"/>
          <w:caps w:val="0"/>
          <w:color w:val="000000"/>
          <w:spacing w:val="0"/>
          <w:sz w:val="31"/>
          <w:szCs w:val="31"/>
        </w:rPr>
        <w:t>   </w:t>
      </w:r>
      <w:r>
        <w:rPr>
          <w:rFonts w:hint="eastAsia" w:ascii="黑体" w:hAnsi="宋体" w:eastAsia="黑体" w:cs="黑体"/>
          <w:i w:val="0"/>
          <w:iCs w:val="0"/>
          <w:caps w:val="0"/>
          <w:color w:val="000000"/>
          <w:spacing w:val="0"/>
          <w:sz w:val="31"/>
          <w:szCs w:val="31"/>
        </w:rPr>
        <w:t> 第十四条  </w:t>
      </w:r>
      <w:r>
        <w:rPr>
          <w:rFonts w:hint="eastAsia" w:ascii="仿宋_GB2312" w:hAnsi="Calibri" w:eastAsia="仿宋_GB2312" w:cs="仿宋_GB2312"/>
          <w:i w:val="0"/>
          <w:iCs w:val="0"/>
          <w:caps w:val="0"/>
          <w:color w:val="000000"/>
          <w:spacing w:val="0"/>
          <w:sz w:val="31"/>
          <w:szCs w:val="31"/>
        </w:rPr>
        <w:t>申请人在排队轮候期间，书面提出取消排队轮候申请的，发证机关应当及时终止其申请。</w:t>
      </w:r>
    </w:p>
    <w:p w14:paraId="75B74247">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有下列情形之一的，排号人的原登记信息及时失效且不得已原登记顺序进行再次登记：</w:t>
      </w:r>
    </w:p>
    <w:p w14:paraId="4648C374">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（一）无法按照其提供的联系方式联系到排号人的；</w:t>
      </w:r>
    </w:p>
    <w:p w14:paraId="610AF067">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（二）经发证机关实地核查，发现实际经营情况与原登记情况不符的。</w:t>
      </w:r>
    </w:p>
    <w:p w14:paraId="2C89B0A7">
      <w:pPr>
        <w:pStyle w:val="3"/>
        <w:keepNext w:val="0"/>
        <w:keepLines w:val="0"/>
        <w:widowControl/>
        <w:suppressLineNumbers w:val="0"/>
        <w:spacing w:before="75" w:beforeAutospacing="0" w:after="75" w:afterAutospacing="0" w:line="555" w:lineRule="atLeast"/>
        <w:ind w:left="0" w:right="0" w:firstLine="0"/>
        <w:rPr>
          <w:rFonts w:hint="default" w:ascii="Calibri" w:hAnsi="Calibri" w:cs="Calibri"/>
          <w:i w:val="0"/>
          <w:iCs w:val="0"/>
          <w:caps w:val="0"/>
          <w:color w:val="000000"/>
          <w:spacing w:val="0"/>
          <w:sz w:val="21"/>
          <w:szCs w:val="21"/>
        </w:rPr>
      </w:pPr>
      <w:r>
        <w:rPr>
          <w:rStyle w:val="6"/>
          <w:rFonts w:hint="default" w:ascii="Times New Roman" w:hAnsi="Times New Roman" w:cs="Times New Roman"/>
          <w:i w:val="0"/>
          <w:iCs w:val="0"/>
          <w:caps w:val="0"/>
          <w:color w:val="000000"/>
          <w:spacing w:val="15"/>
          <w:sz w:val="31"/>
          <w:szCs w:val="31"/>
        </w:rPr>
        <w:t>   </w:t>
      </w:r>
      <w:r>
        <w:rPr>
          <w:rStyle w:val="6"/>
          <w:rFonts w:ascii="仿宋_GB2312" w:hAnsi="仿宋_GB2312" w:eastAsia="仿宋_GB2312" w:cs="仿宋_GB2312"/>
          <w:i w:val="0"/>
          <w:iCs w:val="0"/>
          <w:caps w:val="0"/>
          <w:color w:val="000000"/>
          <w:spacing w:val="15"/>
          <w:sz w:val="31"/>
          <w:szCs w:val="31"/>
        </w:rPr>
        <w:t> </w:t>
      </w:r>
      <w:r>
        <w:rPr>
          <w:rFonts w:hint="eastAsia" w:ascii="黑体" w:hAnsi="宋体" w:eastAsia="黑体" w:cs="黑体"/>
          <w:i w:val="0"/>
          <w:iCs w:val="0"/>
          <w:caps w:val="0"/>
          <w:color w:val="000000"/>
          <w:spacing w:val="0"/>
          <w:sz w:val="31"/>
          <w:szCs w:val="31"/>
        </w:rPr>
        <w:t>第十五条</w:t>
      </w:r>
      <w:r>
        <w:rPr>
          <w:rFonts w:hint="default" w:ascii="Times New Roman" w:hAnsi="Times New Roman" w:cs="Times New Roman"/>
          <w:i w:val="0"/>
          <w:iCs w:val="0"/>
          <w:caps w:val="0"/>
          <w:color w:val="000000"/>
          <w:spacing w:val="0"/>
          <w:sz w:val="31"/>
          <w:szCs w:val="31"/>
        </w:rPr>
        <w:t> </w:t>
      </w:r>
      <w:r>
        <w:rPr>
          <w:rFonts w:hint="eastAsia" w:ascii="仿宋_GB2312" w:hAnsi="Calibri" w:eastAsia="仿宋_GB2312" w:cs="仿宋_GB2312"/>
          <w:i w:val="0"/>
          <w:iCs w:val="0"/>
          <w:caps w:val="0"/>
          <w:color w:val="000000"/>
          <w:spacing w:val="0"/>
          <w:sz w:val="31"/>
          <w:szCs w:val="31"/>
        </w:rPr>
        <w:t> 申请许可范围仅为“雪茄烟本店零售”的雪茄烟零售点，应符合辖区雪茄烟零售点规划调控数量要求，不设间距限制，应当具备下列条件：</w:t>
      </w:r>
    </w:p>
    <w:p w14:paraId="13C4D688">
      <w:pPr>
        <w:pStyle w:val="3"/>
        <w:keepNext w:val="0"/>
        <w:keepLines w:val="0"/>
        <w:widowControl/>
        <w:suppressLineNumbers w:val="0"/>
        <w:spacing w:before="75" w:beforeAutospacing="0" w:after="75" w:afterAutospacing="0" w:line="555" w:lineRule="atLeast"/>
        <w:ind w:left="0" w:right="0" w:firstLine="61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（一）有与经营雪茄烟零售业务相适应的资金；</w:t>
      </w:r>
    </w:p>
    <w:p w14:paraId="0E6BF1F0">
      <w:pPr>
        <w:pStyle w:val="3"/>
        <w:keepNext w:val="0"/>
        <w:keepLines w:val="0"/>
        <w:widowControl/>
        <w:suppressLineNumbers w:val="0"/>
        <w:spacing w:before="75" w:beforeAutospacing="0" w:after="75" w:afterAutospacing="0" w:line="555" w:lineRule="atLeast"/>
        <w:ind w:left="0" w:right="0" w:firstLine="61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（二）有与住所相独立的固定经营场所；</w:t>
      </w:r>
    </w:p>
    <w:p w14:paraId="5D1DD9D4">
      <w:pPr>
        <w:pStyle w:val="3"/>
        <w:keepNext w:val="0"/>
        <w:keepLines w:val="0"/>
        <w:widowControl/>
        <w:suppressLineNumbers w:val="0"/>
        <w:spacing w:before="75" w:beforeAutospacing="0" w:after="75" w:afterAutospacing="0" w:line="555" w:lineRule="atLeast"/>
        <w:ind w:left="0" w:right="0" w:firstLine="61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（三）主营业务为雪茄烟零售，不得销售其他烟草制品；</w:t>
      </w:r>
    </w:p>
    <w:p w14:paraId="5F058943">
      <w:pPr>
        <w:pStyle w:val="3"/>
        <w:keepNext w:val="0"/>
        <w:keepLines w:val="0"/>
        <w:widowControl/>
        <w:suppressLineNumbers w:val="0"/>
        <w:spacing w:before="75" w:beforeAutospacing="0" w:after="75" w:afterAutospacing="0" w:line="555" w:lineRule="atLeast"/>
        <w:ind w:left="0" w:right="0" w:firstLine="61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（四）有专业的雪茄烟经营条件，设有雪茄陈列区和品鉴区，具备温湿恒定系统的雪茄烟柜或具有专业雪茄养护房，经营场所内具备新风系统或其他排风系统；</w:t>
      </w:r>
    </w:p>
    <w:p w14:paraId="17C367E3">
      <w:pPr>
        <w:pStyle w:val="3"/>
        <w:keepNext w:val="0"/>
        <w:keepLines w:val="0"/>
        <w:widowControl/>
        <w:suppressLineNumbers w:val="0"/>
        <w:spacing w:before="75" w:beforeAutospacing="0" w:after="75" w:afterAutospacing="0" w:line="555" w:lineRule="atLeast"/>
        <w:ind w:left="0" w:right="0" w:firstLine="61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（五）国家烟草专卖局规定的其他条件。</w:t>
      </w:r>
    </w:p>
    <w:p w14:paraId="15D89558">
      <w:pPr>
        <w:pStyle w:val="3"/>
        <w:keepNext w:val="0"/>
        <w:keepLines w:val="0"/>
        <w:widowControl/>
        <w:suppressLineNumbers w:val="0"/>
        <w:spacing w:before="75" w:beforeAutospacing="0" w:after="75" w:afterAutospacing="0" w:line="555"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如因上级烟草专卖行政主管部门出台雪茄烟零售点合理布局规划文件的，从其规定执行。</w:t>
      </w:r>
    </w:p>
    <w:p w14:paraId="207C2D08">
      <w:pPr>
        <w:pStyle w:val="3"/>
        <w:keepNext w:val="0"/>
        <w:keepLines w:val="0"/>
        <w:widowControl/>
        <w:suppressLineNumbers w:val="0"/>
        <w:spacing w:before="75" w:beforeAutospacing="0" w:after="75" w:afterAutospacing="0" w:line="555" w:lineRule="atLeast"/>
        <w:ind w:left="0" w:right="0" w:firstLine="0"/>
        <w:rPr>
          <w:rFonts w:hint="default" w:ascii="Calibri" w:hAnsi="Calibri" w:cs="Calibri"/>
          <w:i w:val="0"/>
          <w:iCs w:val="0"/>
          <w:caps w:val="0"/>
          <w:color w:val="000000"/>
          <w:spacing w:val="0"/>
          <w:sz w:val="21"/>
          <w:szCs w:val="21"/>
        </w:rPr>
      </w:pPr>
      <w:r>
        <w:rPr>
          <w:rStyle w:val="6"/>
          <w:rFonts w:hint="default" w:ascii="Times New Roman" w:hAnsi="Times New Roman" w:cs="Times New Roman"/>
          <w:i w:val="0"/>
          <w:iCs w:val="0"/>
          <w:caps w:val="0"/>
          <w:color w:val="000000"/>
          <w:spacing w:val="15"/>
          <w:sz w:val="31"/>
          <w:szCs w:val="31"/>
        </w:rPr>
        <w:t>   </w:t>
      </w:r>
      <w:r>
        <w:rPr>
          <w:rStyle w:val="6"/>
          <w:rFonts w:ascii="仿宋_GB2312" w:hAnsi="仿宋_GB2312" w:eastAsia="仿宋_GB2312" w:cs="仿宋_GB2312"/>
          <w:i w:val="0"/>
          <w:iCs w:val="0"/>
          <w:caps w:val="0"/>
          <w:color w:val="000000"/>
          <w:spacing w:val="15"/>
          <w:sz w:val="31"/>
          <w:szCs w:val="31"/>
        </w:rPr>
        <w:t> </w:t>
      </w:r>
      <w:r>
        <w:rPr>
          <w:rFonts w:hint="eastAsia" w:ascii="黑体" w:hAnsi="宋体" w:eastAsia="黑体" w:cs="黑体"/>
          <w:i w:val="0"/>
          <w:iCs w:val="0"/>
          <w:caps w:val="0"/>
          <w:color w:val="000000"/>
          <w:spacing w:val="0"/>
          <w:sz w:val="31"/>
          <w:szCs w:val="31"/>
        </w:rPr>
        <w:t>第十六条</w:t>
      </w:r>
      <w:r>
        <w:rPr>
          <w:rFonts w:hint="eastAsia" w:ascii="仿宋_GB2312" w:hAnsi="Calibri" w:eastAsia="仿宋_GB2312" w:cs="仿宋_GB2312"/>
          <w:i w:val="0"/>
          <w:iCs w:val="0"/>
          <w:caps w:val="0"/>
          <w:color w:val="000000"/>
          <w:spacing w:val="0"/>
          <w:sz w:val="21"/>
          <w:szCs w:val="21"/>
        </w:rPr>
        <w:t>  </w:t>
      </w:r>
      <w:r>
        <w:rPr>
          <w:rFonts w:hint="eastAsia" w:ascii="仿宋_GB2312" w:hAnsi="Calibri" w:eastAsia="仿宋_GB2312" w:cs="仿宋_GB2312"/>
          <w:i w:val="0"/>
          <w:iCs w:val="0"/>
          <w:caps w:val="0"/>
          <w:color w:val="000000"/>
          <w:spacing w:val="0"/>
          <w:sz w:val="31"/>
          <w:szCs w:val="31"/>
        </w:rPr>
        <w:t>雪茄烟零售点与非雪茄烟零售点之间，互不作为零售点间距、数量核算的参照物。</w:t>
      </w:r>
    </w:p>
    <w:p w14:paraId="74D850BC">
      <w:pPr>
        <w:pStyle w:val="3"/>
        <w:keepNext w:val="0"/>
        <w:keepLines w:val="0"/>
        <w:widowControl/>
        <w:suppressLineNumbers w:val="0"/>
        <w:spacing w:before="75" w:beforeAutospacing="0" w:after="75" w:afterAutospacing="0" w:line="555" w:lineRule="atLeast"/>
        <w:ind w:left="0" w:right="0" w:firstLine="0"/>
        <w:jc w:val="both"/>
        <w:rPr>
          <w:rFonts w:hint="default" w:ascii="Calibri" w:hAnsi="Calibri" w:cs="Calibri"/>
          <w:i w:val="0"/>
          <w:iCs w:val="0"/>
          <w:caps w:val="0"/>
          <w:color w:val="000000"/>
          <w:spacing w:val="0"/>
          <w:sz w:val="21"/>
          <w:szCs w:val="21"/>
        </w:rPr>
      </w:pPr>
      <w:r>
        <w:rPr>
          <w:rStyle w:val="6"/>
          <w:rFonts w:hint="default" w:ascii="Times New Roman" w:hAnsi="Times New Roman" w:cs="Times New Roman"/>
          <w:i w:val="0"/>
          <w:iCs w:val="0"/>
          <w:caps w:val="0"/>
          <w:color w:val="000000"/>
          <w:spacing w:val="15"/>
          <w:sz w:val="31"/>
          <w:szCs w:val="31"/>
        </w:rPr>
        <w:t>   </w:t>
      </w:r>
      <w:r>
        <w:rPr>
          <w:rStyle w:val="6"/>
          <w:rFonts w:ascii="仿宋_GB2312" w:hAnsi="仿宋_GB2312" w:eastAsia="仿宋_GB2312" w:cs="仿宋_GB2312"/>
          <w:i w:val="0"/>
          <w:iCs w:val="0"/>
          <w:caps w:val="0"/>
          <w:color w:val="000000"/>
          <w:spacing w:val="15"/>
          <w:sz w:val="31"/>
          <w:szCs w:val="31"/>
        </w:rPr>
        <w:t> </w:t>
      </w:r>
      <w:r>
        <w:rPr>
          <w:rFonts w:hint="eastAsia" w:ascii="黑体" w:hAnsi="宋体" w:eastAsia="黑体" w:cs="黑体"/>
          <w:i w:val="0"/>
          <w:iCs w:val="0"/>
          <w:caps w:val="0"/>
          <w:color w:val="000000"/>
          <w:spacing w:val="0"/>
          <w:sz w:val="31"/>
          <w:szCs w:val="31"/>
        </w:rPr>
        <w:t>第十七条 </w:t>
      </w:r>
      <w:r>
        <w:rPr>
          <w:rFonts w:hint="eastAsia" w:ascii="仿宋_GB2312" w:hAnsi="Calibri" w:eastAsia="仿宋_GB2312" w:cs="仿宋_GB2312"/>
          <w:i w:val="0"/>
          <w:iCs w:val="0"/>
          <w:caps w:val="0"/>
          <w:color w:val="000000"/>
          <w:spacing w:val="0"/>
          <w:sz w:val="31"/>
          <w:szCs w:val="31"/>
        </w:rPr>
        <w:t>经营主体有下列情形之一的，不予发放烟草专卖零售许可证：</w:t>
      </w:r>
    </w:p>
    <w:p w14:paraId="524EAE6E">
      <w:pPr>
        <w:pStyle w:val="3"/>
        <w:keepNext w:val="0"/>
        <w:keepLines w:val="0"/>
        <w:widowControl/>
        <w:suppressLineNumbers w:val="0"/>
        <w:spacing w:before="75" w:beforeAutospacing="0" w:after="75" w:afterAutospacing="0" w:line="555"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（一）申请人为未成年人、无民事行为能力人及限制民事行为能力人；</w:t>
      </w:r>
    </w:p>
    <w:p w14:paraId="28BED522">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（二）外商投资（含以特许、吸纳加盟店及其他再投资形式）的商业企业或者个体工商户（有外资成分，以提供住宿、餐饮、休闲、娱乐为主要经营的宾馆、酒店等企业除外）；</w:t>
      </w:r>
    </w:p>
    <w:p w14:paraId="33321312">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（三）被取消从事烟草专卖业务资格不满三年的；</w:t>
      </w:r>
    </w:p>
    <w:p w14:paraId="6B6187E2">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（四）因申请人隐瞒有关情况或者提供虚假材料，烟草专卖局作出不予受理或者不予发证决定后，申请人一年内再次提出申请的；</w:t>
      </w:r>
    </w:p>
    <w:p w14:paraId="43ED440F">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（五）因申请人以欺骗、贿赂等不正当手段取得的烟草专卖零售许可证被撤销后，申请人三年内再次提出申请的；</w:t>
      </w:r>
    </w:p>
    <w:p w14:paraId="4A9BD51E">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（六）未领取烟草专卖零售许可证经营烟草专卖品业务，并且一年内被执法机关处罚两次以上，在三年内申请领取烟草专卖零售许可证的；</w:t>
      </w:r>
    </w:p>
    <w:p w14:paraId="29D37180">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（七）因未领取烟草专卖零售许可证经营烟草专卖品业务被追究刑事责任，在三年内申请领取烟草专卖零售许可证的；</w:t>
      </w:r>
    </w:p>
    <w:p w14:paraId="7ECB2DE9">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（八）未取得营业执照的；</w:t>
      </w:r>
    </w:p>
    <w:p w14:paraId="2872CC13">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（九）法律法规、规章规定的其他不予发证的情形。</w:t>
      </w:r>
    </w:p>
    <w:p w14:paraId="2F101C7B">
      <w:pPr>
        <w:pStyle w:val="3"/>
        <w:keepNext w:val="0"/>
        <w:keepLines w:val="0"/>
        <w:widowControl/>
        <w:suppressLineNumbers w:val="0"/>
        <w:spacing w:before="75" w:beforeAutospacing="0" w:after="75" w:afterAutospacing="0" w:line="555" w:lineRule="atLeast"/>
        <w:ind w:left="0" w:right="0" w:firstLine="0"/>
        <w:jc w:val="both"/>
        <w:rPr>
          <w:rFonts w:hint="default" w:ascii="Calibri" w:hAnsi="Calibri" w:cs="Calibri"/>
          <w:i w:val="0"/>
          <w:iCs w:val="0"/>
          <w:caps w:val="0"/>
          <w:color w:val="000000"/>
          <w:spacing w:val="0"/>
          <w:sz w:val="21"/>
          <w:szCs w:val="21"/>
        </w:rPr>
      </w:pPr>
      <w:r>
        <w:rPr>
          <w:rStyle w:val="6"/>
          <w:rFonts w:hint="default" w:ascii="Times New Roman" w:hAnsi="Times New Roman" w:cs="Times New Roman"/>
          <w:i w:val="0"/>
          <w:iCs w:val="0"/>
          <w:caps w:val="0"/>
          <w:color w:val="000000"/>
          <w:spacing w:val="15"/>
          <w:sz w:val="31"/>
          <w:szCs w:val="31"/>
        </w:rPr>
        <w:t>   </w:t>
      </w:r>
      <w:r>
        <w:rPr>
          <w:rStyle w:val="6"/>
          <w:rFonts w:ascii="仿宋_GB2312" w:hAnsi="仿宋_GB2312" w:eastAsia="仿宋_GB2312" w:cs="仿宋_GB2312"/>
          <w:i w:val="0"/>
          <w:iCs w:val="0"/>
          <w:caps w:val="0"/>
          <w:color w:val="000000"/>
          <w:spacing w:val="15"/>
          <w:sz w:val="31"/>
          <w:szCs w:val="31"/>
        </w:rPr>
        <w:t> </w:t>
      </w:r>
      <w:r>
        <w:rPr>
          <w:rFonts w:hint="eastAsia" w:ascii="黑体" w:hAnsi="宋体" w:eastAsia="黑体" w:cs="黑体"/>
          <w:i w:val="0"/>
          <w:iCs w:val="0"/>
          <w:caps w:val="0"/>
          <w:color w:val="000000"/>
          <w:spacing w:val="0"/>
          <w:sz w:val="31"/>
          <w:szCs w:val="31"/>
        </w:rPr>
        <w:t>第十八条 </w:t>
      </w:r>
      <w:r>
        <w:rPr>
          <w:rFonts w:hint="eastAsia" w:ascii="仿宋_GB2312" w:hAnsi="Calibri" w:eastAsia="仿宋_GB2312" w:cs="仿宋_GB2312"/>
          <w:i w:val="0"/>
          <w:iCs w:val="0"/>
          <w:caps w:val="0"/>
          <w:color w:val="000000"/>
          <w:spacing w:val="0"/>
          <w:sz w:val="31"/>
          <w:szCs w:val="31"/>
        </w:rPr>
        <w:t>经营模式与业态有下列情形之一的，不予发放烟草专卖零售许可证：</w:t>
      </w:r>
    </w:p>
    <w:p w14:paraId="7C7D6C91">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（一）无人超市、无人商店等自助经营场所，利用自动、自助售货或其他无法判明是否是未成年人购买等形式，销售或者变相销售烟草制品的；</w:t>
      </w:r>
    </w:p>
    <w:p w14:paraId="13370E6A">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二）主营业务涉及建筑装潢、五金交电、化学品、药品及医疗器械、文化用品、邮电通信、报刊书籍、仪器仪表、金银珠宝、修理修配、游艺网吧、彩票销售、洗涤护理、房屋中介、寄卖典当、美容美发、保健按摩、金融证券、服装制售等与卷烟零售无直接或间接互补营销关系的经营场所；</w:t>
      </w:r>
    </w:p>
    <w:p w14:paraId="0BB7071B">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（三）母婴用品店、文具店、玩具店、游乐场所等容易诱导未成年人关注、购买、吸食卷烟的经营场所。</w:t>
      </w:r>
    </w:p>
    <w:p w14:paraId="19173639">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（四）利用信息网络渠道销售烟草专卖品的。</w:t>
      </w:r>
    </w:p>
    <w:p w14:paraId="245F6BC4">
      <w:pPr>
        <w:pStyle w:val="3"/>
        <w:keepNext w:val="0"/>
        <w:keepLines w:val="0"/>
        <w:widowControl/>
        <w:suppressLineNumbers w:val="0"/>
        <w:spacing w:before="75" w:beforeAutospacing="0" w:after="75" w:afterAutospacing="0" w:line="555" w:lineRule="atLeast"/>
        <w:ind w:left="0" w:right="0" w:firstLine="705"/>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1"/>
          <w:szCs w:val="31"/>
        </w:rPr>
        <w:t>第十九条 </w:t>
      </w:r>
      <w:r>
        <w:rPr>
          <w:rFonts w:hint="eastAsia" w:ascii="仿宋_GB2312" w:hAnsi="Calibri" w:eastAsia="仿宋_GB2312" w:cs="仿宋_GB2312"/>
          <w:i w:val="0"/>
          <w:iCs w:val="0"/>
          <w:caps w:val="0"/>
          <w:color w:val="000000"/>
          <w:spacing w:val="0"/>
          <w:sz w:val="31"/>
          <w:szCs w:val="31"/>
        </w:rPr>
        <w:t>经营场所有下列情形之一的，不予发放烟草专卖零售许可证：</w:t>
      </w:r>
    </w:p>
    <w:p w14:paraId="549ECDB1">
      <w:pPr>
        <w:pStyle w:val="3"/>
        <w:keepNext w:val="0"/>
        <w:keepLines w:val="0"/>
        <w:widowControl/>
        <w:suppressLineNumbers w:val="0"/>
        <w:spacing w:before="75" w:beforeAutospacing="0" w:after="75" w:afterAutospacing="0" w:line="555" w:lineRule="atLeast"/>
        <w:ind w:left="0" w:right="0" w:firstLine="61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（一）未与住所相独立的；</w:t>
      </w:r>
    </w:p>
    <w:p w14:paraId="64323D31">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（二）属于非固定经营场所的；</w:t>
      </w:r>
    </w:p>
    <w:p w14:paraId="3698E539">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三）经营、存放化学物品、汽油、化肥、农药、油漆、烟花爆竹类等含有毒、有害、易燃易爆、易挥发物质，基于安全因素不适宜经营烟草制品的经营场所，但具备安全措施保障及经有关部门确认符合条件的除外；</w:t>
      </w:r>
    </w:p>
    <w:p w14:paraId="30E195F6">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（四）一个经营场所已经办理了仍在有效期内的烟草专卖零售许可证的；</w:t>
      </w:r>
    </w:p>
    <w:p w14:paraId="34EE5031">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（五）与相邻持有烟草专卖零售许可证店面，采用非实体墙壁构造隔断或有相通的门、窗等，视为未构成独立完整的经营场所；</w:t>
      </w:r>
    </w:p>
    <w:p w14:paraId="7165A9A2">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（六）尚在内部装修的经营场所；</w:t>
      </w:r>
    </w:p>
    <w:p w14:paraId="470E459F">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（七）规划为架空层、车库、杂物间等用途的建筑，但经合法审批改变用途的除外；</w:t>
      </w:r>
    </w:p>
    <w:p w14:paraId="46AB42CA">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（八）经营场所区域空间结构位于二楼以上（宾馆、酒店、娱乐场所、商业综合体等对内经营需求除外），或不具备商品陈列展卖基本设施及日常对外开放经营条件的；</w:t>
      </w:r>
    </w:p>
    <w:p w14:paraId="7739F472">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（九）在政府公布或公告纳入征收规划的待拆迁区域范围；</w:t>
      </w:r>
    </w:p>
    <w:p w14:paraId="3E03E5EC">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（十）经营地址与营业执照登记地址不一致的。</w:t>
      </w:r>
    </w:p>
    <w:p w14:paraId="4A3225C4">
      <w:pPr>
        <w:pStyle w:val="3"/>
        <w:keepNext w:val="0"/>
        <w:keepLines w:val="0"/>
        <w:widowControl/>
        <w:suppressLineNumbers w:val="0"/>
        <w:spacing w:before="75" w:beforeAutospacing="0" w:after="75" w:afterAutospacing="0" w:line="555" w:lineRule="atLeast"/>
        <w:ind w:left="0" w:right="0" w:firstLine="0"/>
        <w:rPr>
          <w:rFonts w:hint="default" w:ascii="Calibri" w:hAnsi="Calibri" w:cs="Calibri"/>
          <w:i w:val="0"/>
          <w:iCs w:val="0"/>
          <w:caps w:val="0"/>
          <w:color w:val="000000"/>
          <w:spacing w:val="0"/>
          <w:sz w:val="21"/>
          <w:szCs w:val="21"/>
        </w:rPr>
      </w:pPr>
      <w:r>
        <w:rPr>
          <w:rStyle w:val="6"/>
          <w:rFonts w:hint="default" w:ascii="Times New Roman" w:hAnsi="Times New Roman" w:cs="Times New Roman"/>
          <w:i w:val="0"/>
          <w:iCs w:val="0"/>
          <w:caps w:val="0"/>
          <w:color w:val="000000"/>
          <w:spacing w:val="15"/>
          <w:sz w:val="31"/>
          <w:szCs w:val="31"/>
        </w:rPr>
        <w:t>   </w:t>
      </w:r>
      <w:r>
        <w:rPr>
          <w:rStyle w:val="6"/>
          <w:rFonts w:ascii="仿宋_GB2312" w:hAnsi="仿宋_GB2312" w:eastAsia="仿宋_GB2312" w:cs="仿宋_GB2312"/>
          <w:i w:val="0"/>
          <w:iCs w:val="0"/>
          <w:caps w:val="0"/>
          <w:color w:val="000000"/>
          <w:spacing w:val="15"/>
          <w:sz w:val="31"/>
          <w:szCs w:val="31"/>
        </w:rPr>
        <w:t> </w:t>
      </w:r>
      <w:r>
        <w:rPr>
          <w:rFonts w:hint="eastAsia" w:ascii="黑体" w:hAnsi="宋体" w:eastAsia="黑体" w:cs="黑体"/>
          <w:i w:val="0"/>
          <w:iCs w:val="0"/>
          <w:caps w:val="0"/>
          <w:color w:val="000000"/>
          <w:spacing w:val="0"/>
          <w:sz w:val="31"/>
          <w:szCs w:val="31"/>
        </w:rPr>
        <w:t>第二十条</w:t>
      </w:r>
      <w:r>
        <w:rPr>
          <w:rFonts w:hint="eastAsia" w:ascii="宋体" w:hAnsi="宋体" w:eastAsia="宋体" w:cs="宋体"/>
          <w:i w:val="0"/>
          <w:iCs w:val="0"/>
          <w:caps w:val="0"/>
          <w:color w:val="000000"/>
          <w:spacing w:val="0"/>
          <w:sz w:val="31"/>
          <w:szCs w:val="31"/>
        </w:rPr>
        <w:t>  </w:t>
      </w:r>
      <w:r>
        <w:rPr>
          <w:rFonts w:hint="eastAsia" w:ascii="仿宋_GB2312" w:hAnsi="Calibri" w:eastAsia="仿宋_GB2312" w:cs="仿宋_GB2312"/>
          <w:i w:val="0"/>
          <w:iCs w:val="0"/>
          <w:caps w:val="0"/>
          <w:color w:val="000000"/>
          <w:spacing w:val="0"/>
          <w:sz w:val="31"/>
          <w:szCs w:val="31"/>
        </w:rPr>
        <w:t>按照本规定核算零售点间距、数量时，已持证零售点有下列情形之一的，不作为间距、数量管控的有效参照物：</w:t>
      </w:r>
    </w:p>
    <w:p w14:paraId="5AC2ECA5">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一）烟草专卖零售许可证核定的登记事项（企业或字号名称、负责人或经营者姓名、企业类型或组成形式、经营场所地址）发生变化，或擅自改变经营方式，经发证机关书面通知后，拒不办理相关手续或拒不整改的；</w:t>
      </w:r>
    </w:p>
    <w:p w14:paraId="08092D00">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（二）因拆迁、搬迁等原因，原核定的经营地址、经营场所已实际不存在或无法继续经营的；</w:t>
      </w:r>
    </w:p>
    <w:p w14:paraId="7113A73B">
      <w:pPr>
        <w:pStyle w:val="3"/>
        <w:keepNext w:val="0"/>
        <w:keepLines w:val="0"/>
        <w:widowControl/>
        <w:suppressLineNumbers w:val="0"/>
        <w:spacing w:before="75" w:beforeAutospacing="0" w:after="75" w:afterAutospacing="0" w:line="555" w:lineRule="atLeast"/>
        <w:ind w:left="0" w:right="0" w:firstLine="64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（三）停止经营业务六个月以上，未恢复营业且未办理停业手续的。</w:t>
      </w:r>
    </w:p>
    <w:p w14:paraId="7AE22C7C">
      <w:pPr>
        <w:pStyle w:val="3"/>
        <w:keepNext w:val="0"/>
        <w:keepLines w:val="0"/>
        <w:widowControl/>
        <w:suppressLineNumbers w:val="0"/>
        <w:spacing w:before="75" w:beforeAutospacing="0" w:after="75" w:afterAutospacing="0" w:line="555" w:lineRule="atLeast"/>
        <w:ind w:left="0" w:right="0" w:firstLine="0"/>
        <w:jc w:val="both"/>
        <w:rPr>
          <w:rFonts w:hint="default" w:ascii="Calibri" w:hAnsi="Calibri" w:cs="Calibri"/>
          <w:i w:val="0"/>
          <w:iCs w:val="0"/>
          <w:caps w:val="0"/>
          <w:color w:val="000000"/>
          <w:spacing w:val="0"/>
          <w:sz w:val="21"/>
          <w:szCs w:val="21"/>
        </w:rPr>
      </w:pPr>
      <w:r>
        <w:rPr>
          <w:rStyle w:val="6"/>
          <w:rFonts w:hint="default" w:ascii="Times New Roman" w:hAnsi="Times New Roman" w:cs="Times New Roman"/>
          <w:i w:val="0"/>
          <w:iCs w:val="0"/>
          <w:caps w:val="0"/>
          <w:color w:val="000000"/>
          <w:spacing w:val="15"/>
          <w:sz w:val="31"/>
          <w:szCs w:val="31"/>
        </w:rPr>
        <w:t>   </w:t>
      </w:r>
      <w:r>
        <w:rPr>
          <w:rStyle w:val="6"/>
          <w:rFonts w:ascii="仿宋_GB2312" w:hAnsi="仿宋_GB2312" w:eastAsia="仿宋_GB2312" w:cs="仿宋_GB2312"/>
          <w:i w:val="0"/>
          <w:iCs w:val="0"/>
          <w:caps w:val="0"/>
          <w:color w:val="000000"/>
          <w:spacing w:val="15"/>
          <w:sz w:val="31"/>
          <w:szCs w:val="31"/>
        </w:rPr>
        <w:t> </w:t>
      </w:r>
      <w:r>
        <w:rPr>
          <w:rFonts w:hint="eastAsia" w:ascii="黑体" w:hAnsi="宋体" w:eastAsia="黑体" w:cs="黑体"/>
          <w:i w:val="0"/>
          <w:iCs w:val="0"/>
          <w:caps w:val="0"/>
          <w:color w:val="000000"/>
          <w:spacing w:val="0"/>
          <w:sz w:val="31"/>
          <w:szCs w:val="31"/>
        </w:rPr>
        <w:t>第二十一条</w:t>
      </w:r>
      <w:r>
        <w:rPr>
          <w:rStyle w:val="6"/>
          <w:rFonts w:hint="default" w:ascii="Times New Roman" w:hAnsi="Times New Roman" w:cs="Times New Roman"/>
          <w:i w:val="0"/>
          <w:iCs w:val="0"/>
          <w:caps w:val="0"/>
          <w:color w:val="000000"/>
          <w:spacing w:val="0"/>
          <w:sz w:val="31"/>
          <w:szCs w:val="31"/>
        </w:rPr>
        <w:t>  </w:t>
      </w:r>
      <w:r>
        <w:rPr>
          <w:rFonts w:hint="eastAsia" w:ascii="仿宋_GB2312" w:hAnsi="Calibri" w:eastAsia="仿宋_GB2312" w:cs="仿宋_GB2312"/>
          <w:i w:val="0"/>
          <w:iCs w:val="0"/>
          <w:caps w:val="0"/>
          <w:color w:val="000000"/>
          <w:spacing w:val="0"/>
          <w:sz w:val="31"/>
          <w:szCs w:val="31"/>
        </w:rPr>
        <w:t>本规划下列术语的定义：</w:t>
      </w:r>
    </w:p>
    <w:p w14:paraId="00B460A7">
      <w:pPr>
        <w:pStyle w:val="3"/>
        <w:keepNext w:val="0"/>
        <w:keepLines w:val="0"/>
        <w:widowControl/>
        <w:suppressLineNumbers w:val="0"/>
        <w:spacing w:before="75" w:beforeAutospacing="0" w:after="75" w:afterAutospacing="0" w:line="555" w:lineRule="atLeast"/>
        <w:ind w:left="0" w:right="0" w:firstLine="61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一）“经营场所”是指面向消费者全开放，用于烟草制品及其他商品销售、仓储的合法经营用房。经营场所为一个相对独立的物理空间，不局限一个门牌地址。多个门牌地址的商铺店面经改造、扩建，构成无明显物理分隔的同一空间的场所，视为同一个经营场所。</w:t>
      </w:r>
    </w:p>
    <w:p w14:paraId="5E28DC2A">
      <w:pPr>
        <w:pStyle w:val="3"/>
        <w:keepNext w:val="0"/>
        <w:keepLines w:val="0"/>
        <w:widowControl/>
        <w:suppressLineNumbers w:val="0"/>
        <w:spacing w:before="75" w:beforeAutospacing="0" w:after="75" w:afterAutospacing="0" w:line="555" w:lineRule="atLeast"/>
        <w:ind w:left="0" w:right="0" w:firstLine="615"/>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在大型商场、超市内部租借固定区域、固定柜台、固定场地经营的，能够明显独立区分商户的，视为可以申请设置零售点的固定经营场所，其变更经营位置视为经营地址变更。</w:t>
      </w:r>
    </w:p>
    <w:p w14:paraId="0BFA5512">
      <w:pPr>
        <w:pStyle w:val="3"/>
        <w:keepNext w:val="0"/>
        <w:keepLines w:val="0"/>
        <w:widowControl/>
        <w:suppressLineNumbers w:val="0"/>
        <w:spacing w:before="75" w:beforeAutospacing="0" w:after="75" w:afterAutospacing="0" w:line="555" w:lineRule="atLeast"/>
        <w:ind w:left="0" w:right="0" w:firstLine="61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二）“与住所相独立”是指经营场所与住所之间使用砖墙、玻璃或钢筋混凝土墙等物理设施实施完全隔离，经营区域与生活区域界限清晰，不包含住宅、公寓、生活住所的地下室、储藏室等不利于开展烟草制品零售的场所。</w:t>
      </w:r>
    </w:p>
    <w:p w14:paraId="74D0F4C0">
      <w:pPr>
        <w:pStyle w:val="3"/>
        <w:keepNext w:val="0"/>
        <w:keepLines w:val="0"/>
        <w:widowControl/>
        <w:suppressLineNumbers w:val="0"/>
        <w:spacing w:before="75" w:beforeAutospacing="0" w:after="75" w:afterAutospacing="0" w:line="555" w:lineRule="atLeast"/>
        <w:ind w:left="0" w:right="0" w:firstLine="61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三）“固定经营场所”是指由砖、钢、混凝土、玻璃等材料建成墙体，形成可封闭、难以移动的物理空间，具备对外正常开展经营活动、安全储存烟草制品的基本设施和条件的场所，不包含流动摊点、违章建筑。</w:t>
      </w:r>
    </w:p>
    <w:p w14:paraId="3F1435C3">
      <w:pPr>
        <w:pStyle w:val="3"/>
        <w:keepNext w:val="0"/>
        <w:keepLines w:val="0"/>
        <w:widowControl/>
        <w:suppressLineNumbers w:val="0"/>
        <w:spacing w:before="75" w:beforeAutospacing="0" w:after="75" w:afterAutospacing="0" w:line="555" w:lineRule="atLeast"/>
        <w:ind w:left="0" w:right="0" w:firstLine="61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（四）“</w:t>
      </w:r>
      <w:r>
        <w:rPr>
          <w:rFonts w:hint="eastAsia" w:ascii="仿宋_GB2312" w:hAnsi="Calibri" w:eastAsia="仿宋_GB2312" w:cs="仿宋_GB2312"/>
          <w:i w:val="0"/>
          <w:iCs w:val="0"/>
          <w:caps w:val="0"/>
          <w:color w:val="000000"/>
          <w:spacing w:val="15"/>
          <w:sz w:val="31"/>
          <w:szCs w:val="31"/>
        </w:rPr>
        <w:t>中小学、幼儿园”是指经教育主管部门批准取得办学资质，实施中等、初等、学前教育的校园，包括公立或民办普通中小学、幼儿园、特殊教育学校、中等职业学校以及专门学校，由罗源县教育主管部门提供具体名单。</w:t>
      </w:r>
    </w:p>
    <w:p w14:paraId="279FDA57">
      <w:pPr>
        <w:pStyle w:val="3"/>
        <w:keepNext w:val="0"/>
        <w:keepLines w:val="0"/>
        <w:widowControl/>
        <w:suppressLineNumbers w:val="0"/>
        <w:spacing w:before="75" w:beforeAutospacing="0" w:after="75" w:afterAutospacing="0" w:line="555" w:lineRule="atLeast"/>
        <w:ind w:left="0" w:right="0" w:firstLine="540"/>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15"/>
          <w:sz w:val="31"/>
          <w:szCs w:val="31"/>
        </w:rPr>
        <w:t>中小学、幼儿园进出通道通常是指</w:t>
      </w:r>
      <w:r>
        <w:rPr>
          <w:rFonts w:hint="eastAsia" w:ascii="仿宋_GB2312" w:hAnsi="Calibri" w:eastAsia="仿宋_GB2312" w:cs="仿宋_GB2312"/>
          <w:i w:val="0"/>
          <w:iCs w:val="0"/>
          <w:caps w:val="0"/>
          <w:color w:val="000000"/>
          <w:spacing w:val="0"/>
          <w:sz w:val="31"/>
          <w:szCs w:val="31"/>
        </w:rPr>
        <w:t>供人员、车辆出入的校门，包括正常使用的正门、边门、后门以及临时封闭的门等</w:t>
      </w:r>
      <w:r>
        <w:rPr>
          <w:rFonts w:hint="eastAsia" w:ascii="仿宋_GB2312" w:hAnsi="Calibri" w:eastAsia="仿宋_GB2312" w:cs="仿宋_GB2312"/>
          <w:i w:val="0"/>
          <w:iCs w:val="0"/>
          <w:caps w:val="0"/>
          <w:color w:val="000000"/>
          <w:spacing w:val="15"/>
          <w:sz w:val="31"/>
          <w:szCs w:val="31"/>
        </w:rPr>
        <w:t>。</w:t>
      </w:r>
    </w:p>
    <w:p w14:paraId="787EE04E">
      <w:pPr>
        <w:pStyle w:val="3"/>
        <w:keepNext w:val="0"/>
        <w:keepLines w:val="0"/>
        <w:widowControl/>
        <w:suppressLineNumbers w:val="0"/>
        <w:spacing w:before="75" w:beforeAutospacing="0" w:after="75" w:afterAutospacing="0" w:line="555" w:lineRule="atLeast"/>
        <w:ind w:left="0" w:right="0" w:firstLine="61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（五）“家庭成员”是指属于《中华人民共和国民法典》规定的配偶、父母、子女和其他共同生活的近亲属。</w:t>
      </w:r>
    </w:p>
    <w:p w14:paraId="554C9FA7">
      <w:pPr>
        <w:pStyle w:val="3"/>
        <w:keepNext w:val="0"/>
        <w:keepLines w:val="0"/>
        <w:widowControl/>
        <w:suppressLineNumbers w:val="0"/>
        <w:spacing w:before="75" w:beforeAutospacing="0" w:after="75" w:afterAutospacing="0" w:line="555" w:lineRule="atLeast"/>
        <w:ind w:left="0" w:right="0" w:firstLine="61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六）“经营面积”认定依据原则上以房屋权属证明记载为准。实际使用面积明显小于房屋权属证明记载面积的，以发证机关现场勘查测量结果为准。若店内存在隔层，隔层层高达到2米以上且用于上述经营用途的区域计入经营面积，以发证机关现场勘查测量结果为准。</w:t>
      </w:r>
    </w:p>
    <w:p w14:paraId="03DB9332">
      <w:pPr>
        <w:pStyle w:val="3"/>
        <w:keepNext w:val="0"/>
        <w:keepLines w:val="0"/>
        <w:widowControl/>
        <w:suppressLineNumbers w:val="0"/>
        <w:spacing w:before="75" w:beforeAutospacing="0" w:after="75" w:afterAutospacing="0" w:line="555" w:lineRule="atLeast"/>
        <w:ind w:left="0" w:right="0" w:firstLine="705"/>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1"/>
          <w:szCs w:val="31"/>
        </w:rPr>
        <w:t>第二十二条</w:t>
      </w:r>
      <w:r>
        <w:rPr>
          <w:rStyle w:val="6"/>
          <w:rFonts w:hint="default" w:ascii="Times New Roman" w:hAnsi="Times New Roman" w:cs="Times New Roman"/>
          <w:i w:val="0"/>
          <w:iCs w:val="0"/>
          <w:caps w:val="0"/>
          <w:color w:val="000000"/>
          <w:spacing w:val="0"/>
          <w:sz w:val="31"/>
          <w:szCs w:val="31"/>
          <w:shd w:val="clear" w:fill="FFFFFF"/>
        </w:rPr>
        <w:t> </w:t>
      </w:r>
      <w:r>
        <w:rPr>
          <w:rStyle w:val="6"/>
          <w:rFonts w:hint="eastAsia" w:ascii="宋体" w:hAnsi="宋体" w:eastAsia="宋体" w:cs="宋体"/>
          <w:i w:val="0"/>
          <w:iCs w:val="0"/>
          <w:caps w:val="0"/>
          <w:color w:val="000000"/>
          <w:spacing w:val="0"/>
          <w:sz w:val="31"/>
          <w:szCs w:val="31"/>
          <w:shd w:val="clear" w:fill="FFFFFF"/>
        </w:rPr>
        <w:t> </w:t>
      </w:r>
      <w:r>
        <w:rPr>
          <w:rFonts w:hint="eastAsia" w:ascii="仿宋_GB2312" w:hAnsi="Calibri" w:eastAsia="仿宋_GB2312" w:cs="仿宋_GB2312"/>
          <w:i w:val="0"/>
          <w:iCs w:val="0"/>
          <w:caps w:val="0"/>
          <w:color w:val="000000"/>
          <w:spacing w:val="0"/>
          <w:sz w:val="31"/>
          <w:szCs w:val="31"/>
          <w:shd w:val="clear" w:fill="FFFFFF"/>
        </w:rPr>
        <w:t>本规划所称“最短可通行间距”，是指申请经营场所出入口，与最近已持证零售点出入口，或中小学校、幼儿园进出口通道</w:t>
      </w:r>
      <w:r>
        <w:rPr>
          <w:rFonts w:hint="eastAsia" w:ascii="仿宋_GB2312" w:hAnsi="Calibri" w:eastAsia="仿宋_GB2312" w:cs="仿宋_GB2312"/>
          <w:i w:val="0"/>
          <w:iCs w:val="0"/>
          <w:caps w:val="0"/>
          <w:color w:val="000000"/>
          <w:spacing w:val="0"/>
          <w:sz w:val="31"/>
          <w:szCs w:val="31"/>
        </w:rPr>
        <w:t>各自中心点之间</w:t>
      </w:r>
      <w:r>
        <w:rPr>
          <w:rFonts w:hint="eastAsia" w:ascii="仿宋_GB2312" w:hAnsi="Calibri" w:eastAsia="仿宋_GB2312" w:cs="仿宋_GB2312"/>
          <w:i w:val="0"/>
          <w:iCs w:val="0"/>
          <w:caps w:val="0"/>
          <w:color w:val="000000"/>
          <w:spacing w:val="0"/>
          <w:sz w:val="31"/>
          <w:szCs w:val="31"/>
          <w:shd w:val="clear" w:fill="FFFFFF"/>
        </w:rPr>
        <w:t>，按照交通规则允许的行人正常通行路径测算的最短距离。</w:t>
      </w:r>
    </w:p>
    <w:p w14:paraId="097A39DC">
      <w:pPr>
        <w:pStyle w:val="3"/>
        <w:keepNext w:val="0"/>
        <w:keepLines w:val="0"/>
        <w:widowControl/>
        <w:suppressLineNumbers w:val="0"/>
        <w:spacing w:before="75" w:beforeAutospacing="0" w:after="75" w:afterAutospacing="0" w:line="555" w:lineRule="atLeast"/>
        <w:ind w:left="0" w:right="0" w:firstLine="70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shd w:val="clear" w:fill="FFFFFF"/>
        </w:rPr>
        <w:t>前述场所设有多个出入口的，以两个参照点最近一侧出入口进行测量，不得穿越隔离护栏、围墙、花坛、绿地、建筑物等封闭或不可通行设施。</w:t>
      </w:r>
    </w:p>
    <w:p w14:paraId="1497270D">
      <w:pPr>
        <w:pStyle w:val="3"/>
        <w:keepNext w:val="0"/>
        <w:keepLines w:val="0"/>
        <w:widowControl/>
        <w:suppressLineNumbers w:val="0"/>
        <w:spacing w:before="75" w:beforeAutospacing="0" w:after="75" w:afterAutospacing="0" w:line="555" w:lineRule="atLeast"/>
        <w:ind w:left="0" w:right="0" w:firstLine="0"/>
        <w:jc w:val="both"/>
        <w:rPr>
          <w:rFonts w:hint="default" w:ascii="Calibri" w:hAnsi="Calibri" w:cs="Calibri"/>
          <w:i w:val="0"/>
          <w:iCs w:val="0"/>
          <w:caps w:val="0"/>
          <w:color w:val="000000"/>
          <w:spacing w:val="0"/>
          <w:sz w:val="21"/>
          <w:szCs w:val="21"/>
        </w:rPr>
      </w:pPr>
      <w:r>
        <w:rPr>
          <w:rStyle w:val="6"/>
          <w:rFonts w:hint="default" w:ascii="Times New Roman" w:hAnsi="Times New Roman" w:cs="Times New Roman"/>
          <w:i w:val="0"/>
          <w:iCs w:val="0"/>
          <w:caps w:val="0"/>
          <w:color w:val="000000"/>
          <w:spacing w:val="15"/>
          <w:sz w:val="31"/>
          <w:szCs w:val="31"/>
        </w:rPr>
        <w:t>   </w:t>
      </w:r>
      <w:r>
        <w:rPr>
          <w:rStyle w:val="6"/>
          <w:rFonts w:ascii="仿宋_GB2312" w:hAnsi="仿宋_GB2312" w:eastAsia="仿宋_GB2312" w:cs="仿宋_GB2312"/>
          <w:i w:val="0"/>
          <w:iCs w:val="0"/>
          <w:caps w:val="0"/>
          <w:color w:val="000000"/>
          <w:spacing w:val="15"/>
          <w:sz w:val="31"/>
          <w:szCs w:val="31"/>
        </w:rPr>
        <w:t> </w:t>
      </w:r>
      <w:r>
        <w:rPr>
          <w:rFonts w:hint="eastAsia" w:ascii="黑体" w:hAnsi="宋体" w:eastAsia="黑体" w:cs="黑体"/>
          <w:i w:val="0"/>
          <w:iCs w:val="0"/>
          <w:caps w:val="0"/>
          <w:color w:val="000000"/>
          <w:spacing w:val="0"/>
          <w:sz w:val="31"/>
          <w:szCs w:val="31"/>
        </w:rPr>
        <w:t>第二十三条  </w:t>
      </w:r>
      <w:r>
        <w:rPr>
          <w:rFonts w:hint="eastAsia" w:ascii="仿宋_GB2312" w:hAnsi="Calibri" w:eastAsia="仿宋_GB2312" w:cs="仿宋_GB2312"/>
          <w:i w:val="0"/>
          <w:iCs w:val="0"/>
          <w:caps w:val="0"/>
          <w:color w:val="000000"/>
          <w:spacing w:val="15"/>
          <w:sz w:val="31"/>
          <w:szCs w:val="31"/>
        </w:rPr>
        <w:t>本规划所指“以上”、“内”包含本数，“以下”、“不少于”</w:t>
      </w:r>
      <w:r>
        <w:rPr>
          <w:rFonts w:hint="eastAsia" w:ascii="仿宋_GB2312" w:hAnsi="Calibri" w:eastAsia="仿宋_GB2312" w:cs="仿宋_GB2312"/>
          <w:i w:val="0"/>
          <w:iCs w:val="0"/>
          <w:caps w:val="0"/>
          <w:color w:val="000000"/>
          <w:spacing w:val="0"/>
          <w:sz w:val="31"/>
          <w:szCs w:val="31"/>
        </w:rPr>
        <w:t>、“</w:t>
      </w:r>
      <w:r>
        <w:rPr>
          <w:rFonts w:hint="eastAsia" w:ascii="仿宋_GB2312" w:hAnsi="Calibri" w:eastAsia="仿宋_GB2312" w:cs="仿宋_GB2312"/>
          <w:i w:val="0"/>
          <w:iCs w:val="0"/>
          <w:caps w:val="0"/>
          <w:color w:val="000000"/>
          <w:spacing w:val="15"/>
          <w:sz w:val="31"/>
          <w:szCs w:val="31"/>
        </w:rPr>
        <w:t>小于”不包含本数。</w:t>
      </w:r>
    </w:p>
    <w:p w14:paraId="08F01C8B">
      <w:pPr>
        <w:pStyle w:val="3"/>
        <w:keepNext w:val="0"/>
        <w:keepLines w:val="0"/>
        <w:widowControl/>
        <w:suppressLineNumbers w:val="0"/>
        <w:shd w:val="clear" w:fill="FFFFFF"/>
        <w:spacing w:before="75" w:beforeAutospacing="0" w:after="75" w:afterAutospacing="0" w:line="555" w:lineRule="atLeast"/>
        <w:ind w:left="0" w:right="0" w:firstLine="0"/>
        <w:jc w:val="both"/>
        <w:rPr>
          <w:rFonts w:hint="default" w:ascii="Calibri" w:hAnsi="Calibri" w:cs="Calibri"/>
          <w:i w:val="0"/>
          <w:iCs w:val="0"/>
          <w:caps w:val="0"/>
          <w:color w:val="000000"/>
          <w:spacing w:val="0"/>
          <w:sz w:val="21"/>
          <w:szCs w:val="21"/>
        </w:rPr>
      </w:pPr>
      <w:r>
        <w:rPr>
          <w:rStyle w:val="6"/>
          <w:rFonts w:hint="default" w:ascii="Times New Roman" w:hAnsi="Times New Roman" w:cs="Times New Roman"/>
          <w:i w:val="0"/>
          <w:iCs w:val="0"/>
          <w:caps w:val="0"/>
          <w:color w:val="000000"/>
          <w:spacing w:val="15"/>
          <w:sz w:val="31"/>
          <w:szCs w:val="31"/>
          <w:shd w:val="clear" w:fill="FFFFFF"/>
        </w:rPr>
        <w:t>   </w:t>
      </w:r>
      <w:r>
        <w:rPr>
          <w:rStyle w:val="6"/>
          <w:rFonts w:ascii="仿宋_GB2312" w:hAnsi="仿宋_GB2312" w:eastAsia="仿宋_GB2312" w:cs="仿宋_GB2312"/>
          <w:i w:val="0"/>
          <w:iCs w:val="0"/>
          <w:caps w:val="0"/>
          <w:color w:val="000000"/>
          <w:spacing w:val="15"/>
          <w:sz w:val="31"/>
          <w:szCs w:val="31"/>
          <w:shd w:val="clear" w:fill="FFFFFF"/>
        </w:rPr>
        <w:t> </w:t>
      </w:r>
      <w:r>
        <w:rPr>
          <w:rFonts w:hint="eastAsia" w:ascii="黑体" w:hAnsi="宋体" w:eastAsia="黑体" w:cs="黑体"/>
          <w:i w:val="0"/>
          <w:iCs w:val="0"/>
          <w:caps w:val="0"/>
          <w:color w:val="000000"/>
          <w:spacing w:val="0"/>
          <w:sz w:val="31"/>
          <w:szCs w:val="31"/>
          <w:shd w:val="clear" w:fill="FFFFFF"/>
        </w:rPr>
        <w:t>第二十四条  </w:t>
      </w:r>
      <w:r>
        <w:rPr>
          <w:rFonts w:hint="eastAsia" w:ascii="仿宋_GB2312" w:hAnsi="Calibri" w:eastAsia="仿宋_GB2312" w:cs="仿宋_GB2312"/>
          <w:i w:val="0"/>
          <w:iCs w:val="0"/>
          <w:caps w:val="0"/>
          <w:color w:val="000000"/>
          <w:spacing w:val="15"/>
          <w:sz w:val="31"/>
          <w:szCs w:val="31"/>
          <w:shd w:val="clear" w:fill="FFFFFF"/>
        </w:rPr>
        <w:t>本规划由福建省罗源县烟草专卖局负责解释。</w:t>
      </w:r>
    </w:p>
    <w:p w14:paraId="559E0602">
      <w:pPr>
        <w:pStyle w:val="3"/>
        <w:keepNext w:val="0"/>
        <w:keepLines w:val="0"/>
        <w:widowControl/>
        <w:suppressLineNumbers w:val="0"/>
        <w:spacing w:before="75" w:beforeAutospacing="0" w:after="75" w:afterAutospacing="0"/>
        <w:ind w:left="0" w:right="0" w:firstLine="0"/>
        <w:jc w:val="both"/>
        <w:rPr>
          <w:rFonts w:hint="default" w:ascii="Calibri" w:hAnsi="Calibri" w:cs="Calibri"/>
          <w:i w:val="0"/>
          <w:iCs w:val="0"/>
          <w:caps w:val="0"/>
          <w:color w:val="000000"/>
          <w:spacing w:val="0"/>
          <w:sz w:val="21"/>
          <w:szCs w:val="21"/>
        </w:rPr>
      </w:pPr>
      <w:r>
        <w:rPr>
          <w:rStyle w:val="6"/>
          <w:rFonts w:hint="default" w:ascii="Times New Roman" w:hAnsi="Times New Roman" w:cs="Times New Roman"/>
          <w:i w:val="0"/>
          <w:iCs w:val="0"/>
          <w:caps w:val="0"/>
          <w:color w:val="000000"/>
          <w:spacing w:val="15"/>
          <w:sz w:val="31"/>
          <w:szCs w:val="31"/>
        </w:rPr>
        <w:t>   </w:t>
      </w:r>
      <w:r>
        <w:rPr>
          <w:rStyle w:val="6"/>
          <w:rFonts w:ascii="仿宋_GB2312" w:hAnsi="仿宋_GB2312" w:eastAsia="仿宋_GB2312" w:cs="仿宋_GB2312"/>
          <w:i w:val="0"/>
          <w:iCs w:val="0"/>
          <w:caps w:val="0"/>
          <w:color w:val="000000"/>
          <w:spacing w:val="15"/>
          <w:sz w:val="31"/>
          <w:szCs w:val="31"/>
        </w:rPr>
        <w:t> </w:t>
      </w:r>
      <w:r>
        <w:rPr>
          <w:rFonts w:hint="eastAsia" w:ascii="黑体" w:hAnsi="宋体" w:eastAsia="黑体" w:cs="黑体"/>
          <w:i w:val="0"/>
          <w:iCs w:val="0"/>
          <w:caps w:val="0"/>
          <w:color w:val="000000"/>
          <w:spacing w:val="0"/>
          <w:sz w:val="31"/>
          <w:szCs w:val="31"/>
        </w:rPr>
        <w:t>第二十五条  </w:t>
      </w:r>
      <w:r>
        <w:rPr>
          <w:rFonts w:hint="eastAsia" w:ascii="仿宋_GB2312" w:hAnsi="Calibri" w:eastAsia="仿宋_GB2312" w:cs="仿宋_GB2312"/>
          <w:i w:val="0"/>
          <w:iCs w:val="0"/>
          <w:caps w:val="0"/>
          <w:color w:val="000000"/>
          <w:spacing w:val="15"/>
          <w:sz w:val="31"/>
          <w:szCs w:val="31"/>
        </w:rPr>
        <w:t>本规划自</w:t>
      </w:r>
      <w:r>
        <w:rPr>
          <w:rFonts w:hint="eastAsia" w:ascii="仿宋_GB2312" w:hAnsi="Calibri" w:eastAsia="仿宋_GB2312" w:cs="仿宋_GB2312"/>
          <w:i w:val="0"/>
          <w:iCs w:val="0"/>
          <w:caps w:val="0"/>
          <w:color w:val="000000"/>
          <w:spacing w:val="0"/>
          <w:sz w:val="31"/>
          <w:szCs w:val="31"/>
        </w:rPr>
        <w:t>2026年**月**日起施行</w:t>
      </w:r>
      <w:r>
        <w:rPr>
          <w:rFonts w:hint="eastAsia" w:ascii="仿宋_GB2312" w:hAnsi="Calibri" w:eastAsia="仿宋_GB2312" w:cs="仿宋_GB2312"/>
          <w:i w:val="0"/>
          <w:iCs w:val="0"/>
          <w:caps w:val="0"/>
          <w:color w:val="000000"/>
          <w:spacing w:val="15"/>
          <w:sz w:val="31"/>
          <w:szCs w:val="31"/>
        </w:rPr>
        <w:t>。2025年9月1日颁布的《福建省罗源县烟草专卖局烟草制品零售点合理布局规定》同时废止。</w:t>
      </w:r>
    </w:p>
    <w:p w14:paraId="1FB428B1">
      <w:pPr>
        <w:rPr>
          <w:rFonts w:hint="eastAsia"/>
          <w:lang w:eastAsia="zh-CN"/>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7A"/>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10601030101010101"/>
    <w:charset w:val="7A"/>
    <w:family w:val="script"/>
    <w:pitch w:val="default"/>
    <w:sig w:usb0="00000001" w:usb1="080E0000" w:usb2="00000000" w:usb3="00000000" w:csb0="00040000" w:csb1="00000000"/>
  </w:font>
  <w:font w:name="楷体_GB2312">
    <w:panose1 w:val="02010609030101010101"/>
    <w:charset w:val="7A"/>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NotTrackFormatting/>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00000"/>
    <w:rsid w:val="5064AA79"/>
    <w:rsid w:val="ADFF031B"/>
    <w:rsid w:val="BEF6ECF3"/>
    <w:rsid w:val="DB5CFC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5712</Words>
  <Characters>5748</Characters>
  <Paragraphs>106</Paragraphs>
  <TotalTime>0</TotalTime>
  <ScaleCrop>false</ScaleCrop>
  <LinksUpToDate>false</LinksUpToDate>
  <CharactersWithSpaces>5895</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2026-07-23T04:21:00Z</dcterms:created>
  <dc:creator>蔡文辉</dc:creator>
  <cp:lastModifiedBy>user</cp:lastModifiedBy>
  <dcterms:modified xsi:type="dcterms:W3CDTF">2026-07-22T20:29:45Z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ea267abcf9e44e6e95ec766636196233_23</vt:lpwstr>
  </property>
</Properties>
</file>