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86D9C">
      <w:pPr>
        <w:shd w:val="clear" w:color="auto" w:fill="FFFFFF"/>
        <w:spacing w:line="480" w:lineRule="atLeast"/>
        <w:jc w:val="both"/>
        <w:rPr>
          <w:rFonts w:ascii="Calibri" w:hAnsi="Calibri" w:eastAsia="Calibri" w:cs="Calibri"/>
          <w:sz w:val="21"/>
          <w:szCs w:val="21"/>
        </w:rPr>
      </w:pPr>
      <w:r>
        <w:rPr>
          <w:rFonts w:ascii="FangSong" w:hAnsi="FangSong" w:eastAsia="FangSong" w:cs="FangSong"/>
          <w:b/>
          <w:bCs/>
          <w:spacing w:val="15"/>
          <w:sz w:val="32"/>
          <w:szCs w:val="32"/>
        </w:rPr>
        <w:t>附件2</w:t>
      </w:r>
    </w:p>
    <w:p w14:paraId="39C91232">
      <w:pPr>
        <w:spacing w:line="705" w:lineRule="atLeast"/>
        <w:jc w:val="center"/>
        <w:rPr>
          <w:rFonts w:ascii="Calibri" w:hAnsi="Calibri" w:eastAsia="Calibri" w:cs="Calibri"/>
          <w:sz w:val="21"/>
          <w:szCs w:val="21"/>
        </w:rPr>
      </w:pPr>
      <w:r>
        <w:rPr>
          <w:rFonts w:ascii="方正小标宋简体" w:hAnsi="方正小标宋简体" w:eastAsia="方正小标宋简体" w:cs="方正小标宋简体"/>
          <w:spacing w:val="0"/>
          <w:sz w:val="44"/>
          <w:szCs w:val="44"/>
        </w:rPr>
        <w:t>福建省罗源县烟草制品零售点</w:t>
      </w:r>
    </w:p>
    <w:p w14:paraId="33A58FEF">
      <w:pPr>
        <w:spacing w:line="705" w:lineRule="atLeast"/>
        <w:jc w:val="center"/>
        <w:rPr>
          <w:rFonts w:ascii="Calibri" w:hAnsi="Calibri" w:eastAsia="Calibri" w:cs="Calibri"/>
          <w:sz w:val="21"/>
          <w:szCs w:val="21"/>
        </w:rPr>
      </w:pPr>
      <w:r>
        <w:rPr>
          <w:rFonts w:ascii="方正小标宋简体" w:hAnsi="方正小标宋简体" w:eastAsia="方正小标宋简体" w:cs="方正小标宋简体"/>
          <w:spacing w:val="0"/>
          <w:sz w:val="44"/>
          <w:szCs w:val="44"/>
        </w:rPr>
        <w:t>合理布局规划（2026）</w:t>
      </w:r>
    </w:p>
    <w:p w14:paraId="3146C2FB">
      <w:pPr>
        <w:spacing w:line="705" w:lineRule="atLeast"/>
        <w:jc w:val="center"/>
        <w:rPr>
          <w:rFonts w:ascii="Calibri" w:hAnsi="Calibri" w:eastAsia="Calibri" w:cs="Calibri"/>
          <w:sz w:val="21"/>
          <w:szCs w:val="21"/>
        </w:rPr>
      </w:pPr>
      <w:r>
        <w:rPr>
          <w:rFonts w:ascii="KaiTi" w:hAnsi="KaiTi" w:eastAsia="KaiTi" w:cs="KaiTi"/>
          <w:spacing w:val="0"/>
          <w:sz w:val="32"/>
          <w:szCs w:val="32"/>
        </w:rPr>
        <w:t>（征求意见稿）</w:t>
      </w:r>
    </w:p>
    <w:p w14:paraId="204CE12F">
      <w:pPr>
        <w:spacing w:line="315" w:lineRule="atLeast"/>
        <w:jc w:val="both"/>
        <w:rPr>
          <w:rFonts w:ascii="Calibri" w:hAnsi="Calibri" w:eastAsia="Calibri" w:cs="Calibri"/>
          <w:sz w:val="21"/>
          <w:szCs w:val="21"/>
        </w:rPr>
      </w:pPr>
      <w:r>
        <w:rPr>
          <w:rFonts w:ascii="Times New Roman" w:hAnsi="Times New Roman" w:eastAsia="Times New Roman" w:cs="Times New Roman"/>
          <w:spacing w:val="0"/>
          <w:sz w:val="32"/>
          <w:szCs w:val="32"/>
        </w:rPr>
        <w:t> </w:t>
      </w:r>
    </w:p>
    <w:p w14:paraId="49767349">
      <w:pPr>
        <w:spacing w:line="555" w:lineRule="atLeast"/>
        <w:jc w:val="center"/>
        <w:rPr>
          <w:rFonts w:ascii="Calibri" w:hAnsi="Calibri" w:eastAsia="Calibri" w:cs="Calibri"/>
          <w:sz w:val="21"/>
          <w:szCs w:val="21"/>
        </w:rPr>
      </w:pPr>
      <w:r>
        <w:rPr>
          <w:rFonts w:ascii="SimHei" w:hAnsi="SimHei" w:eastAsia="SimHei" w:cs="SimHei"/>
          <w:spacing w:val="0"/>
          <w:sz w:val="32"/>
          <w:szCs w:val="32"/>
          <w:shd w:val="clear" w:color="auto" w:fill="FFFFFF"/>
        </w:rPr>
        <w:t>第一章</w:t>
      </w:r>
      <w:r>
        <w:rPr>
          <w:rFonts w:ascii="Calibri" w:hAnsi="Calibri" w:eastAsia="Calibri" w:cs="Calibri"/>
          <w:spacing w:val="0"/>
          <w:sz w:val="32"/>
          <w:szCs w:val="32"/>
          <w:shd w:val="clear" w:color="auto" w:fill="FFFFFF"/>
        </w:rPr>
        <w:t> </w:t>
      </w:r>
      <w:r>
        <w:rPr>
          <w:rFonts w:ascii="SimHei" w:hAnsi="SimHei" w:eastAsia="SimHei" w:cs="SimHei"/>
          <w:spacing w:val="0"/>
          <w:sz w:val="32"/>
          <w:szCs w:val="32"/>
          <w:shd w:val="clear" w:color="auto" w:fill="FFFFFF"/>
        </w:rPr>
        <w:t>总则</w:t>
      </w:r>
    </w:p>
    <w:p w14:paraId="28613FB1">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第一条 </w:t>
      </w:r>
      <w:r>
        <w:rPr>
          <w:rFonts w:ascii="FangSong" w:hAnsi="FangSong" w:eastAsia="FangSong" w:cs="FangSong"/>
          <w:spacing w:val="0"/>
          <w:sz w:val="32"/>
          <w:szCs w:val="32"/>
        </w:rPr>
        <w:t>为规范烟草制品零售市场经营秩序，维护国家利益和消费者利益，保护未成年人和烟草市场主体的合法权益，促进烟草市场资源的合理配置，根据《中华人民共和国行政许可法》《中华人民共和国未成年人保护法》《中华人民共和国烟草专卖法》及其实施条例、《烟草专卖许可证管理办法》及其实施细则等法律法规、规章和规范性文件，结合罗源县实际，制定本规定。</w:t>
      </w:r>
    </w:p>
    <w:p w14:paraId="4C5EC258">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第二条 </w:t>
      </w:r>
      <w:r>
        <w:rPr>
          <w:rFonts w:ascii="FangSong" w:hAnsi="FangSong" w:eastAsia="FangSong" w:cs="FangSong"/>
          <w:spacing w:val="0"/>
          <w:sz w:val="32"/>
          <w:szCs w:val="32"/>
        </w:rPr>
        <w:t>本规划所称烟草制品零售点（以下简称零售点，不含电子烟等新型烟草制品零售点）是指公民、法人或其他组织依法取得烟草专卖零售许可证从事烟草制品零售业务的经营场所。</w:t>
      </w:r>
    </w:p>
    <w:p w14:paraId="04DA6A5E">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第三条 </w:t>
      </w:r>
      <w:r>
        <w:rPr>
          <w:rFonts w:ascii="FangSong" w:hAnsi="FangSong" w:eastAsia="FangSong" w:cs="FangSong"/>
          <w:spacing w:val="0"/>
          <w:sz w:val="32"/>
          <w:szCs w:val="32"/>
        </w:rPr>
        <w:t>本规划适用于福建省罗源县行政区域范围内烟草制品零售点的布局管理，电子烟零售点布局管理另行规定。</w:t>
      </w:r>
    </w:p>
    <w:p w14:paraId="26616E53">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第四条 </w:t>
      </w:r>
      <w:r>
        <w:rPr>
          <w:rFonts w:ascii="FangSong" w:hAnsi="FangSong" w:eastAsia="FangSong" w:cs="FangSong"/>
          <w:spacing w:val="0"/>
          <w:sz w:val="32"/>
          <w:szCs w:val="32"/>
        </w:rPr>
        <w:t>已合法持有烟草专卖零售许可证的零售户，在许可证有效期内不受本规划调整的影响。</w:t>
      </w:r>
    </w:p>
    <w:p w14:paraId="36E47953">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持证人办理延续申请，除经营场所的安全要求和位于中小学、幼儿园周围等法律法规限制规定外，不受本规划其他规定调整的影响。</w:t>
      </w:r>
    </w:p>
    <w:p w14:paraId="0AEB7964">
      <w:pPr>
        <w:spacing w:line="555" w:lineRule="atLeast"/>
        <w:jc w:val="center"/>
        <w:rPr>
          <w:rFonts w:ascii="Calibri" w:hAnsi="Calibri" w:eastAsia="Calibri" w:cs="Calibri"/>
          <w:sz w:val="21"/>
          <w:szCs w:val="21"/>
        </w:rPr>
      </w:pPr>
      <w:r>
        <w:rPr>
          <w:rFonts w:ascii="SimHei" w:hAnsi="SimHei" w:eastAsia="SimHei" w:cs="SimHei"/>
          <w:spacing w:val="0"/>
          <w:sz w:val="32"/>
          <w:szCs w:val="32"/>
          <w:shd w:val="clear" w:color="auto" w:fill="FFFFFF"/>
        </w:rPr>
        <w:t>第二章</w:t>
      </w:r>
      <w:r>
        <w:rPr>
          <w:rFonts w:ascii="Calibri" w:hAnsi="Calibri" w:eastAsia="Calibri" w:cs="Calibri"/>
          <w:spacing w:val="0"/>
          <w:sz w:val="32"/>
          <w:szCs w:val="32"/>
          <w:shd w:val="clear" w:color="auto" w:fill="FFFFFF"/>
        </w:rPr>
        <w:t> </w:t>
      </w:r>
      <w:r>
        <w:rPr>
          <w:rFonts w:ascii="SimHei" w:hAnsi="SimHei" w:eastAsia="SimHei" w:cs="SimHei"/>
          <w:spacing w:val="0"/>
          <w:sz w:val="32"/>
          <w:szCs w:val="32"/>
          <w:shd w:val="clear" w:color="auto" w:fill="FFFFFF"/>
        </w:rPr>
        <w:t>经营场所条件</w:t>
      </w:r>
    </w:p>
    <w:p w14:paraId="11844286">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第五条</w:t>
      </w:r>
      <w:r>
        <w:rPr>
          <w:rFonts w:ascii="Calibri" w:hAnsi="Calibri" w:eastAsia="Calibri" w:cs="Calibri"/>
          <w:spacing w:val="0"/>
          <w:sz w:val="32"/>
          <w:szCs w:val="32"/>
        </w:rPr>
        <w:t> </w:t>
      </w:r>
      <w:r>
        <w:rPr>
          <w:rFonts w:ascii="FangSong" w:hAnsi="FangSong" w:eastAsia="FangSong" w:cs="FangSong"/>
          <w:spacing w:val="0"/>
          <w:sz w:val="32"/>
          <w:szCs w:val="32"/>
        </w:rPr>
        <w:t>申请人对申请设立烟草制品零售点的经营场所应拥有合法使用权，并应具备以下基本条件</w:t>
      </w:r>
      <w:r>
        <w:rPr>
          <w:rStyle w:val="4"/>
          <w:rFonts w:ascii="FangSong" w:hAnsi="FangSong" w:eastAsia="FangSong" w:cs="FangSong"/>
          <w:spacing w:val="0"/>
          <w:sz w:val="32"/>
          <w:szCs w:val="32"/>
        </w:rPr>
        <w:t>：</w:t>
      </w:r>
    </w:p>
    <w:p w14:paraId="6877867B">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（一）“与住所相独立”是指经营场所与居住场所相独立，店面处于完全开放状态，消费者购买、烟草配送及开展专卖监督管理进出应不受限制；</w:t>
      </w:r>
    </w:p>
    <w:p w14:paraId="466E6938">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shd w:val="clear" w:color="auto" w:fill="FFFFFF"/>
        </w:rPr>
        <w:t>（二）“固定经营场所”是指由砖、木、钢、混等材料建成的封闭且难以移动、具备实物商品展示的经营设施、条件的场所，经营主体依法拥有所有权或使用权</w:t>
      </w:r>
      <w:r>
        <w:rPr>
          <w:rStyle w:val="5"/>
          <w:rFonts w:ascii="FangSong" w:hAnsi="FangSong" w:eastAsia="FangSong" w:cs="FangSong"/>
          <w:spacing w:val="0"/>
          <w:sz w:val="32"/>
          <w:szCs w:val="32"/>
          <w:shd w:val="clear" w:color="auto" w:fill="FFFFFF"/>
        </w:rPr>
        <w:t>且</w:t>
      </w:r>
      <w:r>
        <w:rPr>
          <w:rFonts w:ascii="FangSong" w:hAnsi="FangSong" w:eastAsia="FangSong" w:cs="FangSong"/>
          <w:spacing w:val="0"/>
          <w:sz w:val="32"/>
          <w:szCs w:val="32"/>
          <w:shd w:val="clear" w:color="auto" w:fill="FFFFFF"/>
        </w:rPr>
        <w:t>符合福州市关于经营主体住所（经营场所）登记管理相关要求。不包括临时搭建物、违法建筑、危房和县级以上人民政府规划标示的待拆建筑，以及占用公共消防通道的场所；与他人在同一经营场所的，应在空间上有明确分离或隔断，并具有清晰的物理区域界限；</w:t>
      </w:r>
      <w:r>
        <w:rPr>
          <w:rFonts w:ascii="FangSong" w:hAnsi="FangSong" w:eastAsia="FangSong" w:cs="FangSong"/>
          <w:spacing w:val="0"/>
          <w:sz w:val="32"/>
          <w:szCs w:val="32"/>
        </w:rPr>
        <w:t>多个门牌地址的商铺店面经改造、扩建，构成无明显物理分隔的同一空间的场所，视为同一个经营场所；</w:t>
      </w:r>
    </w:p>
    <w:p w14:paraId="18C755B4">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在大型商场、超市内部租借固定区域、固定柜台、固定场地经营的，能够明显独立区分商户的，视为可以申请设置零售点的固定经营场所，其变更经营位置视为经营地址变更；</w:t>
      </w:r>
    </w:p>
    <w:p w14:paraId="547CAFA2">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shd w:val="clear" w:color="auto" w:fill="FFFFFF"/>
        </w:rPr>
        <w:t>（三）</w:t>
      </w:r>
      <w:r>
        <w:rPr>
          <w:rFonts w:ascii="FangSong" w:hAnsi="FangSong" w:eastAsia="FangSong" w:cs="FangSong"/>
          <w:spacing w:val="0"/>
          <w:sz w:val="32"/>
          <w:szCs w:val="32"/>
        </w:rPr>
        <w:t>实际经营地址需与营业执照登记地址一致，</w:t>
      </w:r>
      <w:r>
        <w:rPr>
          <w:rFonts w:ascii="FangSong" w:hAnsi="FangSong" w:eastAsia="FangSong" w:cs="FangSong"/>
          <w:spacing w:val="0"/>
          <w:sz w:val="32"/>
          <w:szCs w:val="32"/>
          <w:shd w:val="clear" w:color="auto" w:fill="FFFFFF"/>
        </w:rPr>
        <w:t>农村或者其他特殊区域因历史、现实原因造成无法固定门牌号（编号）的，可采取参照物加距离的方法予以明确地址名称；</w:t>
      </w:r>
    </w:p>
    <w:p w14:paraId="61235554">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（四）经营场所区域空间结构位于二楼以下（宾馆、酒店、大中型娱乐场所、大型商业综合体等对内经营需求除外），具备商品陈列展卖基本设施及日常对外开放经营条件，方便消费者购买。</w:t>
      </w:r>
    </w:p>
    <w:p w14:paraId="055C3CB0">
      <w:pPr>
        <w:spacing w:line="555" w:lineRule="atLeast"/>
        <w:jc w:val="center"/>
        <w:rPr>
          <w:rFonts w:ascii="Calibri" w:hAnsi="Calibri" w:eastAsia="Calibri" w:cs="Calibri"/>
          <w:sz w:val="21"/>
          <w:szCs w:val="21"/>
        </w:rPr>
      </w:pPr>
      <w:r>
        <w:rPr>
          <w:rFonts w:ascii="SimHei" w:hAnsi="SimHei" w:eastAsia="SimHei" w:cs="SimHei"/>
          <w:spacing w:val="0"/>
          <w:sz w:val="32"/>
          <w:szCs w:val="32"/>
          <w:shd w:val="clear" w:color="auto" w:fill="FFFFFF"/>
        </w:rPr>
        <w:t>第三章</w:t>
      </w:r>
      <w:r>
        <w:rPr>
          <w:rFonts w:ascii="Calibri" w:hAnsi="Calibri" w:eastAsia="Calibri" w:cs="Calibri"/>
          <w:spacing w:val="0"/>
          <w:sz w:val="32"/>
          <w:szCs w:val="32"/>
          <w:shd w:val="clear" w:color="auto" w:fill="FFFFFF"/>
        </w:rPr>
        <w:t> </w:t>
      </w:r>
      <w:r>
        <w:rPr>
          <w:rFonts w:ascii="SimHei" w:hAnsi="SimHei" w:eastAsia="SimHei" w:cs="SimHei"/>
          <w:spacing w:val="0"/>
          <w:sz w:val="32"/>
          <w:szCs w:val="32"/>
          <w:shd w:val="clear" w:color="auto" w:fill="FFFFFF"/>
        </w:rPr>
        <w:t>零售点布局标准</w:t>
      </w:r>
    </w:p>
    <w:p w14:paraId="5F6F41CC">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第六条 </w:t>
      </w:r>
      <w:r>
        <w:rPr>
          <w:rFonts w:ascii="FangSong" w:hAnsi="FangSong" w:eastAsia="FangSong" w:cs="FangSong"/>
          <w:spacing w:val="0"/>
          <w:sz w:val="32"/>
          <w:szCs w:val="32"/>
        </w:rPr>
        <w:t>本规划遵循依法行政、科学规划、服务社会、均衡发展的原则，依法保护烟草制品零售市场主体合法权益，保护未成年人身心健康，防止无序扩张和过度竞争，根据辖区经济社会发展变化定期开展评估，实行动态管理。</w:t>
      </w:r>
    </w:p>
    <w:p w14:paraId="6A64F84C">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第七条</w:t>
      </w:r>
      <w:r>
        <w:rPr>
          <w:rFonts w:ascii="Calibri" w:hAnsi="Calibri" w:eastAsia="Calibri" w:cs="Calibri"/>
          <w:spacing w:val="0"/>
          <w:sz w:val="32"/>
          <w:szCs w:val="32"/>
        </w:rPr>
        <w:t> </w:t>
      </w:r>
      <w:r>
        <w:rPr>
          <w:rFonts w:ascii="FangSong" w:hAnsi="FangSong" w:eastAsia="FangSong" w:cs="FangSong"/>
          <w:spacing w:val="0"/>
          <w:sz w:val="32"/>
          <w:szCs w:val="32"/>
        </w:rPr>
        <w:t>综合考虑市场需求、市场容量和零售点合理利润等因素，结合辖区常住人口数量、经济发展水平、消费行为习惯等因素，以乡镇为单位，将辖区市场划分为若干个合理布局单元，单元内综合运用数量、间距和其他符合实际、科学合理的布局模式。</w:t>
      </w:r>
    </w:p>
    <w:p w14:paraId="263A133A">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第八条 </w:t>
      </w:r>
      <w:r>
        <w:rPr>
          <w:rFonts w:ascii="Calibri" w:hAnsi="Calibri" w:eastAsia="Calibri" w:cs="Calibri"/>
          <w:b/>
          <w:bCs/>
          <w:spacing w:val="0"/>
          <w:sz w:val="32"/>
          <w:szCs w:val="32"/>
        </w:rPr>
        <w:t> </w:t>
      </w:r>
      <w:r>
        <w:rPr>
          <w:rFonts w:ascii="FangSong" w:hAnsi="FangSong" w:eastAsia="FangSong" w:cs="FangSong"/>
          <w:spacing w:val="0"/>
          <w:sz w:val="32"/>
          <w:szCs w:val="32"/>
        </w:rPr>
        <w:t>根据合理布局单元内烟草专卖零售许可证现有数量和规划调控数量，将合理布局单元划分为一般区域、排队轮候区域两类区域。单元内持证户数未达到规划调控数量的，为一般区域；单元持证户数达到或超过规划调控数量的为排队轮候区域。</w:t>
      </w:r>
    </w:p>
    <w:p w14:paraId="3907FFCC">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（一）数量调控模式。参照福州全区统一模型测算各合理布局单元合理证件数量，结合辖区实际，对零售点布局实行总量控制并进行动态调整，各区域单元具体规划数量定期公示。</w:t>
      </w:r>
    </w:p>
    <w:p w14:paraId="6530F8BC">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发证机关根据实际情况调整各单元烟草制品零售点调控数量，应在新规划数量正式生效10个工作日前，通过政务大厅、线上小程序、公示栏等等多渠道进行公示</w:t>
      </w:r>
      <w:r>
        <w:rPr>
          <w:rStyle w:val="6"/>
          <w:rFonts w:ascii="FangSong" w:hAnsi="FangSong" w:eastAsia="FangSong" w:cs="FangSong"/>
          <w:spacing w:val="0"/>
          <w:sz w:val="32"/>
          <w:szCs w:val="32"/>
        </w:rPr>
        <w:t>；</w:t>
      </w:r>
    </w:p>
    <w:p w14:paraId="5119E884">
      <w:pPr>
        <w:spacing w:line="240" w:lineRule="atLeast"/>
        <w:ind w:firstLine="645"/>
        <w:jc w:val="both"/>
        <w:rPr>
          <w:rFonts w:ascii="Calibri" w:hAnsi="Calibri" w:eastAsia="Calibri" w:cs="Calibri"/>
          <w:sz w:val="21"/>
          <w:szCs w:val="21"/>
        </w:rPr>
      </w:pPr>
      <w:r>
        <w:rPr>
          <w:rFonts w:ascii="FangSong" w:hAnsi="FangSong" w:eastAsia="FangSong" w:cs="FangSong"/>
          <w:spacing w:val="0"/>
          <w:sz w:val="32"/>
          <w:szCs w:val="32"/>
        </w:rPr>
        <w:t>（二）间距限制模式。新设零售点与最近已设零售点要满足最低间距要求。以交通规则允许的行人可安全步行的无障碍距离认定间距，最低间距原则上不得少于15米，以发证机关现场核查结果为准。</w:t>
      </w:r>
    </w:p>
    <w:p w14:paraId="4888FFC8">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第九条</w:t>
      </w:r>
      <w:r>
        <w:rPr>
          <w:rFonts w:ascii="Calibri" w:hAnsi="Calibri" w:eastAsia="Calibri" w:cs="Calibri"/>
          <w:b/>
          <w:bCs/>
          <w:spacing w:val="0"/>
          <w:sz w:val="32"/>
          <w:szCs w:val="32"/>
        </w:rPr>
        <w:t> </w:t>
      </w:r>
      <w:r>
        <w:rPr>
          <w:rFonts w:ascii="FangSong" w:hAnsi="FangSong" w:eastAsia="FangSong" w:cs="FangSong"/>
          <w:b/>
          <w:bCs/>
          <w:spacing w:val="0"/>
          <w:sz w:val="32"/>
          <w:szCs w:val="32"/>
        </w:rPr>
        <w:t xml:space="preserve"> </w:t>
      </w:r>
      <w:r>
        <w:rPr>
          <w:rFonts w:ascii="FangSong" w:hAnsi="FangSong" w:eastAsia="FangSong" w:cs="FangSong"/>
          <w:spacing w:val="0"/>
          <w:sz w:val="32"/>
          <w:szCs w:val="32"/>
        </w:rPr>
        <w:t>申请许可范围仅为“雪茄烟本店零售”的雪茄烟专营店，应符合辖区雪茄烟专营店规划调控数量要求，不受间距限制，应当具备下列条件：</w:t>
      </w:r>
    </w:p>
    <w:p w14:paraId="71CB19BD">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（一）有与经营雪茄烟零售业务相适应的资金；</w:t>
      </w:r>
    </w:p>
    <w:p w14:paraId="1A65FC6E">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（二）有与住所相独立的固定经营场所；</w:t>
      </w:r>
    </w:p>
    <w:p w14:paraId="742B9E6F">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（三）主营业务为雪茄烟零售，不得销售其他烟草制品；</w:t>
      </w:r>
    </w:p>
    <w:p w14:paraId="4A6DC2BD">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（四）有专业的雪茄烟经营条件和仓储条件，设有雪茄陈列区和品</w:t>
      </w:r>
      <w:r>
        <w:rPr>
          <w:rStyle w:val="8"/>
          <w:rFonts w:ascii="FangSong" w:hAnsi="FangSong" w:eastAsia="FangSong" w:cs="FangSong"/>
          <w:spacing w:val="0"/>
          <w:sz w:val="32"/>
          <w:szCs w:val="32"/>
        </w:rPr>
        <w:t>鉴区</w:t>
      </w:r>
      <w:r>
        <w:rPr>
          <w:rFonts w:ascii="FangSong" w:hAnsi="FangSong" w:eastAsia="FangSong" w:cs="FangSong"/>
          <w:spacing w:val="0"/>
          <w:sz w:val="32"/>
          <w:szCs w:val="32"/>
        </w:rPr>
        <w:t>；</w:t>
      </w:r>
    </w:p>
    <w:p w14:paraId="355B6A8A">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（五）国家烟草专卖局规定的其他条件。</w:t>
      </w:r>
    </w:p>
    <w:p w14:paraId="420A8AB6">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如因上级烟草专卖行政主管部门出台雪茄烟专营店合理布局规划文件的，从其规定执行。</w:t>
      </w:r>
    </w:p>
    <w:p w14:paraId="0F052C63">
      <w:pPr>
        <w:spacing w:line="555" w:lineRule="atLeast"/>
        <w:jc w:val="center"/>
        <w:rPr>
          <w:rFonts w:ascii="Calibri" w:hAnsi="Calibri" w:eastAsia="Calibri" w:cs="Calibri"/>
          <w:sz w:val="21"/>
          <w:szCs w:val="21"/>
        </w:rPr>
      </w:pPr>
      <w:r>
        <w:rPr>
          <w:rFonts w:ascii="SimHei" w:hAnsi="SimHei" w:eastAsia="SimHei" w:cs="SimHei"/>
          <w:spacing w:val="0"/>
          <w:sz w:val="32"/>
          <w:szCs w:val="32"/>
          <w:shd w:val="clear" w:color="auto" w:fill="FFFFFF"/>
        </w:rPr>
        <w:t>第四章</w:t>
      </w:r>
      <w:r>
        <w:rPr>
          <w:rFonts w:ascii="Calibri" w:hAnsi="Calibri" w:eastAsia="Calibri" w:cs="Calibri"/>
          <w:spacing w:val="0"/>
          <w:sz w:val="32"/>
          <w:szCs w:val="32"/>
          <w:shd w:val="clear" w:color="auto" w:fill="FFFFFF"/>
        </w:rPr>
        <w:t>  </w:t>
      </w:r>
      <w:r>
        <w:rPr>
          <w:rFonts w:ascii="SimHei" w:hAnsi="SimHei" w:eastAsia="SimHei" w:cs="SimHei"/>
          <w:spacing w:val="0"/>
          <w:sz w:val="32"/>
          <w:szCs w:val="32"/>
          <w:shd w:val="clear" w:color="auto" w:fill="FFFFFF"/>
        </w:rPr>
        <w:t>排队</w:t>
      </w:r>
      <w:r>
        <w:rPr>
          <w:rStyle w:val="8"/>
          <w:rFonts w:ascii="SimHei" w:hAnsi="SimHei" w:eastAsia="SimHei" w:cs="SimHei"/>
          <w:spacing w:val="0"/>
          <w:sz w:val="32"/>
          <w:szCs w:val="32"/>
          <w:shd w:val="clear" w:color="auto" w:fill="FFFFFF"/>
        </w:rPr>
        <w:t>轮侯</w:t>
      </w:r>
      <w:r>
        <w:rPr>
          <w:rFonts w:ascii="SimHei" w:hAnsi="SimHei" w:eastAsia="SimHei" w:cs="SimHei"/>
          <w:spacing w:val="0"/>
          <w:sz w:val="32"/>
          <w:szCs w:val="32"/>
          <w:shd w:val="clear" w:color="auto" w:fill="FFFFFF"/>
        </w:rPr>
        <w:t>规则</w:t>
      </w:r>
    </w:p>
    <w:p w14:paraId="54BDF24A">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第十条</w:t>
      </w:r>
      <w:r>
        <w:rPr>
          <w:rFonts w:ascii="Calibri" w:hAnsi="Calibri" w:eastAsia="Calibri" w:cs="Calibri"/>
          <w:spacing w:val="0"/>
          <w:sz w:val="32"/>
          <w:szCs w:val="32"/>
        </w:rPr>
        <w:t> </w:t>
      </w:r>
      <w:r>
        <w:rPr>
          <w:rFonts w:ascii="FangSong" w:hAnsi="FangSong" w:eastAsia="FangSong" w:cs="FangSong"/>
          <w:spacing w:val="0"/>
          <w:sz w:val="32"/>
          <w:szCs w:val="32"/>
        </w:rPr>
        <w:t xml:space="preserve"> 合理布局单元内持证户数达到或超过规划调控数量的，立即启动排队轮候管理制度，以申请先后顺序统一纳入轮候序列，依次办理。</w:t>
      </w:r>
    </w:p>
    <w:p w14:paraId="3692FB20">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排队轮候实行“谁申请谁排号、排号转让无效、过号失效、公开透明”的原则，登记排号轮候的有效期限为长期有效，发证机关应对长期轮候的申请人定期核实办证意愿和登记事项。</w:t>
      </w:r>
    </w:p>
    <w:p w14:paraId="14A391B7">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轮候公示以办证服务大厅窗口、金叶便民小程序等多种方式对外公示。</w:t>
      </w:r>
    </w:p>
    <w:p w14:paraId="1C3FF12A">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第十一条</w:t>
      </w:r>
      <w:r>
        <w:rPr>
          <w:rFonts w:ascii="Calibri" w:hAnsi="Calibri" w:eastAsia="Calibri" w:cs="Calibri"/>
          <w:spacing w:val="0"/>
          <w:sz w:val="32"/>
          <w:szCs w:val="32"/>
        </w:rPr>
        <w:t> </w:t>
      </w:r>
      <w:r>
        <w:rPr>
          <w:rFonts w:ascii="FangSong" w:hAnsi="FangSong" w:eastAsia="FangSong" w:cs="FangSong"/>
          <w:spacing w:val="0"/>
          <w:sz w:val="32"/>
          <w:szCs w:val="32"/>
        </w:rPr>
        <w:t>申请</w:t>
      </w:r>
      <w:r>
        <w:rPr>
          <w:rStyle w:val="8"/>
          <w:rFonts w:ascii="FangSong" w:hAnsi="FangSong" w:eastAsia="FangSong" w:cs="FangSong"/>
          <w:spacing w:val="0"/>
          <w:sz w:val="32"/>
          <w:szCs w:val="32"/>
        </w:rPr>
        <w:t>轮侯</w:t>
      </w:r>
      <w:r>
        <w:rPr>
          <w:rFonts w:ascii="FangSong" w:hAnsi="FangSong" w:eastAsia="FangSong" w:cs="FangSong"/>
          <w:spacing w:val="0"/>
          <w:sz w:val="32"/>
          <w:szCs w:val="32"/>
        </w:rPr>
        <w:t>登记的先后顺序，以发证机关收到相关材料的时间为准。申请人排队到号应当在收到办理通知之日起三个工作日内提交办证申请材料，逾期未提交或在三个工作日内按照其提供的联系方式无法联系通知办理的，视同放弃申请，并由下一位排号人递补申请。</w:t>
      </w:r>
    </w:p>
    <w:p w14:paraId="78F72043">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进入轮候后，除由于系统故障、生僻字无法录入等客观原因导致轮候登记事项信息不一致的，申请人登记的企业名称、法定代表人或其他组织负责人、企业住所、经营地址等登记事项应与实际经营情况相一致。</w:t>
      </w:r>
    </w:p>
    <w:p w14:paraId="0C1A973E">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申请人如因客观原因需更改企业名称或更正身份信息的，应当在到号前向发证机关申请作出相应修改。</w:t>
      </w:r>
    </w:p>
    <w:p w14:paraId="2537F86D">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第十二条</w:t>
      </w:r>
      <w:r>
        <w:rPr>
          <w:rFonts w:ascii="Calibri" w:hAnsi="Calibri" w:eastAsia="Calibri" w:cs="Calibri"/>
          <w:spacing w:val="0"/>
          <w:sz w:val="32"/>
          <w:szCs w:val="32"/>
        </w:rPr>
        <w:t> </w:t>
      </w:r>
      <w:r>
        <w:rPr>
          <w:rFonts w:ascii="FangSong" w:hAnsi="FangSong" w:eastAsia="FangSong" w:cs="FangSong"/>
          <w:spacing w:val="0"/>
          <w:sz w:val="32"/>
          <w:szCs w:val="32"/>
        </w:rPr>
        <w:t>申请人在排队轮候期间，书面提出取消排队轮候申请的，发证机关应当及时终止其轮候资格，并更新轮候公示信息。</w:t>
      </w:r>
    </w:p>
    <w:p w14:paraId="53D75732">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有下列情形之一的，排号人的原登记信息</w:t>
      </w:r>
      <w:r>
        <w:rPr>
          <w:rStyle w:val="11"/>
          <w:rFonts w:ascii="FangSong" w:hAnsi="FangSong" w:eastAsia="FangSong" w:cs="FangSong"/>
          <w:spacing w:val="0"/>
          <w:sz w:val="32"/>
          <w:szCs w:val="32"/>
        </w:rPr>
        <w:t>及时</w:t>
      </w:r>
      <w:r>
        <w:rPr>
          <w:rFonts w:ascii="FangSong" w:hAnsi="FangSong" w:eastAsia="FangSong" w:cs="FangSong"/>
          <w:spacing w:val="0"/>
          <w:sz w:val="32"/>
          <w:szCs w:val="32"/>
        </w:rPr>
        <w:t>失效且</w:t>
      </w:r>
      <w:r>
        <w:rPr>
          <w:rStyle w:val="12"/>
          <w:rFonts w:ascii="FangSong" w:hAnsi="FangSong" w:eastAsia="FangSong" w:cs="FangSong"/>
          <w:spacing w:val="0"/>
          <w:sz w:val="32"/>
          <w:szCs w:val="32"/>
        </w:rPr>
        <w:t>不得已</w:t>
      </w:r>
      <w:r>
        <w:rPr>
          <w:rFonts w:ascii="FangSong" w:hAnsi="FangSong" w:eastAsia="FangSong" w:cs="FangSong"/>
          <w:spacing w:val="0"/>
          <w:sz w:val="32"/>
          <w:szCs w:val="32"/>
        </w:rPr>
        <w:t>原登记顺序进行再次登记：</w:t>
      </w:r>
    </w:p>
    <w:p w14:paraId="33AB389E">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（一）无法按照其提供的联系方式联系到排号人</w:t>
      </w:r>
      <w:r>
        <w:rPr>
          <w:rStyle w:val="13"/>
          <w:rFonts w:ascii="FangSong" w:hAnsi="FangSong" w:eastAsia="FangSong" w:cs="FangSong"/>
          <w:spacing w:val="0"/>
          <w:sz w:val="32"/>
          <w:szCs w:val="32"/>
        </w:rPr>
        <w:t>且</w:t>
      </w:r>
      <w:r>
        <w:rPr>
          <w:rFonts w:ascii="FangSong" w:hAnsi="FangSong" w:eastAsia="FangSong" w:cs="FangSong"/>
          <w:spacing w:val="0"/>
          <w:sz w:val="32"/>
          <w:szCs w:val="32"/>
        </w:rPr>
        <w:t>超过规定时限未主动联系发证机关的；</w:t>
      </w:r>
    </w:p>
    <w:p w14:paraId="38E95A71">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（二）经发证机关实地核查，发现实际经营地址、经营主体等情况与原登记事项不符的。</w:t>
      </w:r>
    </w:p>
    <w:p w14:paraId="6D3936B7">
      <w:pPr>
        <w:spacing w:line="555" w:lineRule="atLeast"/>
        <w:jc w:val="center"/>
        <w:rPr>
          <w:rFonts w:ascii="Calibri" w:hAnsi="Calibri" w:eastAsia="Calibri" w:cs="Calibri"/>
          <w:sz w:val="21"/>
          <w:szCs w:val="21"/>
        </w:rPr>
      </w:pPr>
      <w:r>
        <w:rPr>
          <w:rFonts w:ascii="SimHei" w:hAnsi="SimHei" w:eastAsia="SimHei" w:cs="SimHei"/>
          <w:spacing w:val="0"/>
          <w:sz w:val="32"/>
          <w:szCs w:val="32"/>
          <w:shd w:val="clear" w:color="auto" w:fill="FFFFFF"/>
        </w:rPr>
        <w:t>第五章 放宽情形</w:t>
      </w:r>
    </w:p>
    <w:p w14:paraId="258226ED">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第十三条</w:t>
      </w:r>
      <w:r>
        <w:rPr>
          <w:rFonts w:ascii="Calibri" w:hAnsi="Calibri" w:eastAsia="Calibri" w:cs="Calibri"/>
          <w:spacing w:val="0"/>
          <w:sz w:val="32"/>
          <w:szCs w:val="32"/>
        </w:rPr>
        <w:t> </w:t>
      </w:r>
      <w:r>
        <w:rPr>
          <w:rFonts w:ascii="FangSong" w:hAnsi="FangSong" w:eastAsia="FangSong" w:cs="FangSong"/>
          <w:spacing w:val="0"/>
          <w:sz w:val="32"/>
          <w:szCs w:val="32"/>
        </w:rPr>
        <w:t>在下列区域申请设立烟草制品零售点的，不受所在合理布局单元数量和间距限制，但零售点数量不超过规定上限：</w:t>
      </w:r>
    </w:p>
    <w:p w14:paraId="4AFC6D7D">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（一）综合型商品交易市场内所设零售点，规划户数在500户以下，设置零售点不超过7个；规划户数在500户以上，设置零售点不超过15个，沿街经营户内外均设有进出口，纳入市场内经营户数；</w:t>
      </w:r>
    </w:p>
    <w:p w14:paraId="374FDB76">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（二）全封闭式的特殊区域内设置的对内经营场所，如部队营区、看守所、拘留所等特殊场所，可设置1个零售点；</w:t>
      </w:r>
    </w:p>
    <w:p w14:paraId="3C96F209">
      <w:pPr>
        <w:spacing w:line="315" w:lineRule="atLeast"/>
        <w:ind w:firstLine="645"/>
        <w:jc w:val="both"/>
        <w:rPr>
          <w:rFonts w:ascii="Calibri" w:hAnsi="Calibri" w:eastAsia="Calibri" w:cs="Calibri"/>
          <w:sz w:val="21"/>
          <w:szCs w:val="21"/>
        </w:rPr>
      </w:pPr>
      <w:r>
        <w:rPr>
          <w:rFonts w:ascii="FangSong" w:hAnsi="FangSong" w:eastAsia="FangSong" w:cs="FangSong"/>
          <w:spacing w:val="0"/>
          <w:sz w:val="32"/>
          <w:szCs w:val="32"/>
        </w:rPr>
        <w:t>（三）高速公路服务区，每侧可设置1个零售点；</w:t>
      </w:r>
    </w:p>
    <w:p w14:paraId="516EC344">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（四）经政府有关部门批准运营的3A级以上大型景区内，可设置1个零售点；</w:t>
      </w:r>
    </w:p>
    <w:p w14:paraId="61FED25E">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（五）长途汽车站、火车站等交通枢纽</w:t>
      </w:r>
      <w:r>
        <w:rPr>
          <w:rStyle w:val="8"/>
          <w:rFonts w:ascii="FangSong" w:hAnsi="FangSong" w:eastAsia="FangSong" w:cs="FangSong"/>
          <w:spacing w:val="0"/>
          <w:sz w:val="32"/>
          <w:szCs w:val="32"/>
        </w:rPr>
        <w:t>点候乘</w:t>
      </w:r>
      <w:r>
        <w:rPr>
          <w:rFonts w:ascii="FangSong" w:hAnsi="FangSong" w:eastAsia="FangSong" w:cs="FangSong"/>
          <w:spacing w:val="0"/>
          <w:sz w:val="32"/>
          <w:szCs w:val="32"/>
        </w:rPr>
        <w:t>场所内的，设置零售点不超过3个；</w:t>
      </w:r>
    </w:p>
    <w:p w14:paraId="212BA5E7">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（六）辖区内实施高等教育的学校，设置零售点不超过5个。</w:t>
      </w:r>
    </w:p>
    <w:p w14:paraId="22669CF3">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（七）封闭式管理的工厂内部及位于工业园区、农业园区、科技园区、物流园区、文化创意园区等政府为实现产业发展目标而创立的特殊区位环境产业园区内的，设置零售点不超过10个；</w:t>
      </w:r>
    </w:p>
    <w:p w14:paraId="36CF98FD">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（八）高度集约的商业购物中心内部，以出租店面、柜台为主要经营方式的，设置零售点不超过10个；</w:t>
      </w:r>
    </w:p>
    <w:p w14:paraId="6D447B95">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（九）规划工期在半年以上的在建工程项目，为服务项目施工人员，设置零售点不超过2个，许可证有效期应设在工期内；</w:t>
      </w:r>
    </w:p>
    <w:p w14:paraId="1B37B7A9">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（十）地方政府推动城市发展、乡村振兴、产业扶持等，需要烟草零售业务配套的，提供当地县级以上政府部门出具的相应批复、文件、会议纪要等材料，或者由上述部门以公函形式进行商洽的；</w:t>
      </w:r>
    </w:p>
    <w:p w14:paraId="3AB5A559">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年度新办除部队营区、看守所、拘留所等全封闭式特殊场所以外的其他类零售点总数，不超过上一年度末辖区普通零售点总数的2%。</w:t>
      </w:r>
    </w:p>
    <w:p w14:paraId="374FAC83">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第十四条</w:t>
      </w:r>
      <w:r>
        <w:rPr>
          <w:rFonts w:ascii="Calibri" w:hAnsi="Calibri" w:eastAsia="Calibri" w:cs="Calibri"/>
          <w:spacing w:val="0"/>
          <w:sz w:val="32"/>
          <w:szCs w:val="32"/>
        </w:rPr>
        <w:t> </w:t>
      </w:r>
      <w:r>
        <w:rPr>
          <w:rFonts w:ascii="FangSong" w:hAnsi="FangSong" w:eastAsia="FangSong" w:cs="FangSong"/>
          <w:spacing w:val="0"/>
          <w:sz w:val="32"/>
          <w:szCs w:val="32"/>
        </w:rPr>
        <w:t>有下列情形之一的，不受最低间距限制，但受数量调控：</w:t>
      </w:r>
    </w:p>
    <w:p w14:paraId="4BC64AE8">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（一）居民小区（新村）内零售点根据商品房数量确定，商品房在500户以下的可设置5个零售点，500户以上每超过150户可增设1个零售点，原则上1栋居民楼只设置2个零售点；</w:t>
      </w:r>
    </w:p>
    <w:p w14:paraId="6F4CCE16">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（二）长途汽车站和火车站等交通枢纽点乘客主要出入口左右两侧20米内各可设置2个零售点；</w:t>
      </w:r>
    </w:p>
    <w:p w14:paraId="6C158E30">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（三）经营面积在1000平方米以上的酒店、宾馆、KTV、酒吧等娱乐服务场所，满足对内经营需求的；</w:t>
      </w:r>
    </w:p>
    <w:p w14:paraId="2F0025C4">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（四）经营面积在100平方米以上的便利店、超市、烟酒商店。</w:t>
      </w:r>
    </w:p>
    <w:p w14:paraId="1793F16B">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第十五条 </w:t>
      </w:r>
      <w:r>
        <w:rPr>
          <w:rFonts w:ascii="FangSong" w:hAnsi="FangSong" w:eastAsia="FangSong" w:cs="FangSong"/>
          <w:spacing w:val="0"/>
          <w:sz w:val="32"/>
          <w:szCs w:val="32"/>
        </w:rPr>
        <w:t>有以下情形之一，不受所在合理布局单元数量和间距限制：</w:t>
      </w:r>
    </w:p>
    <w:p w14:paraId="303A27B9">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（一）烟草专卖零售许可证被许可人（自然人）死亡、丧失民事行为能力，</w:t>
      </w:r>
      <w:r>
        <w:rPr>
          <w:rFonts w:ascii="FangSong" w:hAnsi="FangSong" w:eastAsia="FangSong" w:cs="FangSong"/>
          <w:spacing w:val="0"/>
          <w:sz w:val="32"/>
          <w:szCs w:val="32"/>
          <w:shd w:val="clear" w:color="auto" w:fill="FFFFFF"/>
        </w:rPr>
        <w:t>其配偶、父母或者子女在原址继续经营重新申领烟草专卖零售许可证，于原持证人死亡或丧失民事行为能力之日起6个月内主动提供相关材料配合发证机关办理注销，并同时提交新办申请的；</w:t>
      </w:r>
    </w:p>
    <w:p w14:paraId="783AD3EB">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（二）因自然灾害、城市建设、道路规划等客观原因造成无法在核定经营地址经营的原持证人申请变更到其他经营地址的；原址重建后，持证人申请回迁原核定地址址经营的；</w:t>
      </w:r>
    </w:p>
    <w:p w14:paraId="2ECA91E8">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（三）因新建或改建中小学校园、幼儿园等原因导致原经营场所不符合法定条件的原持证人，</w:t>
      </w:r>
      <w:r>
        <w:rPr>
          <w:rFonts w:ascii="FangSong" w:hAnsi="FangSong" w:eastAsia="FangSong" w:cs="FangSong"/>
          <w:spacing w:val="0"/>
          <w:sz w:val="32"/>
          <w:szCs w:val="32"/>
          <w:shd w:val="clear" w:color="auto" w:fill="FFFFFF"/>
        </w:rPr>
        <w:t>主动配合迁址经营</w:t>
      </w:r>
      <w:r>
        <w:rPr>
          <w:rFonts w:ascii="FangSong" w:hAnsi="FangSong" w:eastAsia="FangSong" w:cs="FangSong"/>
          <w:spacing w:val="0"/>
          <w:sz w:val="32"/>
          <w:szCs w:val="32"/>
        </w:rPr>
        <w:t>的；原中小学、幼儿园周围不予许可认定因素消除后，原持证人申请回迁原核定地址经营的；</w:t>
      </w:r>
    </w:p>
    <w:p w14:paraId="096F671A">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（四）因法律法规修改导致原经营场所不符合法定条件的原持证人，需要变更到其他经营地址的；</w:t>
      </w:r>
    </w:p>
    <w:p w14:paraId="5AAE2B60">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（五）在罗源县辖区连续经营五年以上</w:t>
      </w:r>
      <w:r>
        <w:rPr>
          <w:rStyle w:val="15"/>
          <w:rFonts w:ascii="FangSong" w:hAnsi="FangSong" w:eastAsia="FangSong" w:cs="FangSong"/>
          <w:spacing w:val="0"/>
          <w:sz w:val="32"/>
          <w:szCs w:val="32"/>
        </w:rPr>
        <w:t>且</w:t>
      </w:r>
      <w:r>
        <w:rPr>
          <w:rFonts w:ascii="FangSong" w:hAnsi="FangSong" w:eastAsia="FangSong" w:cs="FangSong"/>
          <w:spacing w:val="0"/>
          <w:sz w:val="32"/>
          <w:szCs w:val="32"/>
        </w:rPr>
        <w:t>无违规处罚记录的持证人，歇业或注销后的3个月内原持证人在其他地址重新提出申请的；</w:t>
      </w:r>
    </w:p>
    <w:p w14:paraId="46E94AC6">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（六）政府政策扶持项目、重点工程，以及</w:t>
      </w:r>
      <w:r>
        <w:rPr>
          <w:rFonts w:ascii="FangSong" w:hAnsi="FangSong" w:eastAsia="FangSong" w:cs="FangSong"/>
          <w:spacing w:val="0"/>
          <w:sz w:val="32"/>
          <w:szCs w:val="32"/>
          <w:shd w:val="clear" w:color="auto" w:fill="FFFFFF"/>
        </w:rPr>
        <w:t>促进经济发展、民生保障</w:t>
      </w:r>
      <w:r>
        <w:rPr>
          <w:rFonts w:ascii="FangSong" w:hAnsi="FangSong" w:eastAsia="FangSong" w:cs="FangSong"/>
          <w:spacing w:val="0"/>
          <w:sz w:val="32"/>
          <w:szCs w:val="32"/>
        </w:rPr>
        <w:t>等发展需要，持有县级以上人民政府部门出具的批复文件、会议纪要等材料的。</w:t>
      </w:r>
    </w:p>
    <w:p w14:paraId="09D3C871">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第十六条</w:t>
      </w:r>
      <w:r>
        <w:rPr>
          <w:rFonts w:ascii="Calibri" w:hAnsi="Calibri" w:eastAsia="Calibri" w:cs="Calibri"/>
          <w:spacing w:val="0"/>
          <w:sz w:val="32"/>
          <w:szCs w:val="32"/>
        </w:rPr>
        <w:t> </w:t>
      </w:r>
      <w:r>
        <w:rPr>
          <w:rFonts w:ascii="FangSong" w:hAnsi="FangSong" w:eastAsia="FangSong" w:cs="FangSong"/>
          <w:spacing w:val="0"/>
          <w:sz w:val="32"/>
          <w:szCs w:val="32"/>
        </w:rPr>
        <w:t>下列申请人，首次申领烟草专卖零售许可证，受数量调控但不受间距限制：</w:t>
      </w:r>
    </w:p>
    <w:p w14:paraId="3345D055">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（一）军烈属、残疾军人、残疾人；</w:t>
      </w:r>
    </w:p>
    <w:p w14:paraId="01FB9EC3">
      <w:pPr>
        <w:spacing w:line="555" w:lineRule="atLeast"/>
        <w:jc w:val="both"/>
        <w:rPr>
          <w:rFonts w:ascii="Calibri" w:hAnsi="Calibri" w:eastAsia="Calibri" w:cs="Calibri"/>
          <w:sz w:val="21"/>
          <w:szCs w:val="21"/>
        </w:rPr>
      </w:pPr>
      <w:r>
        <w:rPr>
          <w:rFonts w:ascii="Calibri" w:hAnsi="Calibri" w:eastAsia="Calibri" w:cs="Calibri"/>
          <w:spacing w:val="0"/>
          <w:sz w:val="32"/>
          <w:szCs w:val="32"/>
        </w:rPr>
        <w:t>    </w:t>
      </w:r>
      <w:r>
        <w:rPr>
          <w:rFonts w:hint="eastAsia" w:ascii="Calibri" w:hAnsi="Calibri" w:eastAsia="宋体" w:cs="Calibri"/>
          <w:spacing w:val="0"/>
          <w:sz w:val="32"/>
          <w:szCs w:val="32"/>
          <w:lang w:val="en-US" w:eastAsia="zh-CN"/>
        </w:rPr>
        <w:t xml:space="preserve">   </w:t>
      </w:r>
      <w:r>
        <w:rPr>
          <w:rFonts w:ascii="FangSong" w:hAnsi="FangSong" w:eastAsia="FangSong" w:cs="FangSong"/>
          <w:spacing w:val="0"/>
          <w:sz w:val="32"/>
          <w:szCs w:val="32"/>
        </w:rPr>
        <w:t>（二）持有县级以上民政部门证明材料的特困户、低保户；</w:t>
      </w:r>
    </w:p>
    <w:p w14:paraId="34CAECBF">
      <w:pPr>
        <w:spacing w:line="555" w:lineRule="atLeast"/>
        <w:jc w:val="both"/>
        <w:rPr>
          <w:rFonts w:ascii="Calibri" w:hAnsi="Calibri" w:eastAsia="Calibri" w:cs="Calibri"/>
          <w:sz w:val="21"/>
          <w:szCs w:val="21"/>
        </w:rPr>
      </w:pPr>
      <w:r>
        <w:rPr>
          <w:rFonts w:ascii="Calibri" w:hAnsi="Calibri" w:eastAsia="Calibri" w:cs="Calibri"/>
          <w:spacing w:val="0"/>
          <w:sz w:val="32"/>
          <w:szCs w:val="32"/>
        </w:rPr>
        <w:t>    </w:t>
      </w:r>
      <w:r>
        <w:rPr>
          <w:rFonts w:hint="eastAsia" w:ascii="Calibri" w:hAnsi="Calibri" w:eastAsia="宋体" w:cs="Calibri"/>
          <w:spacing w:val="0"/>
          <w:sz w:val="32"/>
          <w:szCs w:val="32"/>
          <w:lang w:val="en-US" w:eastAsia="zh-CN"/>
        </w:rPr>
        <w:t xml:space="preserve">    </w:t>
      </w:r>
      <w:bookmarkStart w:id="0" w:name="_GoBack"/>
      <w:bookmarkEnd w:id="0"/>
      <w:r>
        <w:rPr>
          <w:rFonts w:ascii="FangSong" w:hAnsi="FangSong" w:eastAsia="FangSong" w:cs="FangSong"/>
          <w:spacing w:val="0"/>
          <w:sz w:val="32"/>
          <w:szCs w:val="32"/>
        </w:rPr>
        <w:t>（三）其他确有政策扶持需要的。</w:t>
      </w:r>
    </w:p>
    <w:p w14:paraId="50F01774">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以上申请人须本人提出申请并驻店经营，不得采取转租、转让、雇佣、合伙、参股、挂名、冒用等手段申请。</w:t>
      </w:r>
    </w:p>
    <w:p w14:paraId="5B516C14">
      <w:pPr>
        <w:spacing w:line="555" w:lineRule="atLeast"/>
        <w:ind w:firstLine="0"/>
        <w:jc w:val="center"/>
        <w:rPr>
          <w:rFonts w:ascii="Calibri" w:hAnsi="Calibri" w:eastAsia="Calibri" w:cs="Calibri"/>
          <w:sz w:val="21"/>
          <w:szCs w:val="21"/>
        </w:rPr>
      </w:pPr>
      <w:r>
        <w:rPr>
          <w:rFonts w:ascii="SimHei" w:hAnsi="SimHei" w:eastAsia="SimHei" w:cs="SimHei"/>
          <w:spacing w:val="0"/>
          <w:sz w:val="32"/>
          <w:szCs w:val="32"/>
          <w:shd w:val="clear" w:color="auto" w:fill="FFFFFF"/>
        </w:rPr>
        <w:t>第六章</w:t>
      </w:r>
      <w:r>
        <w:rPr>
          <w:rFonts w:ascii="Calibri" w:hAnsi="Calibri" w:eastAsia="Calibri" w:cs="Calibri"/>
          <w:spacing w:val="0"/>
          <w:sz w:val="32"/>
          <w:szCs w:val="32"/>
          <w:shd w:val="clear" w:color="auto" w:fill="FFFFFF"/>
        </w:rPr>
        <w:t>  </w:t>
      </w:r>
      <w:r>
        <w:rPr>
          <w:rFonts w:ascii="SimHei" w:hAnsi="SimHei" w:eastAsia="SimHei" w:cs="SimHei"/>
          <w:spacing w:val="0"/>
          <w:sz w:val="32"/>
          <w:szCs w:val="32"/>
          <w:shd w:val="clear" w:color="auto" w:fill="FFFFFF"/>
        </w:rPr>
        <w:t>特殊情形</w:t>
      </w:r>
    </w:p>
    <w:p w14:paraId="5FCDBBF1">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第十七条 </w:t>
      </w:r>
      <w:r>
        <w:rPr>
          <w:rFonts w:ascii="FangSong" w:hAnsi="FangSong" w:eastAsia="FangSong" w:cs="FangSong"/>
          <w:spacing w:val="0"/>
          <w:sz w:val="32"/>
          <w:szCs w:val="32"/>
        </w:rPr>
        <w:t>经营主体有下列情形之一的，不予发放烟草专卖零售许可证：</w:t>
      </w:r>
    </w:p>
    <w:p w14:paraId="0577717D">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（一）申请人为未成年人、无民事行为能力人及限制民事行为能力人；</w:t>
      </w:r>
    </w:p>
    <w:p w14:paraId="4BA50D51">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（二）外商投资（含以特许、吸纳加盟店及其他再投资形式）的商业企业或者个体工商户（有外资成分，以提供住宿、餐饮、休闲、娱乐为主要经营的宾馆、酒店等企业除外）；</w:t>
      </w:r>
    </w:p>
    <w:p w14:paraId="023A052A">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（三）被取消从事烟草专卖业务资格不满三年的；</w:t>
      </w:r>
    </w:p>
    <w:p w14:paraId="6AE57F40">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（四）因申请人隐瞒有关情况或者提供虚假材料，烟草专卖局作出不予受理或者不予发证决定后，申请人一年内再次提出申请的；</w:t>
      </w:r>
    </w:p>
    <w:p w14:paraId="16A1C503">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（五）因申请人以欺骗、贿赂等不正当手段取得的烟草专卖零售许可证被撤销后，申请人三年内再次提出申请的；</w:t>
      </w:r>
    </w:p>
    <w:p w14:paraId="7B28B7E1">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（六）未领取烟草专卖零售许可证经营烟草专卖品业务，并且一年内被执法机关处罚两次以上，在三年内申请领取烟草专卖零售许可证的；</w:t>
      </w:r>
    </w:p>
    <w:p w14:paraId="20FF5638">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（七）因未领取烟草专卖零售许可证经营烟草专卖品业务被追究刑事责任，在三年内申请领取烟草专卖零售许可证的</w:t>
      </w:r>
      <w:r>
        <w:rPr>
          <w:rStyle w:val="16"/>
          <w:rFonts w:ascii="FangSong" w:hAnsi="FangSong" w:eastAsia="FangSong" w:cs="FangSong"/>
          <w:spacing w:val="0"/>
          <w:sz w:val="32"/>
          <w:szCs w:val="32"/>
        </w:rPr>
        <w:t>；</w:t>
      </w:r>
    </w:p>
    <w:p w14:paraId="32B3613E">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（八）法律法规、规章规定的其他不予发证的情形；</w:t>
      </w:r>
    </w:p>
    <w:p w14:paraId="744FA900">
      <w:pPr>
        <w:shd w:val="clear" w:color="auto" w:fill="FFFFFF"/>
        <w:spacing w:line="555" w:lineRule="atLeast"/>
        <w:ind w:firstLine="645"/>
        <w:jc w:val="both"/>
        <w:rPr>
          <w:rFonts w:ascii="Calibri" w:hAnsi="Calibri" w:eastAsia="Calibri" w:cs="Calibri"/>
          <w:sz w:val="21"/>
          <w:szCs w:val="21"/>
        </w:rPr>
      </w:pPr>
      <w:r>
        <w:rPr>
          <w:rFonts w:ascii="Calibri" w:hAnsi="Calibri" w:eastAsia="Calibri" w:cs="Calibri"/>
          <w:b/>
          <w:bCs/>
          <w:spacing w:val="0"/>
          <w:sz w:val="32"/>
          <w:szCs w:val="32"/>
        </w:rPr>
        <w:t> </w:t>
      </w:r>
      <w:r>
        <w:rPr>
          <w:rFonts w:ascii="FangSong" w:hAnsi="FangSong" w:eastAsia="FangSong" w:cs="FangSong"/>
          <w:b/>
          <w:bCs/>
          <w:spacing w:val="0"/>
          <w:sz w:val="32"/>
          <w:szCs w:val="32"/>
        </w:rPr>
        <w:t xml:space="preserve">第十八条 </w:t>
      </w:r>
      <w:r>
        <w:rPr>
          <w:rFonts w:ascii="FangSong" w:hAnsi="FangSong" w:eastAsia="FangSong" w:cs="FangSong"/>
          <w:spacing w:val="0"/>
          <w:sz w:val="32"/>
          <w:szCs w:val="32"/>
        </w:rPr>
        <w:t>经营模式与业务有下列情形之一的，不予发放烟草专卖零售许可证：</w:t>
      </w:r>
    </w:p>
    <w:p w14:paraId="54A836AC">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（一）自动售货机（柜）、电玩游戏机、无人驻店经营等利用自动、自助售货或其他无法判明是否是未成年人购买等形式，销售或者变相销售烟草制品的；</w:t>
      </w:r>
    </w:p>
    <w:p w14:paraId="67EBE6D9">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（二）母婴用品店、儿童娱乐、校外培训等为主要经营业务，容易诱导未成年人接触烟草制品的；</w:t>
      </w:r>
    </w:p>
    <w:p w14:paraId="002FA59C">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（三）利用信息网络渠道销售烟草专卖品的。</w:t>
      </w:r>
    </w:p>
    <w:p w14:paraId="5654B4B2">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第十九条 </w:t>
      </w:r>
      <w:r>
        <w:rPr>
          <w:rFonts w:ascii="FangSong" w:hAnsi="FangSong" w:eastAsia="FangSong" w:cs="FangSong"/>
          <w:spacing w:val="0"/>
          <w:sz w:val="32"/>
          <w:szCs w:val="32"/>
        </w:rPr>
        <w:t>经营场所有下列情形之一的，不予发放烟草专卖零售许可证：</w:t>
      </w:r>
    </w:p>
    <w:p w14:paraId="0EED7EB3">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（一）未与住所相独立的；</w:t>
      </w:r>
    </w:p>
    <w:p w14:paraId="05772B7D">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（二）属于非固定经营场所的；</w:t>
      </w:r>
    </w:p>
    <w:p w14:paraId="5FC89797">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（三）位于中小学、幼儿园周围的；</w:t>
      </w:r>
    </w:p>
    <w:p w14:paraId="3420AA3E">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四）经营或存放化工、农药、油漆等有毒、有害、易挥发、放射性商品等容易造成烟草制品污染的，经营烟花爆竹、能源产品等易燃易爆物品的，以及其他基于安全因素不适宜经营卷烟的场所，但具有安全保障措施的加油站便利店除外；</w:t>
      </w:r>
    </w:p>
    <w:p w14:paraId="34129970">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（五）一个经营场所已经办理了仍在有效期内的烟草专卖零售许可证的；</w:t>
      </w:r>
    </w:p>
    <w:p w14:paraId="0C0F1225">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（六）尚在内部装修的经营场所，不对外开放的仓储场所；</w:t>
      </w:r>
    </w:p>
    <w:p w14:paraId="17B27BAE">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（七）政府纳入征收规划且自拆迁决定公告发布之日起未满一年的待拆迁区域；</w:t>
      </w:r>
    </w:p>
    <w:p w14:paraId="6E65D6BC">
      <w:pPr>
        <w:shd w:val="clear" w:color="auto" w:fill="FFFFFF"/>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（八）政府、行业规划禁止或不宜经营烟草制品类商品的区域，如党政机关内部、医疗机构等。</w:t>
      </w:r>
    </w:p>
    <w:p w14:paraId="1280AA2A">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第二十条 </w:t>
      </w:r>
      <w:r>
        <w:rPr>
          <w:rFonts w:ascii="Calibri" w:hAnsi="Calibri" w:eastAsia="Calibri" w:cs="Calibri"/>
          <w:b/>
          <w:bCs/>
          <w:spacing w:val="0"/>
          <w:sz w:val="32"/>
          <w:szCs w:val="32"/>
        </w:rPr>
        <w:t> </w:t>
      </w:r>
      <w:r>
        <w:rPr>
          <w:rFonts w:ascii="FangSong" w:hAnsi="FangSong" w:eastAsia="FangSong" w:cs="FangSong"/>
          <w:spacing w:val="0"/>
          <w:sz w:val="32"/>
          <w:szCs w:val="32"/>
        </w:rPr>
        <w:t>依照本规划核算零售点间距、数量时，已持证零售点有下列情形之一的，不作为间距限制、数量调控的有效参照户：</w:t>
      </w:r>
    </w:p>
    <w:p w14:paraId="2D096CEF">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一）烟草专卖零售许可证核定的登记事项（企业或字号名称、负责人或经营者姓名、企业类型或组成形式、经营场所地址）发生变化，或经营场所条件发生变化，经发证机关书面通知后，拒不办理相关手续或拒不整改的；</w:t>
      </w:r>
    </w:p>
    <w:p w14:paraId="4A7AA986">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（二）因拆迁、搬迁等原因，原核定的经营地址，经营场所已实际不存在或无法继续经营的；</w:t>
      </w:r>
    </w:p>
    <w:p w14:paraId="4CB0397E">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（三）停止向当地烟草专卖批发企业订货六个月以上，经发证机关书面通知后，仍未恢复营业且未办理停业手续的。</w:t>
      </w:r>
    </w:p>
    <w:p w14:paraId="394DE70F">
      <w:pPr>
        <w:spacing w:line="315" w:lineRule="atLeast"/>
        <w:ind w:firstLine="645"/>
        <w:jc w:val="both"/>
        <w:rPr>
          <w:rFonts w:ascii="Calibri" w:hAnsi="Calibri" w:eastAsia="Calibri" w:cs="Calibri"/>
          <w:sz w:val="21"/>
          <w:szCs w:val="21"/>
        </w:rPr>
      </w:pPr>
      <w:r>
        <w:rPr>
          <w:rFonts w:ascii="FangSong" w:hAnsi="FangSong" w:eastAsia="FangSong" w:cs="FangSong"/>
          <w:spacing w:val="0"/>
          <w:sz w:val="32"/>
          <w:szCs w:val="32"/>
        </w:rPr>
        <w:t>雪茄烟专营店与非雪茄烟零售点，互不作为零售点间距、数量核算的参照户。</w:t>
      </w:r>
    </w:p>
    <w:p w14:paraId="18E0A10D">
      <w:pPr>
        <w:spacing w:line="555" w:lineRule="atLeast"/>
        <w:jc w:val="center"/>
        <w:rPr>
          <w:rFonts w:ascii="Calibri" w:hAnsi="Calibri" w:eastAsia="Calibri" w:cs="Calibri"/>
          <w:sz w:val="21"/>
          <w:szCs w:val="21"/>
        </w:rPr>
      </w:pPr>
      <w:r>
        <w:rPr>
          <w:rFonts w:ascii="SimHei" w:hAnsi="SimHei" w:eastAsia="SimHei" w:cs="SimHei"/>
          <w:spacing w:val="0"/>
          <w:sz w:val="32"/>
          <w:szCs w:val="32"/>
          <w:shd w:val="clear" w:color="auto" w:fill="FFFFFF"/>
        </w:rPr>
        <w:t>第七章</w:t>
      </w:r>
      <w:r>
        <w:rPr>
          <w:rFonts w:ascii="Calibri" w:hAnsi="Calibri" w:eastAsia="Calibri" w:cs="Calibri"/>
          <w:spacing w:val="0"/>
          <w:sz w:val="32"/>
          <w:szCs w:val="32"/>
          <w:shd w:val="clear" w:color="auto" w:fill="FFFFFF"/>
        </w:rPr>
        <w:t>  </w:t>
      </w:r>
      <w:r>
        <w:rPr>
          <w:rFonts w:ascii="SimHei" w:hAnsi="SimHei" w:eastAsia="SimHei" w:cs="SimHei"/>
          <w:spacing w:val="0"/>
          <w:sz w:val="32"/>
          <w:szCs w:val="32"/>
          <w:shd w:val="clear" w:color="auto" w:fill="FFFFFF"/>
        </w:rPr>
        <w:t>附则</w:t>
      </w:r>
    </w:p>
    <w:p w14:paraId="6E37F213">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第二十一条</w:t>
      </w:r>
      <w:r>
        <w:rPr>
          <w:rFonts w:ascii="Calibri" w:hAnsi="Calibri" w:eastAsia="Calibri" w:cs="Calibri"/>
          <w:spacing w:val="0"/>
          <w:sz w:val="32"/>
          <w:szCs w:val="32"/>
        </w:rPr>
        <w:t> </w:t>
      </w:r>
      <w:r>
        <w:rPr>
          <w:rFonts w:ascii="FangSong" w:hAnsi="FangSong" w:eastAsia="FangSong" w:cs="FangSong"/>
          <w:spacing w:val="0"/>
          <w:sz w:val="32"/>
          <w:szCs w:val="32"/>
        </w:rPr>
        <w:t>本规划所称“间距”，是指申请人经营场所与最近已设烟草制品零售点之间，分别以双方最近一侧出入口的中心点为起讫点，按照道路交通规则允许通行的最短路径测量的距离。具体测量方式按照《罗源县烟草专卖局经营场所实地核查测距标准》执行。</w:t>
      </w:r>
    </w:p>
    <w:p w14:paraId="3F53B253">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第二十二条</w:t>
      </w:r>
      <w:r>
        <w:rPr>
          <w:rFonts w:ascii="Calibri" w:hAnsi="Calibri" w:eastAsia="Calibri" w:cs="Calibri"/>
          <w:spacing w:val="0"/>
          <w:sz w:val="32"/>
          <w:szCs w:val="32"/>
        </w:rPr>
        <w:t>  </w:t>
      </w:r>
      <w:r>
        <w:rPr>
          <w:rFonts w:ascii="FangSong" w:hAnsi="FangSong" w:eastAsia="FangSong" w:cs="FangSong"/>
          <w:spacing w:val="0"/>
          <w:sz w:val="32"/>
          <w:szCs w:val="32"/>
          <w:shd w:val="clear" w:color="auto" w:fill="FFFFFF"/>
        </w:rPr>
        <w:t>本规划中具体业态认定标准按照上级烟草零售客户业态类型划分相关规定进行核定。</w:t>
      </w:r>
    </w:p>
    <w:p w14:paraId="2A9E3302">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第二十三条</w:t>
      </w:r>
      <w:r>
        <w:rPr>
          <w:rFonts w:ascii="Calibri" w:hAnsi="Calibri" w:eastAsia="Calibri" w:cs="Calibri"/>
          <w:spacing w:val="0"/>
          <w:sz w:val="32"/>
          <w:szCs w:val="32"/>
        </w:rPr>
        <w:t> </w:t>
      </w:r>
      <w:r>
        <w:rPr>
          <w:rFonts w:ascii="FangSong" w:hAnsi="FangSong" w:eastAsia="FangSong" w:cs="FangSong"/>
          <w:spacing w:val="0"/>
          <w:sz w:val="32"/>
          <w:szCs w:val="32"/>
          <w:shd w:val="clear" w:color="auto" w:fill="FFFFFF"/>
        </w:rPr>
        <w:t>本规划中经营面积认定依据原则上以房屋权属证明记载为准。实际使用面积明显小于房屋权属证明记载面积的，以发证机关现场勘查测量结果为准。若店内存在隔层，隔层层高达到2米以上且用于上述经营用途的区域计入经营面积，以发证机关现场勘查测量结果为准。与经营场所相独立的仓储、办公等区域不计算在内。</w:t>
      </w:r>
    </w:p>
    <w:p w14:paraId="75B908E4">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第二十四条</w:t>
      </w:r>
      <w:r>
        <w:rPr>
          <w:rFonts w:ascii="Calibri" w:hAnsi="Calibri" w:eastAsia="Calibri" w:cs="Calibri"/>
          <w:spacing w:val="0"/>
          <w:sz w:val="32"/>
          <w:szCs w:val="32"/>
        </w:rPr>
        <w:t> </w:t>
      </w:r>
      <w:r>
        <w:rPr>
          <w:rFonts w:ascii="FangSong" w:hAnsi="FangSong" w:eastAsia="FangSong" w:cs="FangSong"/>
          <w:spacing w:val="0"/>
          <w:sz w:val="32"/>
          <w:szCs w:val="32"/>
          <w:shd w:val="clear" w:color="auto" w:fill="FFFFFF"/>
        </w:rPr>
        <w:t>本规划所称</w:t>
      </w:r>
      <w:r>
        <w:rPr>
          <w:rFonts w:ascii="FangSong" w:hAnsi="FangSong" w:eastAsia="FangSong" w:cs="FangSong"/>
          <w:spacing w:val="0"/>
          <w:sz w:val="32"/>
          <w:szCs w:val="32"/>
        </w:rPr>
        <w:t>“中小学、幼儿园”是指经教育主管部门批准取得办学资质，实施中等、初等、学前教育的校园，包括公立或民办普通中小学、幼儿园、特殊教育学校、中等职业学校以及专门学校。</w:t>
      </w:r>
    </w:p>
    <w:p w14:paraId="14A00074">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rPr>
        <w:t>“中小学、幼儿园周围”，是指以中小学、幼儿园最近一侧出入口的中心点为起点，按照道路交通规则允许通行的最短路径测量，距离在50米以内的区域。</w:t>
      </w:r>
    </w:p>
    <w:p w14:paraId="764D13D0">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第二十五条</w:t>
      </w:r>
      <w:r>
        <w:rPr>
          <w:rFonts w:ascii="Calibri" w:hAnsi="Calibri" w:eastAsia="Calibri" w:cs="Calibri"/>
          <w:spacing w:val="0"/>
          <w:sz w:val="32"/>
          <w:szCs w:val="32"/>
        </w:rPr>
        <w:t>  </w:t>
      </w:r>
      <w:r>
        <w:rPr>
          <w:rFonts w:ascii="FangSong" w:hAnsi="FangSong" w:eastAsia="FangSong" w:cs="FangSong"/>
          <w:spacing w:val="0"/>
          <w:sz w:val="32"/>
          <w:szCs w:val="32"/>
          <w:shd w:val="clear" w:color="auto" w:fill="FFFFFF"/>
        </w:rPr>
        <w:t>县烟草专卖局依职权在书面审查和实地核查时对固定经营场所合法使用情况进行必要核查，包含但不限于核实房屋权属证明、房屋租赁合同等证明材料，如无法通过数据交换等方式提取，申请人有义务配合提供相关资料。</w:t>
      </w:r>
    </w:p>
    <w:p w14:paraId="5D9A4A68">
      <w:pPr>
        <w:spacing w:line="555" w:lineRule="atLeast"/>
        <w:ind w:firstLine="645"/>
        <w:jc w:val="both"/>
        <w:rPr>
          <w:rFonts w:ascii="Calibri" w:hAnsi="Calibri" w:eastAsia="Calibri" w:cs="Calibri"/>
          <w:sz w:val="21"/>
          <w:szCs w:val="21"/>
        </w:rPr>
      </w:pPr>
      <w:r>
        <w:rPr>
          <w:rFonts w:ascii="FangSong" w:hAnsi="FangSong" w:eastAsia="FangSong" w:cs="FangSong"/>
          <w:spacing w:val="0"/>
          <w:sz w:val="32"/>
          <w:szCs w:val="32"/>
          <w:shd w:val="clear" w:color="auto" w:fill="FFFFFF"/>
        </w:rPr>
        <w:t>适用放宽情形申领许可证的，如发证机关无法通过数据共享等形式直接获取相关材料，申请人应当配合发证机关的核查工作。</w:t>
      </w:r>
    </w:p>
    <w:p w14:paraId="76564936">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第二十六条</w:t>
      </w:r>
      <w:r>
        <w:rPr>
          <w:rFonts w:ascii="Calibri" w:hAnsi="Calibri" w:eastAsia="Calibri" w:cs="Calibri"/>
          <w:spacing w:val="0"/>
          <w:sz w:val="32"/>
          <w:szCs w:val="32"/>
        </w:rPr>
        <w:t> </w:t>
      </w:r>
      <w:r>
        <w:rPr>
          <w:rFonts w:ascii="FangSong" w:hAnsi="FangSong" w:eastAsia="FangSong" w:cs="FangSong"/>
          <w:spacing w:val="0"/>
          <w:sz w:val="32"/>
          <w:szCs w:val="32"/>
        </w:rPr>
        <w:t>除特别说明外，本规定所指“以下”、“以上”、“不少于”均包括本数。</w:t>
      </w:r>
    </w:p>
    <w:p w14:paraId="0D978D47">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shd w:val="clear" w:color="auto" w:fill="FFFFFF"/>
        </w:rPr>
        <w:t>第二十七条</w:t>
      </w:r>
      <w:r>
        <w:rPr>
          <w:rFonts w:ascii="Calibri" w:hAnsi="Calibri" w:eastAsia="Calibri" w:cs="Calibri"/>
          <w:spacing w:val="0"/>
          <w:sz w:val="32"/>
          <w:szCs w:val="32"/>
          <w:shd w:val="clear" w:color="auto" w:fill="FFFFFF"/>
        </w:rPr>
        <w:t> </w:t>
      </w:r>
      <w:r>
        <w:rPr>
          <w:rFonts w:ascii="FangSong" w:hAnsi="FangSong" w:eastAsia="FangSong" w:cs="FangSong"/>
          <w:spacing w:val="0"/>
          <w:sz w:val="32"/>
          <w:szCs w:val="32"/>
          <w:shd w:val="clear" w:color="auto" w:fill="FFFFFF"/>
        </w:rPr>
        <w:t>本规划实施过程中，法律、法规、规章或者上级烟草专卖局有新规定的，从其规定。</w:t>
      </w:r>
    </w:p>
    <w:p w14:paraId="767FE0C4">
      <w:pPr>
        <w:spacing w:line="555" w:lineRule="atLeast"/>
        <w:ind w:firstLine="645"/>
        <w:jc w:val="both"/>
        <w:rPr>
          <w:rFonts w:ascii="Calibri" w:hAnsi="Calibri" w:eastAsia="Calibri" w:cs="Calibri"/>
          <w:sz w:val="21"/>
          <w:szCs w:val="21"/>
        </w:rPr>
      </w:pPr>
      <w:r>
        <w:rPr>
          <w:rFonts w:ascii="FangSong" w:hAnsi="FangSong" w:eastAsia="FangSong" w:cs="FangSong"/>
          <w:b/>
          <w:bCs/>
          <w:spacing w:val="0"/>
          <w:sz w:val="32"/>
          <w:szCs w:val="32"/>
        </w:rPr>
        <w:t xml:space="preserve">第二十八条 </w:t>
      </w:r>
      <w:r>
        <w:rPr>
          <w:rFonts w:ascii="FangSong" w:hAnsi="FangSong" w:eastAsia="FangSong" w:cs="FangSong"/>
          <w:spacing w:val="0"/>
          <w:sz w:val="32"/>
          <w:szCs w:val="32"/>
        </w:rPr>
        <w:t>本规划由福建省罗源县烟草专卖局负责解释。</w:t>
      </w:r>
    </w:p>
    <w:p w14:paraId="68C5E6AC">
      <w:pPr>
        <w:ind w:firstLine="643" w:firstLineChars="200"/>
        <w:jc w:val="both"/>
        <w:rPr>
          <w:rFonts w:ascii="Calibri" w:hAnsi="Calibri" w:eastAsia="Calibri" w:cs="Calibri"/>
          <w:sz w:val="21"/>
          <w:szCs w:val="21"/>
        </w:rPr>
      </w:pPr>
      <w:r>
        <w:rPr>
          <w:rFonts w:ascii="FangSong" w:hAnsi="FangSong" w:eastAsia="FangSong" w:cs="FangSong"/>
          <w:b/>
          <w:bCs/>
          <w:spacing w:val="0"/>
          <w:sz w:val="32"/>
          <w:szCs w:val="32"/>
        </w:rPr>
        <w:t>第二十九条</w:t>
      </w:r>
      <w:r>
        <w:rPr>
          <w:rFonts w:ascii="Calibri" w:hAnsi="Calibri" w:eastAsia="Calibri" w:cs="Calibri"/>
          <w:spacing w:val="0"/>
          <w:sz w:val="32"/>
          <w:szCs w:val="32"/>
        </w:rPr>
        <w:t> </w:t>
      </w:r>
      <w:r>
        <w:rPr>
          <w:rFonts w:ascii="FangSong" w:hAnsi="FangSong" w:eastAsia="FangSong" w:cs="FangSong"/>
          <w:spacing w:val="0"/>
          <w:sz w:val="32"/>
          <w:szCs w:val="32"/>
        </w:rPr>
        <w:t>本规划自2026年XX月XX日起施行，</w:t>
      </w:r>
      <w:r>
        <w:rPr>
          <w:rFonts w:ascii="FangSong" w:hAnsi="FangSong" w:eastAsia="FangSong" w:cs="FangSong"/>
          <w:spacing w:val="15"/>
          <w:sz w:val="32"/>
          <w:szCs w:val="32"/>
        </w:rPr>
        <w:t>2025年9月1日颁布的《福建省罗源县烟草专卖局烟草制品零售点合理布局规定》</w:t>
      </w:r>
      <w:r>
        <w:rPr>
          <w:rFonts w:ascii="FangSong" w:hAnsi="FangSong" w:eastAsia="FangSong" w:cs="FangSong"/>
          <w:spacing w:val="0"/>
          <w:sz w:val="32"/>
          <w:szCs w:val="32"/>
        </w:rPr>
        <w:t>同时废止。</w:t>
      </w:r>
    </w:p>
    <w:p w14:paraId="5EADC93F"/>
    <w:sectPr>
      <w:pgSz w:w="12240" w:h="15840"/>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FangSong">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KaiT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AF5FB613"/>
    <w:rsid w:val="BAFF36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data-span-error0"/>
    <w:basedOn w:val="3"/>
    <w:qFormat/>
    <w:uiPriority w:val="0"/>
  </w:style>
  <w:style w:type="character" w:customStyle="1" w:styleId="5">
    <w:name w:val="data-span-bdfh0"/>
    <w:basedOn w:val="3"/>
    <w:qFormat/>
    <w:uiPriority w:val="0"/>
  </w:style>
  <w:style w:type="character" w:customStyle="1" w:styleId="6">
    <w:name w:val="data-span-error1"/>
    <w:basedOn w:val="3"/>
    <w:qFormat/>
    <w:uiPriority w:val="0"/>
  </w:style>
  <w:style w:type="character" w:customStyle="1" w:styleId="7">
    <w:name w:val="errorword correctable dubious data-span-dubious0"/>
    <w:basedOn w:val="3"/>
    <w:qFormat/>
    <w:uiPriority w:val="0"/>
  </w:style>
  <w:style w:type="character" w:customStyle="1" w:styleId="8">
    <w:name w:val="word"/>
    <w:basedOn w:val="3"/>
    <w:qFormat/>
    <w:uiPriority w:val="0"/>
  </w:style>
  <w:style w:type="character" w:customStyle="1" w:styleId="9">
    <w:name w:val="errorword correctable dubious data-span-dubious1"/>
    <w:basedOn w:val="3"/>
    <w:qFormat/>
    <w:uiPriority w:val="0"/>
  </w:style>
  <w:style w:type="character" w:customStyle="1" w:styleId="10">
    <w:name w:val="errorword correctable dubious data-span-dubious2"/>
    <w:basedOn w:val="3"/>
    <w:qFormat/>
    <w:uiPriority w:val="0"/>
  </w:style>
  <w:style w:type="character" w:customStyle="1" w:styleId="11">
    <w:name w:val="data-span-error2"/>
    <w:basedOn w:val="3"/>
    <w:qFormat/>
    <w:uiPriority w:val="0"/>
  </w:style>
  <w:style w:type="character" w:customStyle="1" w:styleId="12">
    <w:name w:val="data-span-error3"/>
    <w:basedOn w:val="3"/>
    <w:qFormat/>
    <w:uiPriority w:val="0"/>
  </w:style>
  <w:style w:type="character" w:customStyle="1" w:styleId="13">
    <w:name w:val="data-span-bdfh1"/>
    <w:basedOn w:val="3"/>
    <w:qFormat/>
    <w:uiPriority w:val="0"/>
  </w:style>
  <w:style w:type="character" w:customStyle="1" w:styleId="14">
    <w:name w:val="errorword correctable dubious data-span-dubious3"/>
    <w:basedOn w:val="3"/>
    <w:qFormat/>
    <w:uiPriority w:val="0"/>
  </w:style>
  <w:style w:type="character" w:customStyle="1" w:styleId="15">
    <w:name w:val="data-span-bdfh2"/>
    <w:basedOn w:val="3"/>
    <w:qFormat/>
    <w:uiPriority w:val="0"/>
  </w:style>
  <w:style w:type="character" w:customStyle="1" w:styleId="16">
    <w:name w:val="data-span-error4"/>
    <w:basedOn w:val="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13</Pages>
  <Words>0</Words>
  <Characters>0</Characters>
  <Lines>1</Lines>
  <Paragraphs>1</Paragraphs>
  <TotalTime>0</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2026-08-19T17:46:00Z</dcterms:created>
  <dc:creator>user</dc:creator>
  <cp:lastModifiedBy>user</cp:lastModifiedBy>
  <dcterms:modified xsi:type="dcterms:W3CDTF">2026-08-19T10:38:24Z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A3FE09CE653739EE350B856A8D210360_42</vt:lpwstr>
  </property>
</Properties>
</file>