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widowControl/>
        <w:jc w:val="center"/>
        <w:rPr>
          <w:sz w:val="32"/>
          <w:szCs w:val="32"/>
          <w:highlight w:val="none"/>
        </w:rPr>
      </w:pPr>
    </w:p>
    <w:p>
      <w:pPr>
        <w:widowControl/>
        <w:jc w:val="both"/>
        <w:rPr>
          <w:sz w:val="84"/>
          <w:szCs w:val="84"/>
          <w:highlight w:val="none"/>
        </w:rPr>
      </w:pPr>
    </w:p>
    <w:p>
      <w:pPr>
        <w:widowControl/>
        <w:jc w:val="center"/>
        <w:rPr>
          <w:rFonts w:hint="eastAsia" w:ascii="黑体" w:hAnsi="黑体" w:eastAsia="黑体" w:cs="黑体"/>
          <w:b w:val="0"/>
          <w:bCs w:val="0"/>
          <w:sz w:val="84"/>
          <w:szCs w:val="84"/>
          <w:highlight w:val="none"/>
        </w:rPr>
      </w:pPr>
      <w:r>
        <w:rPr>
          <w:rFonts w:hint="eastAsia" w:ascii="黑体" w:hAnsi="黑体" w:eastAsia="黑体" w:cs="黑体"/>
          <w:b w:val="0"/>
          <w:bCs w:val="0"/>
          <w:sz w:val="84"/>
          <w:szCs w:val="84"/>
          <w:highlight w:val="none"/>
          <w:lang w:val="en-US" w:eastAsia="zh-CN"/>
        </w:rPr>
        <w:t>2024</w:t>
      </w:r>
      <w:r>
        <w:rPr>
          <w:rFonts w:hint="eastAsia" w:ascii="黑体" w:hAnsi="黑体" w:eastAsia="黑体" w:cs="黑体"/>
          <w:b w:val="0"/>
          <w:bCs w:val="0"/>
          <w:sz w:val="84"/>
          <w:szCs w:val="84"/>
          <w:highlight w:val="none"/>
        </w:rPr>
        <w:t>年度</w:t>
      </w:r>
      <w:bookmarkStart w:id="157" w:name="_GoBack"/>
      <w:bookmarkEnd w:id="157"/>
    </w:p>
    <w:p>
      <w:pPr>
        <w:widowControl/>
        <w:jc w:val="center"/>
        <w:rPr>
          <w:rFonts w:hint="eastAsia" w:ascii="黑体" w:hAnsi="黑体" w:eastAsia="黑体" w:cs="黑体"/>
          <w:b w:val="0"/>
          <w:bCs w:val="0"/>
          <w:sz w:val="84"/>
          <w:szCs w:val="84"/>
          <w:highlight w:val="none"/>
        </w:rPr>
      </w:pPr>
      <w:r>
        <w:rPr>
          <w:rFonts w:hint="eastAsia" w:ascii="黑体" w:hAnsi="黑体" w:eastAsia="黑体" w:cs="黑体"/>
          <w:b w:val="0"/>
          <w:bCs w:val="0"/>
          <w:sz w:val="84"/>
          <w:szCs w:val="84"/>
          <w:highlight w:val="none"/>
        </w:rPr>
        <w:t>罗源县牛坑中学</w:t>
      </w:r>
    </w:p>
    <w:p>
      <w:pPr>
        <w:widowControl/>
        <w:jc w:val="center"/>
        <w:rPr>
          <w:rFonts w:hint="eastAsia" w:ascii="黑体" w:hAnsi="黑体" w:eastAsia="黑体" w:cs="黑体"/>
          <w:b w:val="0"/>
          <w:bCs w:val="0"/>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黑体" w:hAnsi="黑体" w:eastAsia="黑体" w:cs="黑体"/>
          <w:b w:val="0"/>
          <w:bCs w:val="0"/>
          <w:sz w:val="84"/>
          <w:szCs w:val="84"/>
          <w:highlight w:val="none"/>
          <w:lang w:val="en-US" w:eastAsia="zh-CN"/>
        </w:rPr>
        <w:t>单位</w:t>
      </w:r>
      <w:r>
        <w:rPr>
          <w:rFonts w:hint="eastAsia" w:ascii="黑体" w:hAnsi="黑体" w:eastAsia="黑体" w:cs="黑体"/>
          <w:b w:val="0"/>
          <w:bCs w:val="0"/>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"_Toc256000130"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_Toc256000130 \h </w:instrText>
          </w:r>
          <w:r>
            <w:fldChar w:fldCharType="separate"/>
          </w:r>
          <w:r>
            <w:t>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一、单位主要职责</w:t>
          </w:r>
          <w:r>
            <w:tab/>
          </w:r>
          <w:r>
            <w:fldChar w:fldCharType="begin"/>
          </w:r>
          <w:r>
            <w:instrText xml:space="preserve"> PAGEREF _Toc256000131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二、单位基本情况</w:t>
          </w:r>
          <w:r>
            <w:tab/>
          </w:r>
          <w:r>
            <w:fldChar w:fldCharType="begin"/>
          </w:r>
          <w:r>
            <w:instrText xml:space="preserve"> PAGEREF _Toc256000132 \h </w:instrText>
          </w:r>
          <w:r>
            <w:fldChar w:fldCharType="separate"/>
          </w:r>
          <w:r>
            <w:t>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三、单位主要工作总结</w:t>
          </w:r>
          <w:r>
            <w:tab/>
          </w:r>
          <w:r>
            <w:fldChar w:fldCharType="begin"/>
          </w:r>
          <w:r>
            <w:instrText xml:space="preserve"> PAGEREF _Toc256000133 \h </w:instrText>
          </w:r>
          <w:r>
            <w:fldChar w:fldCharType="separate"/>
          </w:r>
          <w:r>
            <w:t>2</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_Toc256000134 \h </w:instrText>
          </w:r>
          <w:r>
            <w:fldChar w:fldCharType="separate"/>
          </w:r>
          <w:r>
            <w:t>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一、收入支出决算总表</w:t>
          </w:r>
          <w:r>
            <w:tab/>
          </w:r>
          <w:r>
            <w:fldChar w:fldCharType="begin"/>
          </w:r>
          <w:r>
            <w:instrText xml:space="preserve"> PAGEREF _Toc256000135 \h </w:instrText>
          </w:r>
          <w:r>
            <w:fldChar w:fldCharType="separate"/>
          </w:r>
          <w:r>
            <w:t>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二、收入决算表</w:t>
          </w:r>
          <w:r>
            <w:tab/>
          </w:r>
          <w:r>
            <w:fldChar w:fldCharType="begin"/>
          </w:r>
          <w:r>
            <w:instrText xml:space="preserve"> PAGEREF _Toc256000136 \h </w:instrText>
          </w:r>
          <w:r>
            <w:fldChar w:fldCharType="separate"/>
          </w:r>
          <w:r>
            <w:t>7</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三、支出决算表</w:t>
          </w:r>
          <w:r>
            <w:tab/>
          </w:r>
          <w:r>
            <w:fldChar w:fldCharType="begin"/>
          </w:r>
          <w:r>
            <w:instrText xml:space="preserve"> PAGEREF _Toc256000137 \h </w:instrText>
          </w:r>
          <w:r>
            <w:fldChar w:fldCharType="separate"/>
          </w:r>
          <w:r>
            <w:t>9</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_Toc256000138 \h </w:instrText>
          </w:r>
          <w:r>
            <w:fldChar w:fldCharType="separate"/>
          </w:r>
          <w:r>
            <w:t>11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_Toc256000139 \h </w:instrText>
          </w:r>
          <w:r>
            <w:fldChar w:fldCharType="separate"/>
          </w:r>
          <w:r>
            <w:t>14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_Toc256000140 \h </w:instrText>
          </w:r>
          <w:r>
            <w:fldChar w:fldCharType="separate"/>
          </w:r>
          <w:r>
            <w:t>15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_Toc256000141 \h </w:instrText>
          </w:r>
          <w:r>
            <w:fldChar w:fldCharType="separate"/>
          </w:r>
          <w:r>
            <w:t>18</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_Toc256000142 \h </w:instrText>
          </w:r>
          <w:r>
            <w:fldChar w:fldCharType="separate"/>
          </w:r>
          <w:r>
            <w:t>19</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九、国有资本经营预算财政拨款支出决算表</w:t>
          </w:r>
          <w:r>
            <w:tab/>
          </w:r>
          <w:r>
            <w:fldChar w:fldCharType="begin"/>
          </w:r>
          <w:r>
            <w:instrText xml:space="preserve"> PAGEREF _Toc256000143 \h </w:instrText>
          </w:r>
          <w:r>
            <w:fldChar w:fldCharType="separate"/>
          </w:r>
          <w:r>
            <w:t>20</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_Toc256000144 \h </w:instrText>
          </w:r>
          <w:r>
            <w:fldChar w:fldCharType="separate"/>
          </w:r>
          <w:r>
            <w:t>21</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_Toc256000145 \h </w:instrText>
          </w:r>
          <w:r>
            <w:fldChar w:fldCharType="separate"/>
          </w:r>
          <w:r>
            <w:t>22</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_Toc256000146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_Toc256000147 \h </w:instrText>
          </w:r>
          <w:r>
            <w:fldChar w:fldCharType="separate"/>
          </w:r>
          <w:r>
            <w:t>23</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_Toc256000148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_Toc256000149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"_Toc256000150"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_Toc256000150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"_Toc256000151" </w:instrText>
          </w:r>
          <w:r>
            <w:fldChar w:fldCharType="separate"/>
          </w:r>
          <w:r>
            <w:rPr>
              <w:rStyle w:val="22"/>
              <w:rFonts w:ascii="仿宋" w:hAnsi="仿宋" w:eastAsia="仿宋" w:cs="仿宋"/>
            </w:rPr>
            <w:t>七、一般公共预算财政拨款“三公”经费支出决算情况说明</w:t>
          </w:r>
          <w:r>
            <w:tab/>
          </w:r>
          <w:r>
            <w:fldChar w:fldCharType="begin"/>
          </w:r>
          <w:r>
            <w:instrText xml:space="preserve"> PAGEREF _Toc256000151 \h </w:instrText>
          </w:r>
          <w:r>
            <w:fldChar w:fldCharType="separate"/>
          </w:r>
          <w:r>
            <w:t>24</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"_Toc256000152" </w:instrText>
          </w:r>
          <w:r>
            <w:fldChar w:fldCharType="separate"/>
          </w:r>
          <w:r>
            <w:rPr>
              <w:rStyle w:val="22"/>
              <w:rFonts w:ascii="仿宋" w:hAnsi="仿宋" w:eastAsia="仿宋" w:cs="仿宋"/>
            </w:rPr>
            <w:t>八、预算绩效情况说明</w:t>
          </w:r>
          <w:r>
            <w:tab/>
          </w:r>
          <w:r>
            <w:fldChar w:fldCharType="begin"/>
          </w:r>
          <w:r>
            <w:instrText xml:space="preserve"> PAGEREF _Toc256000152 \h </w:instrText>
          </w:r>
          <w:r>
            <w:fldChar w:fldCharType="separate"/>
          </w:r>
          <w:r>
            <w:t>25</w:t>
          </w:r>
          <w:r>
            <w:fldChar w:fldCharType="end"/>
          </w:r>
          <w:r>
            <w:fldChar w:fldCharType="end"/>
          </w:r>
        </w:p>
        <w:p>
          <w:pPr>
            <w:pStyle w:val="10"/>
            <w:tabs>
              <w:tab w:val="right" w:leader="dot" w:pos="9730"/>
            </w:tabs>
            <w:rPr>
              <w:rFonts w:asciiTheme="minorHAnsi" w:hAnsiTheme="minorHAnsi"/>
              <w:sz w:val="22"/>
            </w:rPr>
          </w:pPr>
          <w:r>
            <w:fldChar w:fldCharType="begin"/>
          </w:r>
          <w:r>
            <w:instrText xml:space="preserve"> HYPERLINK \l "_Toc256000153" </w:instrText>
          </w:r>
          <w:r>
            <w:fldChar w:fldCharType="separate"/>
          </w:r>
          <w:r>
            <w:rPr>
              <w:rStyle w:val="22"/>
              <w:rFonts w:ascii="仿宋" w:hAnsi="仿宋" w:eastAsia="仿宋" w:cs="仿宋"/>
            </w:rPr>
            <w:t>九、其他重要事项说明</w:t>
          </w:r>
          <w:r>
            <w:tab/>
          </w:r>
          <w:r>
            <w:fldChar w:fldCharType="begin"/>
          </w:r>
          <w:r>
            <w:instrText xml:space="preserve"> PAGEREF _Toc256000153 \h </w:instrText>
          </w:r>
          <w:r>
            <w:fldChar w:fldCharType="separate"/>
          </w:r>
          <w:r>
            <w:t>25</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"_Toc256000154"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_Toc256000154 \h </w:instrText>
          </w:r>
          <w:r>
            <w:fldChar w:fldCharType="separate"/>
          </w:r>
          <w:r>
            <w:t>27</w:t>
          </w:r>
          <w:r>
            <w:fldChar w:fldCharType="end"/>
          </w:r>
          <w:r>
            <w:fldChar w:fldCharType="end"/>
          </w:r>
        </w:p>
        <w:p>
          <w:pPr>
            <w:pStyle w:val="17"/>
            <w:tabs>
              <w:tab w:val="right" w:leader="dot" w:pos="9730"/>
            </w:tabs>
            <w:rPr>
              <w:rFonts w:asciiTheme="minorHAnsi" w:hAnsiTheme="minorHAnsi"/>
              <w:sz w:val="22"/>
            </w:rPr>
          </w:pPr>
          <w:r>
            <w:fldChar w:fldCharType="begin"/>
          </w:r>
          <w:r>
            <w:instrText xml:space="preserve"> HYPERLINK \l "_Toc256000155"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_Toc256000155 \h </w:instrText>
          </w:r>
          <w:r>
            <w:fldChar w:fldCharType="separate"/>
          </w:r>
          <w:r>
            <w:t>30</w:t>
          </w:r>
          <w:r>
            <w:fldChar w:fldCharType="end"/>
          </w:r>
          <w:r>
            <w:fldChar w:fldCharType="end"/>
          </w:r>
        </w:p>
        <w:p>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pPr>
        <w:pStyle w:val="28"/>
        <w:widowControl/>
        <w:spacing w:before="100" w:after="270"/>
        <w:ind w:left="0" w:right="0" w:firstLine="640"/>
        <w:jc w:val="center"/>
        <w:rPr>
          <w:rFonts w:ascii="Times New Roman" w:hAnsi="Times New Roman" w:eastAsia="Times New Roman" w:cs="Times New Roman"/>
          <w:kern w:val="0"/>
          <w:sz w:val="24"/>
        </w:rPr>
      </w:pPr>
      <w:bookmarkStart w:id="0" w:name="a000"/>
    </w:p>
    <w:p>
      <w:pPr>
        <w:pStyle w:val="28"/>
        <w:widowControl/>
        <w:spacing w:before="100" w:after="100"/>
        <w:ind w:left="100" w:right="100" w:firstLine="640"/>
        <w:jc w:val="center"/>
        <w:rPr>
          <w:rFonts w:ascii="Times New Roman" w:hAnsi="Times New Roman" w:eastAsia="Times New Roman" w:cs="Times New Roman"/>
          <w:kern w:val="0"/>
          <w:sz w:val="24"/>
        </w:rPr>
      </w:pPr>
      <w:r>
        <w:rPr>
          <w:rFonts w:ascii="Calibri" w:hAnsi="Calibri" w:eastAsia="Calibri" w:cs="Calibri"/>
          <w:spacing w:val="0"/>
          <w:kern w:val="0"/>
          <w:sz w:val="84"/>
          <w:szCs w:val="84"/>
        </w:rPr>
        <w:t> </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104"/>
      <w:bookmarkStart w:id="2" w:name="_Toc256000130"/>
      <w:bookmarkStart w:id="3" w:name="_Toc256000000"/>
      <w:bookmarkStart w:id="4" w:name="_Toc256000026"/>
      <w:bookmarkStart w:id="5" w:name="_Toc256000078"/>
      <w:bookmarkStart w:id="6" w:name="_Toc256000052"/>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pPr>
        <w:sectPr>
          <w:footerReference r:id="rId5" w:type="default"/>
          <w:pgSz w:w="11906" w:h="16838"/>
          <w:pgMar w:top="1440" w:right="720" w:bottom="1440" w:left="720" w:header="720" w:footer="720" w:gutter="0"/>
          <w:pgNumType w:start="1"/>
          <w:cols w:space="720" w:num="1"/>
        </w:sectPr>
      </w:pP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27"/>
      <w:bookmarkStart w:id="8" w:name="_Toc256000053"/>
      <w:bookmarkStart w:id="9" w:name="_Toc256000001"/>
      <w:bookmarkStart w:id="10" w:name="_Toc256000105"/>
      <w:bookmarkStart w:id="11" w:name="_Toc256000079"/>
      <w:bookmarkStart w:id="12" w:name="_Toc256000131"/>
      <w:r>
        <w:rPr>
          <w:rFonts w:ascii="黑体" w:hAnsi="黑体" w:eastAsia="黑体" w:cs="黑体"/>
          <w:b w:val="0"/>
          <w:bCs w:val="0"/>
          <w:spacing w:val="0"/>
        </w:rPr>
        <w:t>一、单位主要职责</w:t>
      </w:r>
      <w:bookmarkEnd w:id="7"/>
      <w:bookmarkEnd w:id="8"/>
      <w:bookmarkEnd w:id="9"/>
      <w:bookmarkEnd w:id="10"/>
      <w:bookmarkEnd w:id="11"/>
      <w:bookmarkEnd w:id="1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罗源县牛坑中学单位的主要职责是：实施初中义务教育，促进基础教育发展，开展教育教学、科学研究活动，保证教育教学质量。维护教职工利益，保障教职工合法权益，以教职工和学生的人生幸福和生命质量作为重点。</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06"/>
      <w:bookmarkStart w:id="14" w:name="_Toc256000132"/>
      <w:bookmarkStart w:id="15" w:name="_Toc256000054"/>
      <w:bookmarkStart w:id="16" w:name="_Toc256000080"/>
      <w:bookmarkStart w:id="17" w:name="_Toc256000028"/>
      <w:bookmarkStart w:id="18" w:name="_Toc256000002"/>
      <w:r>
        <w:rPr>
          <w:rFonts w:ascii="黑体" w:hAnsi="黑体" w:eastAsia="黑体" w:cs="黑体"/>
          <w:b w:val="0"/>
          <w:bCs w:val="0"/>
          <w:spacing w:val="0"/>
        </w:rPr>
        <w:t>二、单位基本情况</w:t>
      </w:r>
      <w:bookmarkEnd w:id="13"/>
      <w:bookmarkEnd w:id="14"/>
      <w:bookmarkEnd w:id="15"/>
      <w:bookmarkEnd w:id="16"/>
      <w:bookmarkEnd w:id="17"/>
      <w:bookmarkEnd w:id="18"/>
    </w:p>
    <w:p>
      <w:pPr>
        <w:pStyle w:val="28"/>
        <w:widowControl/>
        <w:spacing w:before="100" w:after="100" w:line="560" w:lineRule="atLeast"/>
        <w:ind w:left="100" w:right="100" w:firstLine="640"/>
        <w:jc w:val="left"/>
        <w:rPr>
          <w:rFonts w:hint="eastAsia" w:ascii="Times New Roman" w:hAnsi="Times New Roman" w:eastAsia="仿宋_GB2312" w:cs="Times New Roman"/>
          <w:kern w:val="0"/>
          <w:sz w:val="24"/>
          <w:lang w:eastAsia="zh-CN"/>
        </w:rPr>
      </w:pPr>
      <w:r>
        <w:rPr>
          <w:rFonts w:ascii="仿宋_GB2312" w:hAnsi="仿宋_GB2312" w:eastAsia="仿宋_GB2312" w:cs="仿宋_GB2312"/>
          <w:spacing w:val="0"/>
          <w:kern w:val="0"/>
          <w:sz w:val="32"/>
          <w:szCs w:val="32"/>
        </w:rPr>
        <w:t>从决算单位构成看，本单位包括1个内设机构，其中：列入2024年决算编制范围的单位详细情况见下表</w:t>
      </w:r>
      <w:r>
        <w:rPr>
          <w:rFonts w:hint="eastAsia" w:ascii="仿宋_GB2312" w:hAnsi="仿宋_GB2312" w:eastAsia="仿宋_GB2312" w:cs="仿宋_GB2312"/>
          <w:spacing w:val="0"/>
          <w:kern w:val="0"/>
          <w:sz w:val="32"/>
          <w:szCs w:val="32"/>
          <w:lang w:eastAsia="zh-CN"/>
        </w:rPr>
        <w:t>：</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罗源县牛坑中学</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公益一类事业单位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15</w:t>
            </w:r>
          </w:p>
        </w:tc>
      </w:tr>
    </w:tbl>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03"/>
      <w:bookmarkStart w:id="20" w:name="_Toc256000029"/>
      <w:bookmarkStart w:id="21" w:name="_Toc256000055"/>
      <w:bookmarkStart w:id="22" w:name="_Toc256000081"/>
      <w:bookmarkStart w:id="23" w:name="_Toc256000133"/>
      <w:bookmarkStart w:id="24" w:name="_Toc256000107"/>
      <w:r>
        <w:rPr>
          <w:rFonts w:ascii="黑体" w:hAnsi="黑体" w:eastAsia="黑体" w:cs="黑体"/>
          <w:b w:val="0"/>
          <w:bCs w:val="0"/>
          <w:spacing w:val="0"/>
        </w:rPr>
        <w:t>三、单位主要工作总结</w:t>
      </w:r>
      <w:bookmarkEnd w:id="19"/>
      <w:bookmarkEnd w:id="20"/>
      <w:bookmarkEnd w:id="21"/>
      <w:bookmarkEnd w:id="22"/>
      <w:bookmarkEnd w:id="23"/>
      <w:bookmarkEnd w:id="2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罗源县牛坑中学单位主要任务是：以习近平新时代中国特色社会主义思想为指导，贯彻落实《中小学教育指导纲要》精神，全面执行党的教育方针，全面推进素质教育，全面抓实各项管理，凝心聚力，改革创新，积极推进学校事业高品质发展。围绕上述任务，重点完成了以下工作：</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（一）全面贯彻落实省、市、县教育会议要求，以“努力办好人民满意的教育”为目标，结合本校实际，强力推进义务教育均衡发展工作，加强学校内部管理，提升教育教学质量，建设一支勤奋上进的教师队伍。</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二）以学校党支部为核心，按照教育局党委要求，加强教职工思想教育学习；认真组织全校教职工深入学习全国、省、市和县教育工作会议和相关文件精神，树立正确的世界观、人生观、价值观、发展观、教育观、进一步增强教书育人的责任感和使命感。</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三）抓好学校的教学常规管理，落实《教学常规管理细则》《学校内部管理方案》《班主任工作手册》《教师工作手册》和《教研组长管理手册》等，并做好督促检查，将教科研工作做细做实，逐步提升学校的教育教学质量。充分调动学生的积极性和主动性，提高课堂效率。落实随堂听课制度，加强作业的布置与批改和备课力度。</w:t>
      </w:r>
    </w:p>
    <w:p>
      <w:pPr>
        <w:sectPr>
          <w:footerReference r:id="rId6"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29"/>
        <w:widowControl/>
        <w:spacing w:before="100" w:after="100"/>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108"/>
      <w:bookmarkStart w:id="26" w:name="_Toc256000004"/>
      <w:bookmarkStart w:id="27" w:name="_Toc256000030"/>
      <w:bookmarkStart w:id="28" w:name="_Toc256000056"/>
      <w:bookmarkStart w:id="29" w:name="_Toc256000134"/>
      <w:bookmarkStart w:id="30" w:name="_Toc256000082"/>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pPr>
        <w:sectPr>
          <w:footerReference r:id="rId7" w:type="default"/>
          <w:pgSz w:w="11906" w:h="16838"/>
          <w:pgMar w:top="1440" w:right="720" w:bottom="1440" w:left="720" w:header="720" w:footer="720" w:gutter="0"/>
          <w:cols w:space="720" w:num="1"/>
        </w:sectPr>
      </w:pP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31" w:name="_Toc256000057"/>
      <w:bookmarkStart w:id="32" w:name="_Toc256000031"/>
      <w:bookmarkStart w:id="33" w:name="_Toc256000005"/>
      <w:bookmarkStart w:id="34" w:name="_Toc256000109"/>
      <w:bookmarkStart w:id="35" w:name="_Toc256000135"/>
      <w:bookmarkStart w:id="36" w:name="_Toc256000083"/>
      <w:r>
        <w:rPr>
          <w:rFonts w:ascii="黑体" w:hAnsi="黑体" w:eastAsia="黑体" w:cs="黑体"/>
          <w:b w:val="0"/>
          <w:bCs w:val="0"/>
          <w:spacing w:val="0"/>
        </w:rPr>
        <w:t>一、收入支出决算总表</w:t>
      </w:r>
      <w:bookmarkEnd w:id="31"/>
      <w:bookmarkEnd w:id="32"/>
      <w:bookmarkEnd w:id="33"/>
      <w:bookmarkEnd w:id="34"/>
      <w:bookmarkEnd w:id="35"/>
      <w:bookmarkEnd w:id="36"/>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hint="eastAsia" w:ascii="Times New Roman" w:hAnsi="Times New Roman" w:eastAsia="宋体" w:cs="Times New Roman"/>
                <w:b w:val="0"/>
                <w:bCs w:val="0"/>
                <w:i w:val="0"/>
                <w:iCs w:val="0"/>
                <w:smallCaps w:val="0"/>
                <w:color w:val="000000"/>
                <w:kern w:val="0"/>
                <w:sz w:val="26"/>
                <w:szCs w:val="26"/>
                <w:lang w:eastAsia="zh-CN"/>
              </w:rPr>
            </w:pPr>
            <w:r>
              <w:rPr>
                <w:rFonts w:ascii="宋体" w:hAnsi="宋体" w:eastAsia="宋体" w:cs="宋体"/>
                <w:b w:val="0"/>
                <w:bCs w:val="0"/>
                <w:i w:val="0"/>
                <w:iCs w:val="0"/>
                <w:smallCaps w:val="0"/>
                <w:color w:val="000000"/>
                <w:kern w:val="0"/>
                <w:sz w:val="21"/>
                <w:szCs w:val="26"/>
              </w:rPr>
              <w:t>项目</w:t>
            </w:r>
            <w:r>
              <w:rPr>
                <w:rFonts w:hint="eastAsia" w:ascii="宋体" w:hAnsi="宋体" w:cs="宋体"/>
                <w:b w:val="0"/>
                <w:bCs w:val="0"/>
                <w:i w:val="0"/>
                <w:iCs w:val="0"/>
                <w:smallCaps w:val="0"/>
                <w:color w:val="000000"/>
                <w:kern w:val="0"/>
                <w:sz w:val="21"/>
                <w:szCs w:val="26"/>
                <w:lang w:eastAsia="zh-CN"/>
              </w:rPr>
              <w:t>（</w:t>
            </w:r>
            <w:r>
              <w:rPr>
                <w:rFonts w:ascii="宋体" w:hAnsi="宋体" w:eastAsia="宋体" w:cs="宋体"/>
                <w:b w:val="0"/>
                <w:bCs w:val="0"/>
                <w:i w:val="0"/>
                <w:iCs w:val="0"/>
                <w:smallCaps w:val="0"/>
                <w:color w:val="000000"/>
                <w:kern w:val="0"/>
                <w:sz w:val="21"/>
                <w:szCs w:val="26"/>
              </w:rPr>
              <w:t>按支出功能分类</w:t>
            </w:r>
            <w:r>
              <w:rPr>
                <w:rFonts w:hint="eastAsia" w:ascii="宋体" w:hAnsi="宋体" w:cs="宋体"/>
                <w:b w:val="0"/>
                <w:bCs w:val="0"/>
                <w:i w:val="0"/>
                <w:iCs w:val="0"/>
                <w:smallCaps w:val="0"/>
                <w:color w:val="000000"/>
                <w:kern w:val="0"/>
                <w:sz w:val="21"/>
                <w:szCs w:val="26"/>
                <w:lang w:eastAsia="zh-CN"/>
              </w:rPr>
              <w:t>）</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311.35</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50.61</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32.62</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407.59</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pPr>
        <w:sectPr>
          <w:footerReference r:id="rId8"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37" w:name="_Toc256000084"/>
      <w:bookmarkStart w:id="38" w:name="_Toc256000110"/>
      <w:bookmarkStart w:id="39" w:name="_Toc256000006"/>
      <w:bookmarkStart w:id="40" w:name="_Toc256000032"/>
      <w:bookmarkStart w:id="41" w:name="_Toc256000058"/>
      <w:bookmarkStart w:id="42" w:name="_Toc256000136"/>
      <w:r>
        <w:rPr>
          <w:rFonts w:ascii="黑体" w:hAnsi="黑体" w:eastAsia="黑体" w:cs="黑体"/>
          <w:b w:val="0"/>
          <w:bCs w:val="0"/>
          <w:spacing w:val="0"/>
        </w:rPr>
        <w:t>二、收入决算表</w:t>
      </w:r>
      <w:bookmarkEnd w:id="37"/>
      <w:bookmarkEnd w:id="38"/>
      <w:bookmarkEnd w:id="39"/>
      <w:bookmarkEnd w:id="40"/>
      <w:bookmarkEnd w:id="41"/>
      <w:bookmarkEnd w:id="42"/>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tblPrEx>
          <w:tblCellMar>
            <w:top w:w="0" w:type="dxa"/>
            <w:left w:w="108" w:type="dxa"/>
            <w:bottom w:w="0" w:type="dxa"/>
            <w:right w:w="108" w:type="dxa"/>
          </w:tblCellMar>
        </w:tblPrEx>
        <w:trPr>
          <w:cantSplit/>
          <w:tblHeader/>
        </w:trPr>
        <w:tc>
          <w:tcPr>
            <w:tcW w:w="15159" w:type="dxa"/>
            <w:gridSpan w:val="11"/>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tblPrEx>
          <w:tblCellMar>
            <w:top w:w="0" w:type="dxa"/>
            <w:left w:w="108" w:type="dxa"/>
            <w:bottom w:w="0" w:type="dxa"/>
            <w:right w:w="108" w:type="dxa"/>
          </w:tblCellMar>
        </w:tblPrEx>
        <w:trPr>
          <w:cantSplit/>
          <w:tblHeader/>
        </w:trPr>
        <w:tc>
          <w:tcPr>
            <w:tcW w:w="1156"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9"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tblPrEx>
          <w:tblCellMar>
            <w:top w:w="0" w:type="dxa"/>
            <w:left w:w="108" w:type="dxa"/>
            <w:bottom w:w="0" w:type="dxa"/>
            <w:right w:w="108" w:type="dxa"/>
          </w:tblCellMar>
        </w:tblPrEx>
        <w:trPr>
          <w:cantSplit/>
          <w:tblHeader/>
        </w:trPr>
        <w:tc>
          <w:tcPr>
            <w:tcW w:w="8447"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678"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3413"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1678"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tblPrEx>
          <w:tblCellMar>
            <w:top w:w="0" w:type="dxa"/>
            <w:left w:w="108" w:type="dxa"/>
            <w:bottom w:w="0" w:type="dxa"/>
            <w:right w:w="108" w:type="dxa"/>
          </w:tblCellMar>
        </w:tblPrEx>
        <w:trPr>
          <w:cantSplit/>
          <w:tblHeader/>
        </w:trPr>
        <w:tc>
          <w:tcPr>
            <w:tcW w:w="1734"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679"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1734"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9"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678"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2050203</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初中教育</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2050299</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其他普通教育支出</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34"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67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678"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5159" w:type="dxa"/>
            <w:gridSpan w:val="11"/>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pPr>
        <w:sectPr>
          <w:footerReference r:id="rId9" w:type="default"/>
          <w:pgSz w:w="16383" w:h="11906" w:orient="landscape"/>
          <w:pgMar w:top="1134" w:right="720" w:bottom="1134" w:left="720" w:header="720" w:footer="720" w:gutter="0"/>
          <w:cols w:space="720" w:num="1"/>
        </w:sectPr>
      </w:pP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43" w:name="_Toc256000111"/>
      <w:bookmarkStart w:id="44" w:name="_Toc256000059"/>
      <w:bookmarkStart w:id="45" w:name="_Toc256000085"/>
      <w:bookmarkStart w:id="46" w:name="_Toc256000137"/>
      <w:bookmarkStart w:id="47" w:name="_Toc256000033"/>
      <w:bookmarkStart w:id="48" w:name="_Toc256000007"/>
      <w:r>
        <w:rPr>
          <w:rFonts w:ascii="黑体" w:hAnsi="黑体" w:eastAsia="黑体" w:cs="黑体"/>
          <w:b w:val="0"/>
          <w:bCs w:val="0"/>
          <w:spacing w:val="0"/>
        </w:rPr>
        <w:t>三、支出决算表</w:t>
      </w:r>
      <w:bookmarkEnd w:id="43"/>
      <w:bookmarkEnd w:id="44"/>
      <w:bookmarkEnd w:id="45"/>
      <w:bookmarkEnd w:id="46"/>
      <w:bookmarkEnd w:id="47"/>
      <w:bookmarkEnd w:id="48"/>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5159"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tblPrEx>
          <w:tblCellMar>
            <w:top w:w="0" w:type="dxa"/>
            <w:left w:w="108" w:type="dxa"/>
            <w:bottom w:w="0" w:type="dxa"/>
            <w:right w:w="108" w:type="dxa"/>
          </w:tblCellMar>
        </w:tblPrEx>
        <w:trPr>
          <w:cantSplit/>
          <w:tblHeader/>
        </w:trPr>
        <w:tc>
          <w:tcPr>
            <w:tcW w:w="3783"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1896"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tblPrEx>
          <w:tblCellMar>
            <w:top w:w="0" w:type="dxa"/>
            <w:left w:w="108" w:type="dxa"/>
            <w:bottom w:w="0" w:type="dxa"/>
            <w:right w:w="108" w:type="dxa"/>
          </w:tblCellMar>
        </w:tblPrEx>
        <w:trPr>
          <w:cantSplit/>
          <w:tblHeader/>
        </w:trPr>
        <w:tc>
          <w:tcPr>
            <w:tcW w:w="9471"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1896"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792"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3783"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tblPrEx>
          <w:tblCellMar>
            <w:top w:w="0" w:type="dxa"/>
            <w:left w:w="108" w:type="dxa"/>
            <w:bottom w:w="0" w:type="dxa"/>
            <w:right w:w="108" w:type="dxa"/>
          </w:tblCellMar>
        </w:tblPrEx>
        <w:trPr>
          <w:cantSplit/>
          <w:tblHeader/>
        </w:trPr>
        <w:tc>
          <w:tcPr>
            <w:tcW w:w="1887"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1896"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1887"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1896"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629"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2050203</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初中教育</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2050299</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其他普通教育支出</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887"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1896"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5159"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pPr>
        <w:sectPr>
          <w:footerReference r:id="rId10"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49" w:name="_Toc256000008"/>
      <w:bookmarkStart w:id="50" w:name="_Toc256000086"/>
      <w:bookmarkStart w:id="51" w:name="_Toc256000138"/>
      <w:bookmarkStart w:id="52" w:name="_Toc256000060"/>
      <w:bookmarkStart w:id="53" w:name="_Toc256000112"/>
      <w:bookmarkStart w:id="54" w:name="_Toc256000034"/>
      <w:r>
        <w:rPr>
          <w:rFonts w:ascii="黑体" w:hAnsi="黑体" w:eastAsia="黑体" w:cs="黑体"/>
          <w:b w:val="0"/>
          <w:bCs w:val="0"/>
          <w:spacing w:val="0"/>
        </w:rPr>
        <w:t>四、财政拨款收入支出决算总表</w:t>
      </w:r>
      <w:bookmarkEnd w:id="49"/>
      <w:bookmarkEnd w:id="50"/>
      <w:bookmarkEnd w:id="51"/>
      <w:bookmarkEnd w:id="52"/>
      <w:bookmarkEnd w:id="53"/>
      <w:bookmarkEnd w:id="54"/>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50.61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32.62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pPr>
        <w:sectPr>
          <w:footerReference r:id="rId11"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55" w:name="_Toc256000139"/>
      <w:bookmarkStart w:id="56" w:name="_Toc256000061"/>
      <w:bookmarkStart w:id="57" w:name="_Toc256000113"/>
      <w:bookmarkStart w:id="58" w:name="_Toc256000087"/>
      <w:bookmarkStart w:id="59" w:name="_Toc256000035"/>
      <w:bookmarkStart w:id="60" w:name="_Toc256000009"/>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tblPrEx>
          <w:tblCellMar>
            <w:top w:w="0" w:type="dxa"/>
            <w:left w:w="108" w:type="dxa"/>
            <w:bottom w:w="0" w:type="dxa"/>
            <w:right w:w="108" w:type="dxa"/>
          </w:tblCellMar>
        </w:tblPrEx>
        <w:trPr>
          <w:cantSplit/>
          <w:tblHeader/>
        </w:trPr>
        <w:tc>
          <w:tcPr>
            <w:tcW w:w="15159"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tblPrEx>
          <w:tblCellMar>
            <w:top w:w="0" w:type="dxa"/>
            <w:left w:w="108" w:type="dxa"/>
            <w:bottom w:w="0" w:type="dxa"/>
            <w:right w:w="108" w:type="dxa"/>
          </w:tblCellMar>
        </w:tblPrEx>
        <w:trPr>
          <w:cantSplit/>
          <w:tblHeader/>
        </w:trPr>
        <w:tc>
          <w:tcPr>
            <w:tcW w:w="5094"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3355"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671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tblPrEx>
          <w:tblCellMar>
            <w:top w:w="0" w:type="dxa"/>
            <w:left w:w="108" w:type="dxa"/>
            <w:bottom w:w="0" w:type="dxa"/>
            <w:right w:w="108" w:type="dxa"/>
          </w:tblCellMar>
        </w:tblPrEx>
        <w:trPr>
          <w:cantSplit/>
          <w:tblHeader/>
        </w:trPr>
        <w:tc>
          <w:tcPr>
            <w:tcW w:w="8449" w:type="dxa"/>
            <w:gridSpan w:val="3"/>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671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094"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1006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174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3354"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335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335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335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174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4"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3355"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5094"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407.53</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2050203</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初中教育</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264.52</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2050299</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其他普通教育支出</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46.83</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2080506</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机关事业单位职业年金缴费支出</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12.94</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74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2210202</w:t>
            </w:r>
          </w:p>
        </w:tc>
        <w:tc>
          <w:tcPr>
            <w:tcW w:w="3354"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提租补贴</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4.92</w:t>
            </w:r>
          </w:p>
        </w:tc>
        <w:tc>
          <w:tcPr>
            <w:tcW w:w="335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5159"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pPr>
        <w:sectPr>
          <w:footerReference r:id="rId12"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61" w:name="_Toc256000088"/>
      <w:bookmarkStart w:id="62" w:name="_Toc256000036"/>
      <w:bookmarkStart w:id="63" w:name="_Toc256000114"/>
      <w:bookmarkStart w:id="64" w:name="_Toc256000140"/>
      <w:bookmarkStart w:id="65" w:name="_Toc256000062"/>
      <w:bookmarkStart w:id="66" w:name="_Toc256000010"/>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365.27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82.32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43.24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114.88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31.49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33.74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16.87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9.68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1.20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27.70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1.84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6.48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2.59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371.75</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35.77</w:t>
            </w:r>
          </w:p>
        </w:tc>
      </w:tr>
      <w:tr>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pPr>
        <w:sectPr>
          <w:footerReference r:id="rId13" w:type="default"/>
          <w:pgSz w:w="16383" w:h="11906" w:orient="landscape"/>
          <w:pgMar w:top="1134" w:right="720" w:bottom="1134" w:left="720" w:header="720" w:footer="720" w:gutter="0"/>
          <w:cols w:space="720" w:num="1"/>
        </w:sectPr>
      </w:pPr>
    </w:p>
    <w:p>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67" w:name="_Toc256000115"/>
      <w:bookmarkStart w:id="68" w:name="_Toc256000037"/>
      <w:bookmarkStart w:id="69" w:name="_Toc256000141"/>
      <w:bookmarkStart w:id="70" w:name="_Toc256000011"/>
      <w:bookmarkStart w:id="71" w:name="_Toc256000089"/>
      <w:bookmarkStart w:id="72" w:name="_Toc256000063"/>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pPr>
        <w:sectPr>
          <w:footerReference r:id="rId14" w:type="default"/>
          <w:pgSz w:w="16383" w:h="11906" w:orient="landscape"/>
          <w:pgMar w:top="1134" w:right="720" w:bottom="1134" w:left="720" w:header="720" w:footer="720" w:gutter="0"/>
          <w:cols w:space="720" w:num="1"/>
        </w:sectPr>
      </w:pPr>
    </w:p>
    <w:p>
      <w:pPr>
        <w:pStyle w:val="28"/>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73" w:name="_Toc256000012"/>
      <w:bookmarkStart w:id="74" w:name="_Toc256000142"/>
      <w:bookmarkStart w:id="75" w:name="_Toc256000090"/>
      <w:bookmarkStart w:id="76" w:name="_Toc256000038"/>
      <w:bookmarkStart w:id="77" w:name="_Toc256000064"/>
      <w:bookmarkStart w:id="78" w:name="_Toc256000116"/>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pPr>
        <w:sectPr>
          <w:footerReference r:id="rId15" w:type="default"/>
          <w:pgSz w:w="16383" w:h="11906" w:orient="landscape"/>
          <w:pgMar w:top="1134" w:right="720" w:bottom="1134" w:left="720" w:header="720" w:footer="720" w:gutter="0"/>
          <w:cols w:space="720" w:num="1"/>
        </w:sectPr>
      </w:pPr>
    </w:p>
    <w:p>
      <w:pPr>
        <w:pStyle w:val="28"/>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pPr>
        <w:pStyle w:val="5"/>
        <w:keepNext w:val="0"/>
        <w:keepLines w:val="0"/>
        <w:spacing w:before="100" w:after="100" w:line="240" w:lineRule="auto"/>
        <w:ind w:left="100" w:right="100" w:firstLine="640" w:firstLineChars="0"/>
        <w:rPr>
          <w:rFonts w:ascii="Times New Roman" w:hAnsi="Times New Roman" w:eastAsia="Times New Roman" w:cs="Times New Roman"/>
          <w:vanish/>
          <w:kern w:val="0"/>
          <w:sz w:val="24"/>
        </w:rPr>
      </w:pPr>
      <w:bookmarkStart w:id="79" w:name="_Toc256000013"/>
      <w:bookmarkStart w:id="80" w:name="_Toc256000065"/>
      <w:bookmarkStart w:id="81" w:name="_Toc256000143"/>
      <w:bookmarkStart w:id="82" w:name="_Toc256000091"/>
      <w:bookmarkStart w:id="83" w:name="_Toc256000039"/>
      <w:bookmarkStart w:id="84" w:name="_Toc256000117"/>
      <w:r>
        <w:rPr>
          <w:rFonts w:ascii="黑体" w:hAnsi="黑体" w:eastAsia="黑体" w:cs="黑体"/>
          <w:b w:val="0"/>
          <w:bCs w:val="0"/>
          <w:spacing w:val="0"/>
        </w:rPr>
        <w:t>九、国有资本经营预算财政拨款支出决算表</w:t>
      </w:r>
      <w:bookmarkEnd w:id="79"/>
      <w:bookmarkEnd w:id="80"/>
      <w:bookmarkEnd w:id="81"/>
      <w:bookmarkEnd w:id="82"/>
      <w:bookmarkEnd w:id="83"/>
      <w:bookmarkEnd w:id="84"/>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编制单位：罗源县牛坑中学</w:t>
            </w:r>
          </w:p>
        </w:tc>
        <w:tc>
          <w:tcPr>
            <w:tcW w:w="21600" w:type="dxa"/>
            <w:noWrap w:val="0"/>
            <w:tcMar>
              <w:top w:w="20" w:type="dxa"/>
              <w:left w:w="108" w:type="dxa"/>
              <w:bottom w:w="20"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pPr>
              <w:rPr>
                <w:rFonts w:ascii="Times New Roman" w:hAnsi="Times New Roman" w:eastAsia="Times New Roman" w:cs="Times New Roman"/>
                <w:b w:val="0"/>
                <w:bCs w:val="0"/>
                <w:i w:val="0"/>
                <w:iCs w:val="0"/>
                <w:smallCaps w:val="0"/>
                <w:color w:val="000000"/>
                <w:kern w:val="0"/>
                <w:sz w:val="26"/>
                <w:szCs w:val="26"/>
              </w:rPr>
            </w:pP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pPr>
        <w:sectPr>
          <w:footerReference r:id="rId16" w:type="default"/>
          <w:pgSz w:w="16383" w:h="11906" w:orient="landscape"/>
          <w:pgMar w:top="1134" w:right="720" w:bottom="1134" w:left="720" w:header="720" w:footer="720" w:gutter="0"/>
          <w:cols w:space="720" w:num="1"/>
        </w:sectPr>
      </w:pPr>
    </w:p>
    <w:p>
      <w:pPr>
        <w:pStyle w:val="28"/>
        <w:widowControl/>
        <w:spacing w:before="240" w:after="240"/>
        <w:jc w:val="left"/>
        <w:rPr>
          <w:rFonts w:ascii="Times New Roman" w:hAnsi="Times New Roman" w:eastAsia="Times New Roman" w:cs="Times New Roman"/>
          <w:kern w:val="0"/>
          <w:sz w:val="24"/>
        </w:rPr>
      </w:pPr>
      <w:r>
        <w:rPr>
          <w:rFonts w:ascii="黑体" w:hAnsi="黑体" w:eastAsia="黑体" w:cs="黑体"/>
          <w:spacing w:val="0"/>
          <w:kern w:val="0"/>
          <w:sz w:val="56"/>
          <w:szCs w:val="56"/>
        </w:rPr>
        <w:t> </w:t>
      </w: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85" w:name="_Toc256000040"/>
      <w:bookmarkStart w:id="86" w:name="_Toc256000066"/>
      <w:bookmarkStart w:id="87" w:name="_Toc256000118"/>
      <w:bookmarkStart w:id="88" w:name="_Toc256000144"/>
      <w:bookmarkStart w:id="89" w:name="_Toc256000092"/>
      <w:bookmarkStart w:id="90" w:name="_Toc256000014"/>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85"/>
      <w:bookmarkEnd w:id="86"/>
      <w:bookmarkEnd w:id="87"/>
      <w:bookmarkEnd w:id="88"/>
      <w:bookmarkEnd w:id="89"/>
      <w:bookmarkEnd w:id="90"/>
    </w:p>
    <w:p>
      <w:pPr>
        <w:sectPr>
          <w:footerReference r:id="rId17" w:type="default"/>
          <w:pgSz w:w="11906" w:h="16838"/>
          <w:pgMar w:top="1440" w:right="720" w:bottom="1440" w:left="720" w:header="720" w:footer="720" w:gutter="0"/>
          <w:cols w:space="720" w:num="1"/>
        </w:sectPr>
      </w:pP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1" w:name="_Toc256000041"/>
      <w:bookmarkStart w:id="92" w:name="_Toc256000015"/>
      <w:bookmarkStart w:id="93" w:name="_Toc256000145"/>
      <w:bookmarkStart w:id="94" w:name="_Toc256000119"/>
      <w:bookmarkStart w:id="95" w:name="_Toc256000093"/>
      <w:bookmarkStart w:id="96" w:name="_Toc256000067"/>
      <w:r>
        <w:rPr>
          <w:rFonts w:ascii="黑体" w:hAnsi="黑体" w:eastAsia="黑体" w:cs="黑体"/>
          <w:b w:val="0"/>
          <w:bCs w:val="0"/>
          <w:spacing w:val="0"/>
        </w:rPr>
        <w:t>一、收入支出决算总体情况说明</w:t>
      </w:r>
      <w:bookmarkEnd w:id="91"/>
      <w:bookmarkEnd w:id="92"/>
      <w:bookmarkEnd w:id="93"/>
      <w:bookmarkEnd w:id="94"/>
      <w:bookmarkEnd w:id="95"/>
      <w:bookmarkEnd w:id="96"/>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2024年度本单位收入总计407.59万元，支出总计407.59万元，与上年决算数相比，各减少28.73万元，各</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6.59%。主要是压缩公用开支</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2024年度收入407.53万元，比上年决算数</w:t>
      </w:r>
      <w:r>
        <w:rPr>
          <w:rFonts w:ascii="仿宋_GB2312" w:hAnsi="仿宋_GB2312" w:eastAsia="仿宋_GB2312" w:cs="仿宋_GB2312"/>
          <w:kern w:val="0"/>
          <w:sz w:val="32"/>
          <w:szCs w:val="32"/>
        </w:rPr>
        <w:t>减少</w:t>
      </w:r>
      <w:r>
        <w:rPr>
          <w:rFonts w:ascii="仿宋_GB2312" w:hAnsi="仿宋_GB2312" w:eastAsia="仿宋_GB2312" w:cs="仿宋_GB2312"/>
          <w:spacing w:val="0"/>
          <w:kern w:val="0"/>
          <w:sz w:val="32"/>
          <w:szCs w:val="32"/>
        </w:rPr>
        <w:t>28.72万元，</w:t>
      </w:r>
      <w:r>
        <w:rPr>
          <w:rFonts w:ascii="仿宋_GB2312" w:hAnsi="仿宋_GB2312" w:eastAsia="仿宋_GB2312" w:cs="仿宋_GB2312"/>
          <w:kern w:val="0"/>
          <w:sz w:val="32"/>
          <w:szCs w:val="32"/>
        </w:rPr>
        <w:t>下降</w:t>
      </w:r>
      <w:r>
        <w:rPr>
          <w:rFonts w:ascii="仿宋_GB2312" w:hAnsi="仿宋_GB2312" w:eastAsia="仿宋_GB2312" w:cs="仿宋_GB2312"/>
          <w:spacing w:val="0"/>
          <w:kern w:val="0"/>
          <w:sz w:val="32"/>
          <w:szCs w:val="32"/>
        </w:rPr>
        <w:t>6.58%，具体情况如下：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1.一般公共预算财政拨款收入407.53万元。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2024年度支出407.53万元，比上年决算数减少28.73万元，下降6.59%，具体情况如下：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1.基本支出407.53万元。其中，人员支出371.75万元，公用支出35.77万元。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7" w:name="_Toc256000146"/>
      <w:bookmarkStart w:id="98" w:name="_Toc256000016"/>
      <w:bookmarkStart w:id="99" w:name="_Toc256000094"/>
      <w:bookmarkStart w:id="100" w:name="_Toc256000068"/>
      <w:bookmarkStart w:id="101" w:name="_Toc256000120"/>
      <w:bookmarkStart w:id="102" w:name="_Toc256000042"/>
      <w:r>
        <w:rPr>
          <w:rFonts w:ascii="黑体" w:hAnsi="黑体" w:eastAsia="黑体" w:cs="黑体"/>
          <w:b w:val="0"/>
          <w:bCs w:val="0"/>
          <w:spacing w:val="0"/>
        </w:rPr>
        <w:t>二、财政拨款收入支出决算总体情况说明</w:t>
      </w:r>
      <w:bookmarkEnd w:id="97"/>
      <w:bookmarkEnd w:id="98"/>
      <w:bookmarkEnd w:id="99"/>
      <w:bookmarkEnd w:id="100"/>
      <w:bookmarkEnd w:id="101"/>
      <w:bookmarkEnd w:id="10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2024年度财政拨款收入总计407.59万元，支出总计407.59万元，与上年决算数相比，各减少28.73万元，下降6.59%，主要是：压缩公用开支</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7"/>
      <w:bookmarkStart w:id="104" w:name="_Toc256000043"/>
      <w:bookmarkStart w:id="105" w:name="_Toc256000147"/>
      <w:bookmarkStart w:id="106" w:name="_Toc256000121"/>
      <w:bookmarkStart w:id="107" w:name="_Toc256000095"/>
      <w:bookmarkStart w:id="108" w:name="_Toc256000069"/>
      <w:r>
        <w:rPr>
          <w:rFonts w:ascii="黑体" w:hAnsi="黑体" w:eastAsia="黑体" w:cs="黑体"/>
          <w:b w:val="0"/>
          <w:bCs w:val="0"/>
          <w:spacing w:val="0"/>
        </w:rPr>
        <w:t>三、一般公共预算财政拨款支出决算情况说明</w:t>
      </w:r>
      <w:bookmarkEnd w:id="103"/>
      <w:bookmarkEnd w:id="104"/>
      <w:bookmarkEnd w:id="105"/>
      <w:bookmarkEnd w:id="106"/>
      <w:bookmarkEnd w:id="107"/>
      <w:bookmarkEnd w:id="108"/>
    </w:p>
    <w:p>
      <w:pPr>
        <w:pStyle w:val="28"/>
        <w:widowControl/>
        <w:spacing w:before="100" w:after="100" w:line="560" w:lineRule="atLeast"/>
        <w:ind w:left="100" w:right="100" w:firstLine="640"/>
        <w:jc w:val="left"/>
        <w:rPr>
          <w:rFonts w:hint="eastAsia" w:ascii="Times New Roman" w:hAnsi="Times New Roman" w:eastAsia="仿宋_GB2312" w:cs="Times New Roman"/>
          <w:kern w:val="0"/>
          <w:sz w:val="24"/>
          <w:lang w:val="en-US" w:eastAsia="zh-CN"/>
        </w:rPr>
      </w:pPr>
      <w:r>
        <w:rPr>
          <w:rFonts w:ascii="仿宋_GB2312" w:hAnsi="仿宋_GB2312" w:eastAsia="仿宋_GB2312" w:cs="仿宋_GB2312"/>
          <w:spacing w:val="0"/>
          <w:kern w:val="0"/>
          <w:sz w:val="32"/>
          <w:szCs w:val="32"/>
        </w:rPr>
        <w:t>2024年一般公共预算财政拨款支出407.53万元，比上年决算数减少28.73万元，下降6.59%，具体情况如下</w:t>
      </w:r>
      <w:r>
        <w:rPr>
          <w:rFonts w:hint="eastAsia" w:ascii="仿宋_GB2312" w:hAnsi="仿宋_GB2312" w:eastAsia="仿宋_GB2312" w:cs="仿宋_GB2312"/>
          <w:spacing w:val="0"/>
          <w:kern w:val="0"/>
          <w:sz w:val="32"/>
          <w:szCs w:val="32"/>
          <w:lang w:val="en-US" w:eastAsia="zh-CN"/>
        </w:rPr>
        <w:t>：</w:t>
      </w:r>
    </w:p>
    <w:p>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  （一）2050203 初中教育 264.52万元，较上年决算数增加53.30万元，增长25.24%。主要原因是人员经费增加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  （二）2050299 其他普通教育支出 46.83万元，较上年决算数减少64.20万元，下降57.82%。主要原因是压缩公用开支</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  （三）2080505 机关事业单位基本养老保险缴费支出 33.74万元，较上年决算数减少25.98万元，下降43.50%。主要原因是压缩公用开支</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  （四）2080506 机关事业单位职业年金缴费支出 16.87万元，较上年决算数增加2.19万元，增长14.88%。主要原因是缴费基数增加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  （五）2101102 事业单位医疗 12.94万元，较上年决算数增加1.50万元，增长13.11%。主要原因是缴费基数增加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  （六）2210201 住房公积金 27.70万元，较上年决算数增加4.45万元，增长19.16%。主要原因是缴费基数增加</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  （七）2210202 提租补贴 4.92万元，较上年决算数增加0.00万元，增长0.10%。主要原因是缴费基数增加</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096"/>
      <w:bookmarkStart w:id="110" w:name="_Toc256000044"/>
      <w:bookmarkStart w:id="111" w:name="_Toc256000070"/>
      <w:bookmarkStart w:id="112" w:name="_Toc256000148"/>
      <w:bookmarkStart w:id="113" w:name="_Toc256000122"/>
      <w:bookmarkStart w:id="114" w:name="_Toc256000018"/>
      <w:r>
        <w:rPr>
          <w:rFonts w:ascii="黑体" w:hAnsi="黑体" w:eastAsia="黑体" w:cs="黑体"/>
          <w:b w:val="0"/>
          <w:bCs w:val="0"/>
          <w:spacing w:val="0"/>
        </w:rPr>
        <w:t>四、政府性基金预算财政拨款支出决算情况说明</w:t>
      </w:r>
      <w:bookmarkEnd w:id="109"/>
      <w:bookmarkEnd w:id="110"/>
      <w:bookmarkEnd w:id="111"/>
      <w:bookmarkEnd w:id="112"/>
      <w:bookmarkEnd w:id="113"/>
      <w:bookmarkEnd w:id="11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本单位2024年度没有使用政府性基金预算财政拨款安排的支出。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49"/>
      <w:bookmarkStart w:id="116" w:name="_Toc256000123"/>
      <w:bookmarkStart w:id="117" w:name="_Toc256000097"/>
      <w:bookmarkStart w:id="118" w:name="_Toc256000071"/>
      <w:bookmarkStart w:id="119" w:name="_Toc256000045"/>
      <w:bookmarkStart w:id="120" w:name="_Toc256000019"/>
      <w:r>
        <w:rPr>
          <w:rFonts w:ascii="黑体" w:hAnsi="黑体" w:eastAsia="黑体" w:cs="黑体"/>
          <w:b w:val="0"/>
          <w:bCs w:val="0"/>
          <w:spacing w:val="0"/>
        </w:rPr>
        <w:t>五、国有资本经营预算财政拨款支出决算情况说明</w:t>
      </w:r>
      <w:bookmarkEnd w:id="115"/>
      <w:bookmarkEnd w:id="116"/>
      <w:bookmarkEnd w:id="117"/>
      <w:bookmarkEnd w:id="118"/>
      <w:bookmarkEnd w:id="119"/>
      <w:bookmarkEnd w:id="120"/>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本单位2024年度没有使用国有资本经营预算财政拨款安排的支出。</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150"/>
      <w:bookmarkStart w:id="122" w:name="_Toc256000072"/>
      <w:bookmarkStart w:id="123" w:name="_Toc256000124"/>
      <w:bookmarkStart w:id="124" w:name="_Toc256000020"/>
      <w:bookmarkStart w:id="125" w:name="_Toc256000098"/>
      <w:bookmarkStart w:id="126" w:name="_Toc256000046"/>
      <w:r>
        <w:rPr>
          <w:rFonts w:ascii="黑体" w:hAnsi="黑体" w:eastAsia="黑体" w:cs="黑体"/>
          <w:b w:val="0"/>
          <w:bCs w:val="0"/>
          <w:spacing w:val="0"/>
        </w:rPr>
        <w:t>六、一般公共预算财政拨款基本支出决算情况说明</w:t>
      </w:r>
      <w:bookmarkEnd w:id="121"/>
      <w:bookmarkEnd w:id="122"/>
      <w:bookmarkEnd w:id="123"/>
      <w:bookmarkEnd w:id="124"/>
      <w:bookmarkEnd w:id="125"/>
      <w:bookmarkEnd w:id="126"/>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2024年度一般公共预算财政拨款基本支出407.53万元，其中：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371.75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35.77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25"/>
      <w:bookmarkStart w:id="128" w:name="_Toc256000021"/>
      <w:bookmarkStart w:id="129" w:name="_Toc256000047"/>
      <w:bookmarkStart w:id="130" w:name="_Toc256000151"/>
      <w:bookmarkStart w:id="131" w:name="_Toc256000099"/>
      <w:bookmarkStart w:id="132" w:name="_Toc256000073"/>
      <w:r>
        <w:rPr>
          <w:rFonts w:ascii="黑体" w:hAnsi="黑体" w:eastAsia="黑体" w:cs="黑体"/>
          <w:b w:val="0"/>
          <w:bCs w:val="0"/>
          <w:spacing w:val="0"/>
        </w:rPr>
        <w:t>七、一般公共预算财政拨款“三公”经费支出决算情况说明</w:t>
      </w:r>
      <w:bookmarkEnd w:id="127"/>
      <w:bookmarkEnd w:id="128"/>
      <w:bookmarkEnd w:id="129"/>
      <w:bookmarkEnd w:id="130"/>
      <w:bookmarkEnd w:id="131"/>
      <w:bookmarkEnd w:id="132"/>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2024年度一般公共预算财政拨款“三公”经费支出0万元，与全年预算数持平，与上年决算数持平。主要原因是无三公开支。具体情况如下：</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（一）因公出国（境）费支出0万元，与全年预算数持平，</w:t>
      </w:r>
      <w:r>
        <w:rPr>
          <w:rFonts w:ascii="仿宋_GB2312" w:hAnsi="仿宋_GB2312" w:eastAsia="仿宋_GB2312" w:cs="仿宋_GB2312"/>
          <w:kern w:val="0"/>
          <w:sz w:val="32"/>
          <w:szCs w:val="32"/>
        </w:rPr>
        <w:t>与上年决算数持平。主要是无出国（镜）。全年安排本单位组织的出国团组0个，参加其他单位出国团组无出国（镜）个；全年因公出国（境）累计0 人次。</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（二）公务用车购置及运行费支出0万元，与全年预算数持平，与上年决算数持平。</w:t>
      </w:r>
      <w:r>
        <w:rPr>
          <w:rFonts w:ascii="仿宋_GB2312" w:hAnsi="仿宋_GB2312" w:eastAsia="仿宋_GB2312" w:cs="仿宋_GB2312"/>
          <w:kern w:val="0"/>
          <w:sz w:val="32"/>
          <w:szCs w:val="32"/>
        </w:rPr>
        <w:t>其中：</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公务用车购置费支出0万元，与全年预算数持平，</w:t>
      </w:r>
      <w:r>
        <w:rPr>
          <w:rFonts w:ascii="仿宋_GB2312" w:hAnsi="仿宋_GB2312" w:eastAsia="仿宋_GB2312" w:cs="仿宋_GB2312"/>
          <w:kern w:val="0"/>
          <w:sz w:val="32"/>
          <w:szCs w:val="32"/>
        </w:rPr>
        <w:t>与上年决算数持平。主要是无公车。2024年公务用车购置0辆。</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公务用车运行费支出0万元，与全年预算数持平，与上年决算数持平。主要是无公车。截至2024年12月31日，本单位公务用车保有量为0辆。</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（三）公务接待费支出0万元，与全年预算数持平，与上年决算数持平。主要是无接待。</w:t>
      </w:r>
      <w:r>
        <w:rPr>
          <w:rFonts w:ascii="仿宋_GB2312" w:hAnsi="仿宋_GB2312" w:eastAsia="仿宋_GB2312" w:cs="仿宋_GB2312"/>
          <w:kern w:val="0"/>
          <w:sz w:val="32"/>
          <w:szCs w:val="32"/>
        </w:rPr>
        <w:t>累计接待0批次、0人次。</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022"/>
      <w:bookmarkStart w:id="134" w:name="_Toc256000126"/>
      <w:bookmarkStart w:id="135" w:name="_Toc256000074"/>
      <w:bookmarkStart w:id="136" w:name="_Toc256000100"/>
      <w:bookmarkStart w:id="137" w:name="_Toc256000048"/>
      <w:bookmarkStart w:id="138" w:name="_Toc256000152"/>
      <w:r>
        <w:rPr>
          <w:rFonts w:ascii="黑体" w:hAnsi="黑体" w:eastAsia="黑体" w:cs="黑体"/>
          <w:b w:val="0"/>
          <w:bCs w:val="0"/>
          <w:spacing w:val="0"/>
        </w:rPr>
        <w:t>八、预算绩效情况说明</w:t>
      </w:r>
      <w:bookmarkEnd w:id="133"/>
      <w:bookmarkEnd w:id="134"/>
      <w:bookmarkEnd w:id="135"/>
      <w:bookmarkEnd w:id="136"/>
      <w:bookmarkEnd w:id="137"/>
      <w:bookmarkEnd w:id="138"/>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根据全面实施预算绩效管理要求，本单位组织对2024年度0个项目实施单位自评。</w:t>
      </w:r>
    </w:p>
    <w:p>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9" w:name="_Toc256000049"/>
      <w:bookmarkStart w:id="140" w:name="_Toc256000023"/>
      <w:bookmarkStart w:id="141" w:name="_Toc256000075"/>
      <w:bookmarkStart w:id="142" w:name="_Toc256000101"/>
      <w:bookmarkStart w:id="143" w:name="_Toc256000127"/>
      <w:bookmarkStart w:id="144" w:name="_Toc256000153"/>
      <w:r>
        <w:rPr>
          <w:rFonts w:ascii="黑体" w:hAnsi="黑体" w:eastAsia="黑体" w:cs="黑体"/>
          <w:b w:val="0"/>
          <w:bCs w:val="0"/>
          <w:spacing w:val="0"/>
        </w:rPr>
        <w:t>九、其他重要事项说明</w:t>
      </w:r>
      <w:bookmarkEnd w:id="139"/>
      <w:bookmarkEnd w:id="140"/>
      <w:bookmarkEnd w:id="141"/>
      <w:bookmarkEnd w:id="142"/>
      <w:bookmarkEnd w:id="143"/>
      <w:bookmarkEnd w:id="144"/>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本单位为事业单位没有机关运行经费。</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本单位2024年度没有政府采购支出。</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辆、机要通信用车0辆、应急保障用车0辆、执法执勤用车0辆、特种专业技术用车0辆、离退休干部用车0辆、其他用车0辆，其他用车主要是无用车；单位价值100万元以上设备（不含车辆）0台（套）。  </w:t>
      </w:r>
      <w:r>
        <w:rPr>
          <w:rFonts w:ascii="宋体" w:hAnsi="宋体" w:cs="宋体"/>
          <w:spacing w:val="0"/>
          <w:kern w:val="0"/>
          <w:sz w:val="56"/>
          <w:szCs w:val="56"/>
        </w:rPr>
        <w:t xml:space="preserve"> </w:t>
      </w:r>
    </w:p>
    <w:p>
      <w:pPr>
        <w:sectPr>
          <w:footerReference r:id="rId18"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28"/>
        <w:widowControl/>
        <w:spacing w:before="100" w:after="100"/>
        <w:ind w:left="100" w:right="100" w:firstLine="640"/>
        <w:jc w:val="left"/>
        <w:rPr>
          <w:rFonts w:ascii="Times New Roman" w:hAnsi="Times New Roman" w:eastAsia="Times New Roman" w:cs="Times New Roman"/>
          <w:kern w:val="0"/>
          <w:sz w:val="24"/>
        </w:rPr>
      </w:pPr>
    </w:p>
    <w:p>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45" w:name="_Toc256000024"/>
      <w:bookmarkStart w:id="146" w:name="_Toc256000050"/>
      <w:bookmarkStart w:id="147" w:name="_Toc256000102"/>
      <w:bookmarkStart w:id="148" w:name="_Toc256000128"/>
      <w:bookmarkStart w:id="149" w:name="_Toc256000154"/>
      <w:bookmarkStart w:id="150" w:name="_Toc256000076"/>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45"/>
      <w:bookmarkEnd w:id="146"/>
      <w:bookmarkEnd w:id="147"/>
      <w:bookmarkEnd w:id="148"/>
      <w:bookmarkEnd w:id="149"/>
      <w:bookmarkEnd w:id="150"/>
    </w:p>
    <w:p>
      <w:pPr>
        <w:sectPr>
          <w:footerReference r:id="rId19" w:type="default"/>
          <w:pgSz w:w="11906" w:h="16838"/>
          <w:pgMar w:top="1440" w:right="720" w:bottom="1440" w:left="720" w:header="720" w:footer="720" w:gutter="0"/>
          <w:cols w:space="720" w:num="1"/>
        </w:sectPr>
      </w:pP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pPr>
        <w:pStyle w:val="28"/>
        <w:widowControl/>
        <w:spacing w:before="240" w:after="240"/>
        <w:ind w:firstLine="643"/>
        <w:jc w:val="left"/>
        <w:rPr>
          <w:rFonts w:ascii="Times New Roman" w:hAnsi="Times New Roman" w:eastAsia="Times New Roman" w:cs="Times New Roman"/>
          <w:kern w:val="0"/>
          <w:sz w:val="24"/>
        </w:rPr>
      </w:pPr>
    </w:p>
    <w:p>
      <w:pPr>
        <w:sectPr>
          <w:footerReference r:id="rId20" w:type="default"/>
          <w:pgSz w:w="11906" w:h="16838"/>
          <w:pgMar w:top="1440" w:right="720" w:bottom="1440" w:left="720" w:header="720" w:footer="720" w:gutter="0"/>
          <w:cols w:space="720" w:num="1"/>
        </w:sectPr>
      </w:pPr>
    </w:p>
    <w:p>
      <w:pPr>
        <w:widowControl/>
        <w:spacing w:before="240" w:after="240"/>
        <w:jc w:val="left"/>
        <w:rPr>
          <w:rFonts w:ascii="Times New Roman" w:hAnsi="Times New Roman" w:eastAsia="Times New Roman" w:cs="Times New Roman"/>
          <w:vanish/>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28"/>
        <w:widowControl/>
        <w:spacing w:before="240" w:after="240"/>
        <w:jc w:val="left"/>
        <w:rPr>
          <w:rFonts w:ascii="Times New Roman" w:hAnsi="Times New Roman" w:eastAsia="Times New Roman" w:cs="Times New Roman"/>
          <w:kern w:val="0"/>
          <w:sz w:val="24"/>
        </w:rPr>
      </w:pPr>
    </w:p>
    <w:p>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51" w:name="_Toc256000077"/>
      <w:bookmarkStart w:id="152" w:name="_Toc256000051"/>
      <w:bookmarkStart w:id="153" w:name="_Toc256000025"/>
      <w:bookmarkStart w:id="154" w:name="_Toc256000155"/>
      <w:bookmarkStart w:id="155" w:name="_Toc256000103"/>
      <w:bookmarkStart w:id="156" w:name="_Toc256000129"/>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51"/>
      <w:bookmarkEnd w:id="152"/>
      <w:bookmarkEnd w:id="153"/>
      <w:bookmarkEnd w:id="154"/>
      <w:bookmarkEnd w:id="155"/>
      <w:bookmarkEnd w:id="156"/>
    </w:p>
    <w:p>
      <w:pPr>
        <w:sectPr>
          <w:footerReference r:id="rId21" w:type="default"/>
          <w:pgSz w:w="11906" w:h="16838"/>
          <w:pgMar w:top="1440" w:right="720" w:bottom="1440" w:left="720" w:header="720" w:footer="720" w:gutter="0"/>
          <w:cols w:space="720" w:num="1"/>
        </w:sectPr>
      </w:pPr>
    </w:p>
    <w:bookmarkEnd w:id="0"/>
    <w:p>
      <w:pPr>
        <w:keepNext w:val="0"/>
        <w:keepLines w:val="0"/>
        <w:widowControl/>
        <w:suppressLineNumbers w:val="0"/>
        <w:tabs>
          <w:tab w:val="left" w:pos="7513"/>
        </w:tabs>
        <w:adjustRightInd w:val="0"/>
        <w:snapToGrid w:val="0"/>
        <w:spacing w:before="100" w:beforeAutospacing="1" w:after="100" w:afterAutospacing="1" w:line="600" w:lineRule="exact"/>
        <w:ind w:right="0"/>
        <w:rPr>
          <w:rFonts w:hint="eastAsia" w:ascii="黑体" w:hAnsi="宋体" w:eastAsia="黑体" w:cs="黑体"/>
          <w:sz w:val="32"/>
          <w:szCs w:val="32"/>
        </w:rPr>
      </w:pPr>
      <w:r>
        <w:rPr>
          <w:rFonts w:hint="eastAsia" w:ascii="黑体" w:hAnsi="宋体" w:eastAsia="黑体" w:cs="黑体"/>
          <w:sz w:val="32"/>
          <w:szCs w:val="32"/>
        </w:rPr>
        <w:t>一、《项目支出绩效自评表》</w:t>
      </w:r>
    </w:p>
    <w:p>
      <w:pPr>
        <w:keepNext w:val="0"/>
        <w:keepLines w:val="0"/>
        <w:widowControl/>
        <w:numPr>
          <w:ilvl w:val="0"/>
          <w:numId w:val="1"/>
        </w:numPr>
        <w:suppressLineNumbers w:val="0"/>
        <w:tabs>
          <w:tab w:val="left" w:pos="7513"/>
        </w:tabs>
        <w:adjustRightInd w:val="0"/>
        <w:snapToGrid w:val="0"/>
        <w:spacing w:before="100" w:beforeAutospacing="1" w:after="100" w:afterAutospacing="1" w:line="600" w:lineRule="exact"/>
        <w:ind w:right="0"/>
        <w:rPr>
          <w:rFonts w:hint="eastAsia" w:ascii="黑体" w:hAnsi="宋体" w:eastAsia="黑体" w:cs="黑体"/>
          <w:sz w:val="32"/>
          <w:szCs w:val="32"/>
        </w:rPr>
      </w:pPr>
      <w:r>
        <w:rPr>
          <w:rFonts w:hint="eastAsia" w:ascii="黑体" w:hAnsi="宋体" w:eastAsia="黑体" w:cs="黑体"/>
          <w:sz w:val="32"/>
          <w:szCs w:val="32"/>
        </w:rPr>
        <w:t>《项目支出绩效评价报告》</w:t>
      </w:r>
    </w:p>
    <w:p>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2"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14</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21</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30</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4</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6</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8</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10</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70361"/>
    <w:multiLevelType w:val="singleLevel"/>
    <w:tmpl w:val="307703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splitPgBreakAndParaMark/>
    <w:compatSetting w:name="compatibilityMode" w:uri="http://schemas.microsoft.com/office/word" w:val="12"/>
  </w:compat>
  <w:docVars>
    <w:docVar w:name="commondata" w:val="eyJoZGlkIjoiOGUwZmVmZmYwY2U2Njc2ZmM4MjkwMDQ3Yjc2YjVlOWUifQ=="/>
  </w:docVars>
  <w:rsids>
    <w:rsidRoot w:val="00000000"/>
    <w:rsid w:val="1ABE484A"/>
    <w:rsid w:val="1D08114A"/>
    <w:rsid w:val="1D2973E2"/>
    <w:rsid w:val="23B149B4"/>
    <w:rsid w:val="52391470"/>
    <w:rsid w:val="77921E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uiPriority w:val="0"/>
  </w:style>
  <w:style w:type="character" w:customStyle="1" w:styleId="30">
    <w:name w:val="15"/>
    <w:basedOn w:val="2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theme" Target="theme/theme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7325</Words>
  <Characters>9726</Characters>
  <Lines>1</Lines>
  <Paragraphs>1</Paragraphs>
  <TotalTime>4</TotalTime>
  <ScaleCrop>false</ScaleCrop>
  <LinksUpToDate>false</LinksUpToDate>
  <CharactersWithSpaces>10078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Administrator</cp:lastModifiedBy>
  <cp:lastPrinted>2021-04-16T00:45:00Z</cp:lastPrinted>
  <dcterms:modified xsi:type="dcterms:W3CDTF">2026-04-29T01:14:04Z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2052-11.1.0.12763</vt:lpwstr>
  </property>
  <property fmtid="{D5CDD505-2E9C-101B-9397-08002B2CF9AE}" pid="4" name="KSOTemplateDocerSaveRecord">
    <vt:lpwstr>eyJoZGlkIjoiMWI4NWYzZGFkNDJiYTY1ODFjMTg3YjM5MmNjODNlNDkiLCJ1c2VySWQiOiI0MjY0Mjg1NTgifQ==</vt:lpwstr>
  </property>
</Properties>
</file>