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967AE3">
      <w:pPr>
        <w:rPr>
          <w:rFonts w:hint="eastAsia" w:eastAsia="仿宋_GB2312"/>
          <w:color w:val="auto"/>
          <w:sz w:val="36"/>
          <w:szCs w:val="36"/>
          <w:highlight w:val="none"/>
          <w:lang w:eastAsia="zh-CN"/>
        </w:rPr>
      </w:pPr>
    </w:p>
    <w:p w14:paraId="50A77E90">
      <w:pPr>
        <w:rPr>
          <w:rFonts w:hint="eastAsia" w:eastAsia="仿宋_GB2312"/>
          <w:color w:val="auto"/>
          <w:sz w:val="36"/>
          <w:szCs w:val="36"/>
          <w:highlight w:val="none"/>
        </w:rPr>
      </w:pPr>
    </w:p>
    <w:p w14:paraId="7F274447">
      <w:pPr>
        <w:rPr>
          <w:rFonts w:eastAsia="仿宋_GB2312"/>
          <w:color w:val="auto"/>
          <w:sz w:val="36"/>
          <w:szCs w:val="36"/>
          <w:highlight w:val="none"/>
        </w:rPr>
      </w:pPr>
    </w:p>
    <w:p w14:paraId="4CC6EAB0">
      <w:pPr>
        <w:rPr>
          <w:rFonts w:eastAsia="仿宋_GB2312"/>
          <w:color w:val="auto"/>
          <w:sz w:val="36"/>
          <w:szCs w:val="36"/>
          <w:highlight w:val="none"/>
        </w:rPr>
      </w:pPr>
    </w:p>
    <w:p w14:paraId="7DC73053">
      <w:pPr>
        <w:spacing w:line="240" w:lineRule="auto"/>
        <w:ind w:firstLine="0" w:firstLineChars="0"/>
        <w:jc w:val="center"/>
        <w:rPr>
          <w:rFonts w:hint="eastAsia" w:ascii="方正小标宋_GBK" w:hAnsi="方正小标宋_GBK" w:eastAsia="方正小标宋_GBK" w:cs="方正小标宋_GBK"/>
          <w:color w:val="auto"/>
          <w:sz w:val="72"/>
          <w:szCs w:val="72"/>
          <w:highlight w:val="none"/>
        </w:rPr>
      </w:pPr>
      <w:r>
        <w:rPr>
          <w:rFonts w:hint="eastAsia" w:ascii="方正小标宋_GBK" w:hAnsi="方正小标宋_GBK" w:eastAsia="方正小标宋_GBK" w:cs="方正小标宋_GBK"/>
          <w:color w:val="auto"/>
          <w:sz w:val="72"/>
          <w:szCs w:val="72"/>
          <w:highlight w:val="none"/>
        </w:rPr>
        <w:t>建设项目环境影响报告表</w:t>
      </w:r>
    </w:p>
    <w:p w14:paraId="2B94F058">
      <w:pPr>
        <w:spacing w:before="192" w:beforeLines="80"/>
        <w:ind w:firstLine="0" w:firstLineChars="0"/>
        <w:jc w:val="center"/>
        <w:rPr>
          <w:rFonts w:hint="eastAsia" w:ascii="楷体_GB2312" w:hAnsi="楷体_GB2312" w:eastAsia="楷体_GB2312" w:cs="楷体_GB2312"/>
          <w:color w:val="auto"/>
          <w:sz w:val="48"/>
          <w:szCs w:val="48"/>
          <w:highlight w:val="none"/>
        </w:rPr>
      </w:pPr>
      <w:r>
        <w:rPr>
          <w:rFonts w:hint="eastAsia" w:ascii="楷体_GB2312" w:hAnsi="楷体_GB2312" w:eastAsia="楷体_GB2312" w:cs="楷体_GB2312"/>
          <w:color w:val="auto"/>
          <w:sz w:val="48"/>
          <w:szCs w:val="48"/>
          <w:highlight w:val="none"/>
        </w:rPr>
        <w:t>（污染影响类）</w:t>
      </w:r>
    </w:p>
    <w:p w14:paraId="5FA1899D">
      <w:pPr>
        <w:ind w:firstLine="1040"/>
        <w:jc w:val="center"/>
        <w:rPr>
          <w:rFonts w:hint="eastAsia" w:eastAsia="仿宋"/>
          <w:color w:val="auto"/>
          <w:sz w:val="52"/>
          <w:szCs w:val="52"/>
          <w:highlight w:val="none"/>
        </w:rPr>
      </w:pPr>
    </w:p>
    <w:p w14:paraId="78D4E5EE">
      <w:pPr>
        <w:ind w:firstLine="1040"/>
        <w:jc w:val="center"/>
        <w:rPr>
          <w:rFonts w:eastAsia="仿宋"/>
          <w:color w:val="auto"/>
          <w:sz w:val="52"/>
          <w:szCs w:val="52"/>
          <w:highlight w:val="none"/>
        </w:rPr>
      </w:pPr>
    </w:p>
    <w:p w14:paraId="490ED7D1">
      <w:pPr>
        <w:ind w:firstLine="0" w:firstLineChars="0"/>
        <w:rPr>
          <w:rFonts w:eastAsia="仿宋"/>
          <w:color w:val="auto"/>
          <w:sz w:val="44"/>
          <w:szCs w:val="44"/>
          <w:highlight w:val="none"/>
        </w:rPr>
      </w:pPr>
    </w:p>
    <w:p w14:paraId="5A6546E3">
      <w:pPr>
        <w:ind w:firstLine="0" w:firstLineChars="0"/>
        <w:rPr>
          <w:color w:val="auto"/>
          <w:highlight w:val="none"/>
        </w:rPr>
      </w:pPr>
    </w:p>
    <w:p w14:paraId="06A9FB9B">
      <w:pPr>
        <w:adjustRightInd w:val="0"/>
        <w:snapToGrid w:val="0"/>
        <w:spacing w:line="288" w:lineRule="auto"/>
        <w:ind w:firstLine="0" w:firstLineChars="0"/>
        <w:rPr>
          <w:rFonts w:eastAsia="仿宋_GB2312"/>
          <w:color w:val="auto"/>
          <w:sz w:val="36"/>
          <w:szCs w:val="36"/>
          <w:highlight w:val="none"/>
        </w:rPr>
      </w:pPr>
    </w:p>
    <w:p w14:paraId="21DDB0F8">
      <w:pPr>
        <w:ind w:left="2448" w:leftChars="270" w:hanging="1800" w:hangingChars="500"/>
        <w:rPr>
          <w:rFonts w:ascii="仿宋" w:hAnsi="仿宋" w:eastAsia="仿宋" w:cs="仿宋"/>
          <w:color w:val="auto"/>
          <w:sz w:val="36"/>
          <w:szCs w:val="36"/>
          <w:highlight w:val="none"/>
          <w:u w:val="single"/>
        </w:rPr>
      </w:pPr>
      <w:r>
        <w:rPr>
          <w:rFonts w:hint="eastAsia" w:ascii="仿宋" w:hAnsi="仿宋" w:eastAsia="仿宋" w:cs="仿宋"/>
          <w:color w:val="auto"/>
          <w:sz w:val="36"/>
          <w:szCs w:val="36"/>
          <w:highlight w:val="none"/>
        </w:rPr>
        <w:t>项目名称：</w:t>
      </w:r>
      <w:r>
        <w:rPr>
          <w:rFonts w:hint="eastAsia" w:ascii="仿宋" w:hAnsi="仿宋" w:eastAsia="仿宋" w:cs="仿宋"/>
          <w:color w:val="auto"/>
          <w:sz w:val="36"/>
          <w:szCs w:val="36"/>
          <w:highlight w:val="none"/>
          <w:u w:val="single"/>
          <w:lang w:val="en-US" w:eastAsia="zh-CN"/>
        </w:rPr>
        <w:t xml:space="preserve"> </w:t>
      </w:r>
      <w:r>
        <w:rPr>
          <w:rFonts w:hint="eastAsia" w:ascii="仿宋" w:hAnsi="仿宋" w:eastAsia="仿宋" w:cs="仿宋"/>
          <w:color w:val="auto"/>
          <w:sz w:val="36"/>
          <w:szCs w:val="36"/>
          <w:highlight w:val="none"/>
          <w:u w:val="single"/>
        </w:rPr>
        <w:t>福州市科兴混凝土有限公司沥青搅拌站</w:t>
      </w:r>
      <w:r>
        <w:rPr>
          <w:rFonts w:hint="eastAsia" w:ascii="仿宋" w:hAnsi="仿宋" w:eastAsia="仿宋" w:cs="仿宋"/>
          <w:color w:val="auto"/>
          <w:sz w:val="36"/>
          <w:szCs w:val="36"/>
          <w:highlight w:val="none"/>
          <w:u w:val="single"/>
          <w:lang w:val="en-US" w:eastAsia="zh-CN"/>
        </w:rPr>
        <w:t xml:space="preserve"> </w:t>
      </w:r>
      <w:r>
        <w:rPr>
          <w:rFonts w:hint="eastAsia" w:ascii="仿宋" w:hAnsi="仿宋" w:eastAsia="仿宋" w:cs="仿宋"/>
          <w:color w:val="auto"/>
          <w:sz w:val="36"/>
          <w:szCs w:val="36"/>
          <w:highlight w:val="none"/>
          <w:u w:val="single"/>
        </w:rPr>
        <w:t xml:space="preserve"> </w:t>
      </w:r>
      <w:r>
        <w:rPr>
          <w:rFonts w:hint="eastAsia" w:ascii="仿宋" w:hAnsi="仿宋" w:eastAsia="仿宋" w:cs="仿宋"/>
          <w:color w:val="auto"/>
          <w:sz w:val="36"/>
          <w:szCs w:val="36"/>
          <w:highlight w:val="none"/>
          <w:u w:val="single"/>
          <w:lang w:val="en-US" w:eastAsia="zh-CN"/>
        </w:rPr>
        <w:t xml:space="preserve">        </w:t>
      </w:r>
      <w:r>
        <w:rPr>
          <w:rFonts w:hint="eastAsia" w:ascii="仿宋" w:hAnsi="仿宋" w:eastAsia="仿宋" w:cs="仿宋"/>
          <w:color w:val="auto"/>
          <w:sz w:val="36"/>
          <w:szCs w:val="36"/>
          <w:highlight w:val="none"/>
          <w:u w:val="single"/>
        </w:rPr>
        <w:t xml:space="preserve">  </w:t>
      </w:r>
    </w:p>
    <w:p w14:paraId="3FDDC110">
      <w:pPr>
        <w:ind w:firstLine="0" w:firstLineChars="0"/>
        <w:jc w:val="center"/>
        <w:rPr>
          <w:rFonts w:ascii="仿宋" w:hAnsi="仿宋" w:eastAsia="仿宋" w:cs="仿宋"/>
          <w:color w:val="auto"/>
          <w:sz w:val="36"/>
          <w:szCs w:val="36"/>
          <w:highlight w:val="none"/>
        </w:rPr>
      </w:pPr>
      <w:r>
        <w:rPr>
          <w:rFonts w:hint="eastAsia" w:ascii="仿宋" w:hAnsi="仿宋" w:eastAsia="仿宋" w:cs="仿宋"/>
          <w:color w:val="auto"/>
          <w:sz w:val="36"/>
          <w:szCs w:val="36"/>
          <w:highlight w:val="none"/>
        </w:rPr>
        <w:t>建设单位(盖章)：</w:t>
      </w:r>
      <w:r>
        <w:rPr>
          <w:rFonts w:hint="eastAsia" w:ascii="仿宋" w:hAnsi="仿宋" w:eastAsia="仿宋" w:cs="仿宋"/>
          <w:color w:val="auto"/>
          <w:sz w:val="36"/>
          <w:szCs w:val="36"/>
          <w:highlight w:val="none"/>
          <w:u w:val="single"/>
        </w:rPr>
        <w:t xml:space="preserve">  福州市科兴混凝土有限公司</w:t>
      </w:r>
      <w:r>
        <w:rPr>
          <w:rFonts w:hint="eastAsia" w:ascii="仿宋" w:hAnsi="仿宋" w:eastAsia="仿宋" w:cs="仿宋"/>
          <w:color w:val="auto"/>
          <w:sz w:val="36"/>
          <w:szCs w:val="36"/>
          <w:highlight w:val="none"/>
          <w:u w:val="single"/>
          <w:lang w:val="en-US" w:eastAsia="zh-CN"/>
        </w:rPr>
        <w:t xml:space="preserve">  </w:t>
      </w:r>
      <w:r>
        <w:rPr>
          <w:rFonts w:hint="eastAsia" w:ascii="仿宋" w:hAnsi="仿宋" w:eastAsia="仿宋" w:cs="仿宋"/>
          <w:color w:val="auto"/>
          <w:sz w:val="36"/>
          <w:szCs w:val="36"/>
          <w:highlight w:val="none"/>
          <w:u w:val="single"/>
        </w:rPr>
        <w:t xml:space="preserve"> </w:t>
      </w:r>
    </w:p>
    <w:p w14:paraId="5292756C">
      <w:pPr>
        <w:ind w:left="648" w:leftChars="270" w:firstLine="0" w:firstLineChars="0"/>
        <w:rPr>
          <w:color w:val="auto"/>
          <w:sz w:val="36"/>
          <w:szCs w:val="36"/>
          <w:highlight w:val="none"/>
        </w:rPr>
      </w:pPr>
      <w:r>
        <w:rPr>
          <w:rFonts w:hint="eastAsia" w:ascii="仿宋" w:hAnsi="仿宋" w:eastAsia="仿宋" w:cs="仿宋"/>
          <w:color w:val="auto"/>
          <w:sz w:val="36"/>
          <w:szCs w:val="36"/>
          <w:highlight w:val="none"/>
        </w:rPr>
        <w:t>编制日期：</w:t>
      </w:r>
      <w:r>
        <w:rPr>
          <w:rFonts w:hint="eastAsia" w:ascii="仿宋" w:hAnsi="仿宋" w:eastAsia="仿宋" w:cs="仿宋"/>
          <w:color w:val="auto"/>
          <w:sz w:val="36"/>
          <w:szCs w:val="36"/>
          <w:highlight w:val="none"/>
          <w:u w:val="single"/>
        </w:rPr>
        <w:t xml:space="preserve">         </w:t>
      </w:r>
      <w:r>
        <w:rPr>
          <w:rFonts w:hint="eastAsia" w:ascii="仿宋" w:hAnsi="仿宋" w:eastAsia="仿宋" w:cs="仿宋"/>
          <w:color w:val="auto"/>
          <w:sz w:val="36"/>
          <w:szCs w:val="36"/>
          <w:highlight w:val="none"/>
          <w:u w:val="single"/>
          <w:lang w:val="en-US" w:eastAsia="zh-CN"/>
        </w:rPr>
        <w:t xml:space="preserve"> </w:t>
      </w:r>
      <w:r>
        <w:rPr>
          <w:rFonts w:hint="eastAsia" w:ascii="仿宋" w:hAnsi="仿宋" w:eastAsia="仿宋" w:cs="仿宋"/>
          <w:color w:val="auto"/>
          <w:sz w:val="36"/>
          <w:szCs w:val="36"/>
          <w:highlight w:val="none"/>
          <w:u w:val="single"/>
        </w:rPr>
        <w:t xml:space="preserve">  202</w:t>
      </w:r>
      <w:r>
        <w:rPr>
          <w:rFonts w:hint="eastAsia" w:ascii="仿宋" w:hAnsi="仿宋" w:eastAsia="仿宋" w:cs="仿宋"/>
          <w:color w:val="auto"/>
          <w:sz w:val="36"/>
          <w:szCs w:val="36"/>
          <w:highlight w:val="none"/>
          <w:u w:val="single"/>
          <w:lang w:val="en-US" w:eastAsia="zh-CN"/>
        </w:rPr>
        <w:t>5</w:t>
      </w:r>
      <w:r>
        <w:rPr>
          <w:rFonts w:hint="eastAsia" w:ascii="仿宋" w:hAnsi="仿宋" w:eastAsia="仿宋" w:cs="仿宋"/>
          <w:color w:val="auto"/>
          <w:sz w:val="36"/>
          <w:szCs w:val="36"/>
          <w:highlight w:val="none"/>
          <w:u w:val="single"/>
        </w:rPr>
        <w:t>年</w:t>
      </w:r>
      <w:r>
        <w:rPr>
          <w:rFonts w:hint="eastAsia" w:ascii="仿宋" w:hAnsi="仿宋" w:eastAsia="仿宋" w:cs="仿宋"/>
          <w:color w:val="auto"/>
          <w:sz w:val="36"/>
          <w:szCs w:val="36"/>
          <w:highlight w:val="none"/>
          <w:u w:val="single"/>
          <w:lang w:val="en-US" w:eastAsia="zh-CN"/>
        </w:rPr>
        <w:t>8</w:t>
      </w:r>
      <w:r>
        <w:rPr>
          <w:rFonts w:hint="eastAsia" w:ascii="仿宋" w:hAnsi="仿宋" w:eastAsia="仿宋" w:cs="仿宋"/>
          <w:color w:val="auto"/>
          <w:sz w:val="36"/>
          <w:szCs w:val="36"/>
          <w:highlight w:val="none"/>
          <w:u w:val="single"/>
        </w:rPr>
        <w:t xml:space="preserve">月       </w:t>
      </w:r>
      <w:r>
        <w:rPr>
          <w:rFonts w:hint="eastAsia" w:ascii="仿宋" w:hAnsi="仿宋" w:eastAsia="仿宋" w:cs="仿宋"/>
          <w:color w:val="auto"/>
          <w:sz w:val="36"/>
          <w:szCs w:val="36"/>
          <w:highlight w:val="none"/>
          <w:u w:val="single"/>
          <w:lang w:val="en-US" w:eastAsia="zh-CN"/>
        </w:rPr>
        <w:t xml:space="preserve"> </w:t>
      </w:r>
      <w:r>
        <w:rPr>
          <w:rFonts w:hint="eastAsia" w:ascii="仿宋" w:hAnsi="仿宋" w:eastAsia="仿宋" w:cs="仿宋"/>
          <w:color w:val="auto"/>
          <w:sz w:val="36"/>
          <w:szCs w:val="36"/>
          <w:highlight w:val="none"/>
          <w:u w:val="single"/>
        </w:rPr>
        <w:t xml:space="preserve">   </w:t>
      </w:r>
      <w:r>
        <w:rPr>
          <w:color w:val="auto"/>
          <w:sz w:val="36"/>
          <w:szCs w:val="36"/>
          <w:highlight w:val="none"/>
          <w:u w:val="single"/>
        </w:rPr>
        <w:t xml:space="preserve"> </w:t>
      </w:r>
      <w:r>
        <w:rPr>
          <w:color w:val="auto"/>
          <w:sz w:val="36"/>
          <w:szCs w:val="36"/>
          <w:highlight w:val="none"/>
        </w:rPr>
        <w:t xml:space="preserve">        </w:t>
      </w:r>
    </w:p>
    <w:p w14:paraId="6906590C">
      <w:pPr>
        <w:adjustRightInd w:val="0"/>
        <w:snapToGrid w:val="0"/>
        <w:spacing w:line="288" w:lineRule="auto"/>
        <w:ind w:firstLine="0" w:firstLineChars="0"/>
        <w:rPr>
          <w:rFonts w:eastAsia="仿宋_GB2312"/>
          <w:color w:val="auto"/>
          <w:sz w:val="36"/>
          <w:szCs w:val="36"/>
          <w:highlight w:val="none"/>
        </w:rPr>
      </w:pPr>
      <w:bookmarkStart w:id="0" w:name="_Hlk57884087"/>
    </w:p>
    <w:p w14:paraId="3372ED2C">
      <w:pPr>
        <w:pStyle w:val="26"/>
        <w:ind w:left="0" w:leftChars="0" w:firstLine="0" w:firstLineChars="0"/>
        <w:rPr>
          <w:rFonts w:eastAsia="仿宋_GB2312"/>
          <w:color w:val="auto"/>
          <w:sz w:val="36"/>
          <w:szCs w:val="36"/>
          <w:highlight w:val="none"/>
        </w:rPr>
      </w:pPr>
    </w:p>
    <w:p w14:paraId="06333BBB">
      <w:pPr>
        <w:pStyle w:val="25"/>
        <w:ind w:firstLine="280"/>
        <w:rPr>
          <w:color w:val="auto"/>
          <w:highlight w:val="none"/>
        </w:rPr>
      </w:pPr>
    </w:p>
    <w:bookmarkEnd w:id="0"/>
    <w:p w14:paraId="04D06CDE">
      <w:pPr>
        <w:adjustRightInd w:val="0"/>
        <w:snapToGrid w:val="0"/>
        <w:spacing w:line="288" w:lineRule="auto"/>
        <w:ind w:firstLine="0" w:firstLineChars="0"/>
        <w:jc w:val="center"/>
        <w:rPr>
          <w:rFonts w:hint="eastAsia" w:ascii="楷体_GB2312" w:eastAsia="楷体_GB2312"/>
          <w:color w:val="auto"/>
          <w:sz w:val="36"/>
          <w:szCs w:val="36"/>
          <w:highlight w:val="none"/>
        </w:rPr>
      </w:pPr>
      <w:r>
        <w:rPr>
          <w:rFonts w:hint="eastAsia" w:ascii="楷体_GB2312" w:eastAsia="楷体_GB2312"/>
          <w:color w:val="auto"/>
          <w:sz w:val="36"/>
          <w:szCs w:val="36"/>
          <w:highlight w:val="none"/>
        </w:rPr>
        <w:t>中华人民共和国生态环境部制</w:t>
      </w:r>
    </w:p>
    <w:p w14:paraId="58A94644">
      <w:pPr>
        <w:adjustRightInd w:val="0"/>
        <w:snapToGrid w:val="0"/>
        <w:spacing w:line="288" w:lineRule="auto"/>
        <w:rPr>
          <w:rFonts w:eastAsia="仿宋_GB2312"/>
          <w:color w:val="auto"/>
          <w:sz w:val="36"/>
          <w:szCs w:val="36"/>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18D4CBBA">
      <w:pPr>
        <w:ind w:firstLine="0" w:firstLineChars="0"/>
        <w:jc w:val="center"/>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rPr>
        <w:t>目 录</w:t>
      </w:r>
    </w:p>
    <w:p w14:paraId="1765B57B">
      <w:pPr>
        <w:pStyle w:val="19"/>
        <w:keepNext w:val="0"/>
        <w:keepLines w:val="0"/>
        <w:pageBreakBefore w:val="0"/>
        <w:widowControl w:val="0"/>
        <w:tabs>
          <w:tab w:val="right" w:leader="dot" w:pos="8844"/>
        </w:tabs>
        <w:kinsoku/>
        <w:wordWrap/>
        <w:overflowPunct/>
        <w:topLinePunct w:val="0"/>
        <w:autoSpaceDE/>
        <w:autoSpaceDN/>
        <w:bidi w:val="0"/>
        <w:adjustRightInd/>
        <w:snapToGrid/>
        <w:ind w:firstLine="0" w:firstLineChars="0"/>
        <w:textAlignment w:val="auto"/>
        <w:rPr>
          <w:color w:val="auto"/>
          <w:highlight w:val="none"/>
        </w:rPr>
      </w:pPr>
      <w:r>
        <w:rPr>
          <w:rFonts w:eastAsia="仿宋_GB2312"/>
          <w:b/>
          <w:bCs/>
          <w:color w:val="auto"/>
          <w:highlight w:val="none"/>
        </w:rPr>
        <w:fldChar w:fldCharType="begin"/>
      </w:r>
      <w:r>
        <w:rPr>
          <w:rFonts w:eastAsia="仿宋_GB2312"/>
          <w:b/>
          <w:bCs/>
          <w:color w:val="auto"/>
          <w:highlight w:val="none"/>
        </w:rPr>
        <w:instrText xml:space="preserve">TOC \o "1-1" \h \u </w:instrText>
      </w:r>
      <w:r>
        <w:rPr>
          <w:rFonts w:eastAsia="仿宋_GB2312"/>
          <w:b/>
          <w:bCs/>
          <w:color w:val="auto"/>
          <w:highlight w:val="none"/>
        </w:rPr>
        <w:fldChar w:fldCharType="separate"/>
      </w:r>
      <w:r>
        <w:rPr>
          <w:rFonts w:eastAsia="仿宋_GB2312"/>
          <w:bCs/>
          <w:color w:val="auto"/>
          <w:highlight w:val="none"/>
        </w:rPr>
        <w:fldChar w:fldCharType="begin"/>
      </w:r>
      <w:r>
        <w:rPr>
          <w:rFonts w:eastAsia="仿宋_GB2312"/>
          <w:bCs/>
          <w:color w:val="auto"/>
          <w:highlight w:val="none"/>
        </w:rPr>
        <w:instrText xml:space="preserve"> HYPERLINK \l _Toc14255 </w:instrText>
      </w:r>
      <w:r>
        <w:rPr>
          <w:rFonts w:eastAsia="仿宋_GB2312"/>
          <w:bCs/>
          <w:color w:val="auto"/>
          <w:highlight w:val="none"/>
        </w:rPr>
        <w:fldChar w:fldCharType="separate"/>
      </w:r>
      <w:r>
        <w:rPr>
          <w:color w:val="auto"/>
          <w:highlight w:val="none"/>
        </w:rPr>
        <w:t>一、建设项目基本情况</w:t>
      </w:r>
      <w:r>
        <w:rPr>
          <w:color w:val="auto"/>
          <w:highlight w:val="none"/>
        </w:rPr>
        <w:tab/>
      </w:r>
      <w:r>
        <w:rPr>
          <w:color w:val="auto"/>
          <w:highlight w:val="none"/>
        </w:rPr>
        <w:fldChar w:fldCharType="begin"/>
      </w:r>
      <w:r>
        <w:rPr>
          <w:color w:val="auto"/>
          <w:highlight w:val="none"/>
        </w:rPr>
        <w:instrText xml:space="preserve"> PAGEREF _Toc14255 \h </w:instrText>
      </w:r>
      <w:r>
        <w:rPr>
          <w:color w:val="auto"/>
          <w:highlight w:val="none"/>
        </w:rPr>
        <w:fldChar w:fldCharType="separate"/>
      </w:r>
      <w:r>
        <w:rPr>
          <w:color w:val="auto"/>
          <w:highlight w:val="none"/>
        </w:rPr>
        <w:t>1</w:t>
      </w:r>
      <w:r>
        <w:rPr>
          <w:color w:val="auto"/>
          <w:highlight w:val="none"/>
        </w:rPr>
        <w:fldChar w:fldCharType="end"/>
      </w:r>
      <w:r>
        <w:rPr>
          <w:rFonts w:eastAsia="仿宋_GB2312"/>
          <w:bCs/>
          <w:color w:val="auto"/>
          <w:highlight w:val="none"/>
        </w:rPr>
        <w:fldChar w:fldCharType="end"/>
      </w:r>
    </w:p>
    <w:p w14:paraId="65520604">
      <w:pPr>
        <w:pStyle w:val="19"/>
        <w:keepNext w:val="0"/>
        <w:keepLines w:val="0"/>
        <w:pageBreakBefore w:val="0"/>
        <w:widowControl w:val="0"/>
        <w:tabs>
          <w:tab w:val="right" w:leader="dot" w:pos="8844"/>
        </w:tabs>
        <w:kinsoku/>
        <w:wordWrap/>
        <w:overflowPunct/>
        <w:topLinePunct w:val="0"/>
        <w:autoSpaceDE/>
        <w:autoSpaceDN/>
        <w:bidi w:val="0"/>
        <w:adjustRightInd/>
        <w:snapToGrid/>
        <w:ind w:firstLine="0" w:firstLineChars="0"/>
        <w:textAlignment w:val="auto"/>
        <w:rPr>
          <w:color w:val="auto"/>
          <w:highlight w:val="none"/>
        </w:rPr>
      </w:pPr>
      <w:r>
        <w:rPr>
          <w:rFonts w:eastAsia="仿宋_GB2312"/>
          <w:bCs/>
          <w:color w:val="auto"/>
          <w:highlight w:val="none"/>
        </w:rPr>
        <w:fldChar w:fldCharType="begin"/>
      </w:r>
      <w:r>
        <w:rPr>
          <w:rFonts w:eastAsia="仿宋_GB2312"/>
          <w:bCs/>
          <w:color w:val="auto"/>
          <w:highlight w:val="none"/>
        </w:rPr>
        <w:instrText xml:space="preserve"> HYPERLINK \l _Toc23764 </w:instrText>
      </w:r>
      <w:r>
        <w:rPr>
          <w:rFonts w:eastAsia="仿宋_GB2312"/>
          <w:bCs/>
          <w:color w:val="auto"/>
          <w:highlight w:val="none"/>
        </w:rPr>
        <w:fldChar w:fldCharType="separate"/>
      </w:r>
      <w:r>
        <w:rPr>
          <w:color w:val="auto"/>
          <w:highlight w:val="none"/>
        </w:rPr>
        <w:t>二、建设项目工程分析</w:t>
      </w:r>
      <w:r>
        <w:rPr>
          <w:color w:val="auto"/>
          <w:highlight w:val="none"/>
        </w:rPr>
        <w:tab/>
      </w:r>
      <w:r>
        <w:rPr>
          <w:color w:val="auto"/>
          <w:highlight w:val="none"/>
        </w:rPr>
        <w:fldChar w:fldCharType="begin"/>
      </w:r>
      <w:r>
        <w:rPr>
          <w:color w:val="auto"/>
          <w:highlight w:val="none"/>
        </w:rPr>
        <w:instrText xml:space="preserve"> PAGEREF _Toc23764 \h </w:instrText>
      </w:r>
      <w:r>
        <w:rPr>
          <w:color w:val="auto"/>
          <w:highlight w:val="none"/>
        </w:rPr>
        <w:fldChar w:fldCharType="separate"/>
      </w:r>
      <w:r>
        <w:rPr>
          <w:color w:val="auto"/>
          <w:highlight w:val="none"/>
        </w:rPr>
        <w:t>12</w:t>
      </w:r>
      <w:r>
        <w:rPr>
          <w:color w:val="auto"/>
          <w:highlight w:val="none"/>
        </w:rPr>
        <w:fldChar w:fldCharType="end"/>
      </w:r>
      <w:r>
        <w:rPr>
          <w:rFonts w:eastAsia="仿宋_GB2312"/>
          <w:bCs/>
          <w:color w:val="auto"/>
          <w:highlight w:val="none"/>
        </w:rPr>
        <w:fldChar w:fldCharType="end"/>
      </w:r>
    </w:p>
    <w:p w14:paraId="0DD96FEF">
      <w:pPr>
        <w:pStyle w:val="19"/>
        <w:keepNext w:val="0"/>
        <w:keepLines w:val="0"/>
        <w:pageBreakBefore w:val="0"/>
        <w:widowControl w:val="0"/>
        <w:tabs>
          <w:tab w:val="right" w:leader="dot" w:pos="8844"/>
        </w:tabs>
        <w:kinsoku/>
        <w:wordWrap/>
        <w:overflowPunct/>
        <w:topLinePunct w:val="0"/>
        <w:autoSpaceDE/>
        <w:autoSpaceDN/>
        <w:bidi w:val="0"/>
        <w:adjustRightInd/>
        <w:snapToGrid/>
        <w:ind w:firstLine="0" w:firstLineChars="0"/>
        <w:textAlignment w:val="auto"/>
        <w:rPr>
          <w:color w:val="auto"/>
          <w:highlight w:val="none"/>
        </w:rPr>
      </w:pPr>
      <w:r>
        <w:rPr>
          <w:rFonts w:eastAsia="仿宋_GB2312"/>
          <w:bCs/>
          <w:color w:val="auto"/>
          <w:highlight w:val="none"/>
        </w:rPr>
        <w:fldChar w:fldCharType="begin"/>
      </w:r>
      <w:r>
        <w:rPr>
          <w:rFonts w:eastAsia="仿宋_GB2312"/>
          <w:bCs/>
          <w:color w:val="auto"/>
          <w:highlight w:val="none"/>
        </w:rPr>
        <w:instrText xml:space="preserve"> HYPERLINK \l _Toc3788 </w:instrText>
      </w:r>
      <w:r>
        <w:rPr>
          <w:rFonts w:eastAsia="仿宋_GB2312"/>
          <w:bCs/>
          <w:color w:val="auto"/>
          <w:highlight w:val="none"/>
        </w:rPr>
        <w:fldChar w:fldCharType="separate"/>
      </w:r>
      <w:r>
        <w:rPr>
          <w:color w:val="auto"/>
          <w:highlight w:val="none"/>
        </w:rPr>
        <w:t>三、区域环境质量现状、环境保护目标及评价标准</w:t>
      </w:r>
      <w:r>
        <w:rPr>
          <w:color w:val="auto"/>
          <w:highlight w:val="none"/>
        </w:rPr>
        <w:tab/>
      </w:r>
      <w:r>
        <w:rPr>
          <w:color w:val="auto"/>
          <w:highlight w:val="none"/>
        </w:rPr>
        <w:fldChar w:fldCharType="begin"/>
      </w:r>
      <w:r>
        <w:rPr>
          <w:color w:val="auto"/>
          <w:highlight w:val="none"/>
        </w:rPr>
        <w:instrText xml:space="preserve"> PAGEREF _Toc3788 \h </w:instrText>
      </w:r>
      <w:r>
        <w:rPr>
          <w:color w:val="auto"/>
          <w:highlight w:val="none"/>
        </w:rPr>
        <w:fldChar w:fldCharType="separate"/>
      </w:r>
      <w:r>
        <w:rPr>
          <w:color w:val="auto"/>
          <w:highlight w:val="none"/>
        </w:rPr>
        <w:t>26</w:t>
      </w:r>
      <w:r>
        <w:rPr>
          <w:color w:val="auto"/>
          <w:highlight w:val="none"/>
        </w:rPr>
        <w:fldChar w:fldCharType="end"/>
      </w:r>
      <w:r>
        <w:rPr>
          <w:rFonts w:eastAsia="仿宋_GB2312"/>
          <w:bCs/>
          <w:color w:val="auto"/>
          <w:highlight w:val="none"/>
        </w:rPr>
        <w:fldChar w:fldCharType="end"/>
      </w:r>
    </w:p>
    <w:p w14:paraId="6CD47BE7">
      <w:pPr>
        <w:pStyle w:val="19"/>
        <w:keepNext w:val="0"/>
        <w:keepLines w:val="0"/>
        <w:pageBreakBefore w:val="0"/>
        <w:widowControl w:val="0"/>
        <w:tabs>
          <w:tab w:val="right" w:leader="dot" w:pos="8844"/>
        </w:tabs>
        <w:kinsoku/>
        <w:wordWrap/>
        <w:overflowPunct/>
        <w:topLinePunct w:val="0"/>
        <w:autoSpaceDE/>
        <w:autoSpaceDN/>
        <w:bidi w:val="0"/>
        <w:adjustRightInd/>
        <w:snapToGrid/>
        <w:ind w:firstLine="0" w:firstLineChars="0"/>
        <w:textAlignment w:val="auto"/>
        <w:rPr>
          <w:color w:val="auto"/>
          <w:highlight w:val="none"/>
        </w:rPr>
      </w:pPr>
      <w:r>
        <w:rPr>
          <w:rFonts w:eastAsia="仿宋_GB2312"/>
          <w:bCs/>
          <w:color w:val="auto"/>
          <w:highlight w:val="none"/>
        </w:rPr>
        <w:fldChar w:fldCharType="begin"/>
      </w:r>
      <w:r>
        <w:rPr>
          <w:rFonts w:eastAsia="仿宋_GB2312"/>
          <w:bCs/>
          <w:color w:val="auto"/>
          <w:highlight w:val="none"/>
        </w:rPr>
        <w:instrText xml:space="preserve"> HYPERLINK \l _Toc14169 </w:instrText>
      </w:r>
      <w:r>
        <w:rPr>
          <w:rFonts w:eastAsia="仿宋_GB2312"/>
          <w:bCs/>
          <w:color w:val="auto"/>
          <w:highlight w:val="none"/>
        </w:rPr>
        <w:fldChar w:fldCharType="separate"/>
      </w:r>
      <w:r>
        <w:rPr>
          <w:rFonts w:hint="eastAsia"/>
          <w:color w:val="auto"/>
          <w:highlight w:val="none"/>
        </w:rPr>
        <w:t>四、主要环境影响和保护措施</w:t>
      </w:r>
      <w:r>
        <w:rPr>
          <w:color w:val="auto"/>
          <w:highlight w:val="none"/>
        </w:rPr>
        <w:tab/>
      </w:r>
      <w:r>
        <w:rPr>
          <w:color w:val="auto"/>
          <w:highlight w:val="none"/>
        </w:rPr>
        <w:fldChar w:fldCharType="begin"/>
      </w:r>
      <w:r>
        <w:rPr>
          <w:color w:val="auto"/>
          <w:highlight w:val="none"/>
        </w:rPr>
        <w:instrText xml:space="preserve"> PAGEREF _Toc14169 \h </w:instrText>
      </w:r>
      <w:r>
        <w:rPr>
          <w:color w:val="auto"/>
          <w:highlight w:val="none"/>
        </w:rPr>
        <w:fldChar w:fldCharType="separate"/>
      </w:r>
      <w:r>
        <w:rPr>
          <w:color w:val="auto"/>
          <w:highlight w:val="none"/>
        </w:rPr>
        <w:t>39</w:t>
      </w:r>
      <w:r>
        <w:rPr>
          <w:color w:val="auto"/>
          <w:highlight w:val="none"/>
        </w:rPr>
        <w:fldChar w:fldCharType="end"/>
      </w:r>
      <w:r>
        <w:rPr>
          <w:rFonts w:eastAsia="仿宋_GB2312"/>
          <w:bCs/>
          <w:color w:val="auto"/>
          <w:highlight w:val="none"/>
        </w:rPr>
        <w:fldChar w:fldCharType="end"/>
      </w:r>
    </w:p>
    <w:p w14:paraId="356EC28F">
      <w:pPr>
        <w:pStyle w:val="19"/>
        <w:keepNext w:val="0"/>
        <w:keepLines w:val="0"/>
        <w:pageBreakBefore w:val="0"/>
        <w:widowControl w:val="0"/>
        <w:tabs>
          <w:tab w:val="right" w:leader="dot" w:pos="8844"/>
        </w:tabs>
        <w:kinsoku/>
        <w:wordWrap/>
        <w:overflowPunct/>
        <w:topLinePunct w:val="0"/>
        <w:autoSpaceDE/>
        <w:autoSpaceDN/>
        <w:bidi w:val="0"/>
        <w:adjustRightInd/>
        <w:snapToGrid/>
        <w:ind w:firstLine="0" w:firstLineChars="0"/>
        <w:textAlignment w:val="auto"/>
        <w:rPr>
          <w:color w:val="auto"/>
          <w:highlight w:val="none"/>
        </w:rPr>
      </w:pPr>
      <w:r>
        <w:rPr>
          <w:rFonts w:eastAsia="仿宋_GB2312"/>
          <w:bCs/>
          <w:color w:val="auto"/>
          <w:highlight w:val="none"/>
        </w:rPr>
        <w:fldChar w:fldCharType="begin"/>
      </w:r>
      <w:r>
        <w:rPr>
          <w:rFonts w:eastAsia="仿宋_GB2312"/>
          <w:bCs/>
          <w:color w:val="auto"/>
          <w:highlight w:val="none"/>
        </w:rPr>
        <w:instrText xml:space="preserve"> HYPERLINK \l _Toc23108 </w:instrText>
      </w:r>
      <w:r>
        <w:rPr>
          <w:rFonts w:eastAsia="仿宋_GB2312"/>
          <w:bCs/>
          <w:color w:val="auto"/>
          <w:highlight w:val="none"/>
        </w:rPr>
        <w:fldChar w:fldCharType="separate"/>
      </w:r>
      <w:r>
        <w:rPr>
          <w:color w:val="auto"/>
          <w:highlight w:val="none"/>
        </w:rPr>
        <w:t>五、环境保护措施监督检查清单</w:t>
      </w:r>
      <w:r>
        <w:rPr>
          <w:color w:val="auto"/>
          <w:highlight w:val="none"/>
        </w:rPr>
        <w:tab/>
      </w:r>
      <w:r>
        <w:rPr>
          <w:color w:val="auto"/>
          <w:highlight w:val="none"/>
        </w:rPr>
        <w:fldChar w:fldCharType="begin"/>
      </w:r>
      <w:r>
        <w:rPr>
          <w:color w:val="auto"/>
          <w:highlight w:val="none"/>
        </w:rPr>
        <w:instrText xml:space="preserve"> PAGEREF _Toc23108 \h </w:instrText>
      </w:r>
      <w:r>
        <w:rPr>
          <w:color w:val="auto"/>
          <w:highlight w:val="none"/>
        </w:rPr>
        <w:fldChar w:fldCharType="separate"/>
      </w:r>
      <w:r>
        <w:rPr>
          <w:color w:val="auto"/>
          <w:highlight w:val="none"/>
        </w:rPr>
        <w:t>75</w:t>
      </w:r>
      <w:r>
        <w:rPr>
          <w:color w:val="auto"/>
          <w:highlight w:val="none"/>
        </w:rPr>
        <w:fldChar w:fldCharType="end"/>
      </w:r>
      <w:r>
        <w:rPr>
          <w:rFonts w:eastAsia="仿宋_GB2312"/>
          <w:bCs/>
          <w:color w:val="auto"/>
          <w:highlight w:val="none"/>
        </w:rPr>
        <w:fldChar w:fldCharType="end"/>
      </w:r>
    </w:p>
    <w:p w14:paraId="61CD26CF">
      <w:pPr>
        <w:pStyle w:val="19"/>
        <w:keepNext w:val="0"/>
        <w:keepLines w:val="0"/>
        <w:pageBreakBefore w:val="0"/>
        <w:widowControl w:val="0"/>
        <w:tabs>
          <w:tab w:val="right" w:leader="dot" w:pos="8844"/>
        </w:tabs>
        <w:kinsoku/>
        <w:wordWrap/>
        <w:overflowPunct/>
        <w:topLinePunct w:val="0"/>
        <w:autoSpaceDE/>
        <w:autoSpaceDN/>
        <w:bidi w:val="0"/>
        <w:adjustRightInd/>
        <w:snapToGrid/>
        <w:ind w:firstLine="0" w:firstLineChars="0"/>
        <w:textAlignment w:val="auto"/>
        <w:rPr>
          <w:color w:val="auto"/>
          <w:highlight w:val="none"/>
        </w:rPr>
      </w:pPr>
      <w:r>
        <w:rPr>
          <w:rFonts w:eastAsia="仿宋_GB2312"/>
          <w:bCs/>
          <w:color w:val="auto"/>
          <w:highlight w:val="none"/>
        </w:rPr>
        <w:fldChar w:fldCharType="begin"/>
      </w:r>
      <w:r>
        <w:rPr>
          <w:rFonts w:eastAsia="仿宋_GB2312"/>
          <w:bCs/>
          <w:color w:val="auto"/>
          <w:highlight w:val="none"/>
        </w:rPr>
        <w:instrText xml:space="preserve"> HYPERLINK \l _Toc21506 </w:instrText>
      </w:r>
      <w:r>
        <w:rPr>
          <w:rFonts w:eastAsia="仿宋_GB2312"/>
          <w:bCs/>
          <w:color w:val="auto"/>
          <w:highlight w:val="none"/>
        </w:rPr>
        <w:fldChar w:fldCharType="separate"/>
      </w:r>
      <w:r>
        <w:rPr>
          <w:rFonts w:hint="eastAsia"/>
          <w:snapToGrid w:val="0"/>
          <w:color w:val="auto"/>
          <w:highlight w:val="none"/>
        </w:rPr>
        <w:t>六</w:t>
      </w:r>
      <w:r>
        <w:rPr>
          <w:color w:val="auto"/>
          <w:highlight w:val="none"/>
        </w:rPr>
        <w:t>、</w:t>
      </w:r>
      <w:r>
        <w:rPr>
          <w:rFonts w:hint="eastAsia"/>
          <w:color w:val="auto"/>
          <w:highlight w:val="none"/>
        </w:rPr>
        <w:t>结论</w:t>
      </w:r>
      <w:r>
        <w:rPr>
          <w:color w:val="auto"/>
          <w:highlight w:val="none"/>
        </w:rPr>
        <w:tab/>
      </w:r>
      <w:r>
        <w:rPr>
          <w:color w:val="auto"/>
          <w:highlight w:val="none"/>
        </w:rPr>
        <w:fldChar w:fldCharType="begin"/>
      </w:r>
      <w:r>
        <w:rPr>
          <w:color w:val="auto"/>
          <w:highlight w:val="none"/>
        </w:rPr>
        <w:instrText xml:space="preserve"> PAGEREF _Toc21506 \h </w:instrText>
      </w:r>
      <w:r>
        <w:rPr>
          <w:color w:val="auto"/>
          <w:highlight w:val="none"/>
        </w:rPr>
        <w:fldChar w:fldCharType="separate"/>
      </w:r>
      <w:r>
        <w:rPr>
          <w:color w:val="auto"/>
          <w:highlight w:val="none"/>
        </w:rPr>
        <w:t>82</w:t>
      </w:r>
      <w:r>
        <w:rPr>
          <w:color w:val="auto"/>
          <w:highlight w:val="none"/>
        </w:rPr>
        <w:fldChar w:fldCharType="end"/>
      </w:r>
      <w:r>
        <w:rPr>
          <w:rFonts w:eastAsia="仿宋_GB2312"/>
          <w:bCs/>
          <w:color w:val="auto"/>
          <w:highlight w:val="none"/>
        </w:rPr>
        <w:fldChar w:fldCharType="end"/>
      </w:r>
    </w:p>
    <w:p w14:paraId="107D26B6">
      <w:pPr>
        <w:pStyle w:val="19"/>
        <w:keepNext w:val="0"/>
        <w:keepLines w:val="0"/>
        <w:pageBreakBefore w:val="0"/>
        <w:widowControl w:val="0"/>
        <w:tabs>
          <w:tab w:val="right" w:leader="dot" w:pos="8844"/>
        </w:tabs>
        <w:kinsoku/>
        <w:wordWrap/>
        <w:overflowPunct/>
        <w:topLinePunct w:val="0"/>
        <w:autoSpaceDE/>
        <w:autoSpaceDN/>
        <w:bidi w:val="0"/>
        <w:adjustRightInd/>
        <w:snapToGrid/>
        <w:ind w:firstLine="0" w:firstLineChars="0"/>
        <w:textAlignment w:val="auto"/>
        <w:rPr>
          <w:color w:val="auto"/>
          <w:highlight w:val="none"/>
        </w:rPr>
      </w:pPr>
      <w:r>
        <w:rPr>
          <w:rFonts w:eastAsia="仿宋_GB2312"/>
          <w:bCs/>
          <w:color w:val="auto"/>
          <w:highlight w:val="none"/>
        </w:rPr>
        <w:fldChar w:fldCharType="begin"/>
      </w:r>
      <w:r>
        <w:rPr>
          <w:rFonts w:eastAsia="仿宋_GB2312"/>
          <w:bCs/>
          <w:color w:val="auto"/>
          <w:highlight w:val="none"/>
        </w:rPr>
        <w:instrText xml:space="preserve"> HYPERLINK \l _Toc22202 </w:instrText>
      </w:r>
      <w:r>
        <w:rPr>
          <w:rFonts w:eastAsia="仿宋_GB2312"/>
          <w:bCs/>
          <w:color w:val="auto"/>
          <w:highlight w:val="none"/>
        </w:rPr>
        <w:fldChar w:fldCharType="separate"/>
      </w:r>
      <w:r>
        <w:rPr>
          <w:color w:val="auto"/>
          <w:highlight w:val="none"/>
        </w:rPr>
        <w:t>附表</w:t>
      </w:r>
      <w:r>
        <w:rPr>
          <w:color w:val="auto"/>
          <w:highlight w:val="none"/>
        </w:rPr>
        <w:tab/>
      </w:r>
      <w:r>
        <w:rPr>
          <w:color w:val="auto"/>
          <w:highlight w:val="none"/>
        </w:rPr>
        <w:fldChar w:fldCharType="begin"/>
      </w:r>
      <w:r>
        <w:rPr>
          <w:color w:val="auto"/>
          <w:highlight w:val="none"/>
        </w:rPr>
        <w:instrText xml:space="preserve"> PAGEREF _Toc22202 \h </w:instrText>
      </w:r>
      <w:r>
        <w:rPr>
          <w:color w:val="auto"/>
          <w:highlight w:val="none"/>
        </w:rPr>
        <w:fldChar w:fldCharType="separate"/>
      </w:r>
      <w:r>
        <w:rPr>
          <w:color w:val="auto"/>
          <w:highlight w:val="none"/>
        </w:rPr>
        <w:t>83</w:t>
      </w:r>
      <w:r>
        <w:rPr>
          <w:color w:val="auto"/>
          <w:highlight w:val="none"/>
        </w:rPr>
        <w:fldChar w:fldCharType="end"/>
      </w:r>
      <w:r>
        <w:rPr>
          <w:rFonts w:eastAsia="仿宋_GB2312"/>
          <w:bCs/>
          <w:color w:val="auto"/>
          <w:highlight w:val="none"/>
        </w:rPr>
        <w:fldChar w:fldCharType="end"/>
      </w:r>
    </w:p>
    <w:p w14:paraId="57CF1D22">
      <w:pPr>
        <w:pStyle w:val="19"/>
        <w:keepNext w:val="0"/>
        <w:keepLines w:val="0"/>
        <w:pageBreakBefore w:val="0"/>
        <w:widowControl w:val="0"/>
        <w:tabs>
          <w:tab w:val="right" w:leader="dot" w:pos="8844"/>
        </w:tabs>
        <w:kinsoku/>
        <w:wordWrap/>
        <w:overflowPunct/>
        <w:topLinePunct w:val="0"/>
        <w:autoSpaceDE/>
        <w:autoSpaceDN/>
        <w:bidi w:val="0"/>
        <w:adjustRightInd/>
        <w:snapToGrid/>
        <w:ind w:firstLine="0" w:firstLineChars="0"/>
        <w:textAlignment w:val="auto"/>
        <w:rPr>
          <w:color w:val="auto"/>
          <w:highlight w:val="none"/>
        </w:rPr>
      </w:pPr>
      <w:r>
        <w:rPr>
          <w:rFonts w:eastAsia="仿宋_GB2312"/>
          <w:bCs/>
          <w:color w:val="auto"/>
          <w:highlight w:val="none"/>
        </w:rPr>
        <w:fldChar w:fldCharType="begin"/>
      </w:r>
      <w:r>
        <w:rPr>
          <w:rFonts w:eastAsia="仿宋_GB2312"/>
          <w:bCs/>
          <w:color w:val="auto"/>
          <w:highlight w:val="none"/>
        </w:rPr>
        <w:instrText xml:space="preserve"> HYPERLINK \l _Toc30825 </w:instrText>
      </w:r>
      <w:r>
        <w:rPr>
          <w:rFonts w:eastAsia="仿宋_GB2312"/>
          <w:bCs/>
          <w:color w:val="auto"/>
          <w:highlight w:val="none"/>
        </w:rPr>
        <w:fldChar w:fldCharType="separate"/>
      </w:r>
      <w:r>
        <w:rPr>
          <w:rFonts w:hint="eastAsia"/>
          <w:color w:val="auto"/>
          <w:highlight w:val="none"/>
        </w:rPr>
        <w:t>附图1</w:t>
      </w:r>
      <w:r>
        <w:rPr>
          <w:color w:val="auto"/>
          <w:highlight w:val="none"/>
        </w:rPr>
        <w:t xml:space="preserve"> </w:t>
      </w:r>
      <w:r>
        <w:rPr>
          <w:rFonts w:hint="eastAsia"/>
          <w:color w:val="auto"/>
          <w:highlight w:val="none"/>
        </w:rPr>
        <w:t>项目地理位置图</w:t>
      </w:r>
      <w:r>
        <w:rPr>
          <w:color w:val="auto"/>
          <w:highlight w:val="none"/>
        </w:rPr>
        <w:tab/>
      </w:r>
      <w:r>
        <w:rPr>
          <w:color w:val="auto"/>
          <w:highlight w:val="none"/>
        </w:rPr>
        <w:fldChar w:fldCharType="begin"/>
      </w:r>
      <w:r>
        <w:rPr>
          <w:color w:val="auto"/>
          <w:highlight w:val="none"/>
        </w:rPr>
        <w:instrText xml:space="preserve"> PAGEREF _Toc30825 \h </w:instrText>
      </w:r>
      <w:r>
        <w:rPr>
          <w:color w:val="auto"/>
          <w:highlight w:val="none"/>
        </w:rPr>
        <w:fldChar w:fldCharType="separate"/>
      </w:r>
      <w:r>
        <w:rPr>
          <w:color w:val="auto"/>
          <w:highlight w:val="none"/>
        </w:rPr>
        <w:t>85</w:t>
      </w:r>
      <w:r>
        <w:rPr>
          <w:color w:val="auto"/>
          <w:highlight w:val="none"/>
        </w:rPr>
        <w:fldChar w:fldCharType="end"/>
      </w:r>
      <w:r>
        <w:rPr>
          <w:rFonts w:eastAsia="仿宋_GB2312"/>
          <w:bCs/>
          <w:color w:val="auto"/>
          <w:highlight w:val="none"/>
        </w:rPr>
        <w:fldChar w:fldCharType="end"/>
      </w:r>
    </w:p>
    <w:p w14:paraId="4EC330E7">
      <w:pPr>
        <w:pStyle w:val="19"/>
        <w:keepNext w:val="0"/>
        <w:keepLines w:val="0"/>
        <w:pageBreakBefore w:val="0"/>
        <w:widowControl w:val="0"/>
        <w:tabs>
          <w:tab w:val="right" w:leader="dot" w:pos="8844"/>
        </w:tabs>
        <w:kinsoku/>
        <w:wordWrap/>
        <w:overflowPunct/>
        <w:topLinePunct w:val="0"/>
        <w:autoSpaceDE/>
        <w:autoSpaceDN/>
        <w:bidi w:val="0"/>
        <w:adjustRightInd/>
        <w:snapToGrid/>
        <w:ind w:firstLine="0" w:firstLineChars="0"/>
        <w:textAlignment w:val="auto"/>
        <w:rPr>
          <w:color w:val="auto"/>
          <w:highlight w:val="none"/>
        </w:rPr>
      </w:pPr>
      <w:r>
        <w:rPr>
          <w:rFonts w:eastAsia="仿宋_GB2312"/>
          <w:bCs/>
          <w:color w:val="auto"/>
          <w:highlight w:val="none"/>
        </w:rPr>
        <w:fldChar w:fldCharType="begin"/>
      </w:r>
      <w:r>
        <w:rPr>
          <w:rFonts w:eastAsia="仿宋_GB2312"/>
          <w:bCs/>
          <w:color w:val="auto"/>
          <w:highlight w:val="none"/>
        </w:rPr>
        <w:instrText xml:space="preserve"> HYPERLINK \l _Toc26820 </w:instrText>
      </w:r>
      <w:r>
        <w:rPr>
          <w:rFonts w:eastAsia="仿宋_GB2312"/>
          <w:bCs/>
          <w:color w:val="auto"/>
          <w:highlight w:val="none"/>
        </w:rPr>
        <w:fldChar w:fldCharType="separate"/>
      </w:r>
      <w:r>
        <w:rPr>
          <w:rFonts w:hint="eastAsia"/>
          <w:color w:val="auto"/>
          <w:highlight w:val="none"/>
        </w:rPr>
        <w:t>附图2 项目周边环境保护目标分布图</w:t>
      </w:r>
      <w:r>
        <w:rPr>
          <w:color w:val="auto"/>
          <w:highlight w:val="none"/>
        </w:rPr>
        <w:tab/>
      </w:r>
      <w:r>
        <w:rPr>
          <w:color w:val="auto"/>
          <w:highlight w:val="none"/>
        </w:rPr>
        <w:fldChar w:fldCharType="begin"/>
      </w:r>
      <w:r>
        <w:rPr>
          <w:color w:val="auto"/>
          <w:highlight w:val="none"/>
        </w:rPr>
        <w:instrText xml:space="preserve"> PAGEREF _Toc26820 \h </w:instrText>
      </w:r>
      <w:r>
        <w:rPr>
          <w:color w:val="auto"/>
          <w:highlight w:val="none"/>
        </w:rPr>
        <w:fldChar w:fldCharType="separate"/>
      </w:r>
      <w:r>
        <w:rPr>
          <w:color w:val="auto"/>
          <w:highlight w:val="none"/>
        </w:rPr>
        <w:t>86</w:t>
      </w:r>
      <w:r>
        <w:rPr>
          <w:color w:val="auto"/>
          <w:highlight w:val="none"/>
        </w:rPr>
        <w:fldChar w:fldCharType="end"/>
      </w:r>
      <w:r>
        <w:rPr>
          <w:rFonts w:eastAsia="仿宋_GB2312"/>
          <w:bCs/>
          <w:color w:val="auto"/>
          <w:highlight w:val="none"/>
        </w:rPr>
        <w:fldChar w:fldCharType="end"/>
      </w:r>
    </w:p>
    <w:p w14:paraId="511F0786">
      <w:pPr>
        <w:pStyle w:val="19"/>
        <w:keepNext w:val="0"/>
        <w:keepLines w:val="0"/>
        <w:pageBreakBefore w:val="0"/>
        <w:widowControl w:val="0"/>
        <w:tabs>
          <w:tab w:val="right" w:leader="dot" w:pos="8844"/>
        </w:tabs>
        <w:kinsoku/>
        <w:wordWrap/>
        <w:overflowPunct/>
        <w:topLinePunct w:val="0"/>
        <w:autoSpaceDE/>
        <w:autoSpaceDN/>
        <w:bidi w:val="0"/>
        <w:adjustRightInd/>
        <w:snapToGrid/>
        <w:ind w:firstLine="0" w:firstLineChars="0"/>
        <w:textAlignment w:val="auto"/>
        <w:rPr>
          <w:color w:val="auto"/>
          <w:highlight w:val="none"/>
        </w:rPr>
      </w:pPr>
      <w:r>
        <w:rPr>
          <w:rFonts w:eastAsia="仿宋_GB2312"/>
          <w:bCs/>
          <w:color w:val="auto"/>
          <w:highlight w:val="none"/>
        </w:rPr>
        <w:fldChar w:fldCharType="begin"/>
      </w:r>
      <w:r>
        <w:rPr>
          <w:rFonts w:eastAsia="仿宋_GB2312"/>
          <w:bCs/>
          <w:color w:val="auto"/>
          <w:highlight w:val="none"/>
        </w:rPr>
        <w:instrText xml:space="preserve"> HYPERLINK \l _Toc24237 </w:instrText>
      </w:r>
      <w:r>
        <w:rPr>
          <w:rFonts w:eastAsia="仿宋_GB2312"/>
          <w:bCs/>
          <w:color w:val="auto"/>
          <w:highlight w:val="none"/>
        </w:rPr>
        <w:fldChar w:fldCharType="separate"/>
      </w:r>
      <w:r>
        <w:rPr>
          <w:rFonts w:hint="eastAsia"/>
          <w:color w:val="auto"/>
          <w:highlight w:val="none"/>
        </w:rPr>
        <w:t>附图3</w:t>
      </w:r>
      <w:r>
        <w:rPr>
          <w:color w:val="auto"/>
          <w:highlight w:val="none"/>
        </w:rPr>
        <w:t xml:space="preserve"> </w:t>
      </w:r>
      <w:r>
        <w:rPr>
          <w:rFonts w:hint="eastAsia"/>
          <w:color w:val="auto"/>
          <w:highlight w:val="none"/>
        </w:rPr>
        <w:t>项目总平面布置图</w:t>
      </w:r>
      <w:r>
        <w:rPr>
          <w:color w:val="auto"/>
          <w:highlight w:val="none"/>
        </w:rPr>
        <w:tab/>
      </w:r>
      <w:r>
        <w:rPr>
          <w:color w:val="auto"/>
          <w:highlight w:val="none"/>
        </w:rPr>
        <w:fldChar w:fldCharType="begin"/>
      </w:r>
      <w:r>
        <w:rPr>
          <w:color w:val="auto"/>
          <w:highlight w:val="none"/>
        </w:rPr>
        <w:instrText xml:space="preserve"> PAGEREF _Toc24237 \h </w:instrText>
      </w:r>
      <w:r>
        <w:rPr>
          <w:color w:val="auto"/>
          <w:highlight w:val="none"/>
        </w:rPr>
        <w:fldChar w:fldCharType="separate"/>
      </w:r>
      <w:r>
        <w:rPr>
          <w:color w:val="auto"/>
          <w:highlight w:val="none"/>
        </w:rPr>
        <w:t>87</w:t>
      </w:r>
      <w:r>
        <w:rPr>
          <w:color w:val="auto"/>
          <w:highlight w:val="none"/>
        </w:rPr>
        <w:fldChar w:fldCharType="end"/>
      </w:r>
      <w:r>
        <w:rPr>
          <w:rFonts w:eastAsia="仿宋_GB2312"/>
          <w:bCs/>
          <w:color w:val="auto"/>
          <w:highlight w:val="none"/>
        </w:rPr>
        <w:fldChar w:fldCharType="end"/>
      </w:r>
    </w:p>
    <w:p w14:paraId="5FDBC8C0">
      <w:pPr>
        <w:pStyle w:val="19"/>
        <w:keepNext w:val="0"/>
        <w:keepLines w:val="0"/>
        <w:pageBreakBefore w:val="0"/>
        <w:widowControl w:val="0"/>
        <w:tabs>
          <w:tab w:val="right" w:leader="dot" w:pos="8844"/>
        </w:tabs>
        <w:kinsoku/>
        <w:wordWrap/>
        <w:overflowPunct/>
        <w:topLinePunct w:val="0"/>
        <w:autoSpaceDE/>
        <w:autoSpaceDN/>
        <w:bidi w:val="0"/>
        <w:adjustRightInd/>
        <w:snapToGrid/>
        <w:ind w:firstLine="0" w:firstLineChars="0"/>
        <w:textAlignment w:val="auto"/>
        <w:rPr>
          <w:color w:val="auto"/>
          <w:highlight w:val="none"/>
        </w:rPr>
      </w:pPr>
      <w:r>
        <w:rPr>
          <w:rFonts w:eastAsia="仿宋_GB2312"/>
          <w:bCs/>
          <w:color w:val="auto"/>
          <w:highlight w:val="none"/>
        </w:rPr>
        <w:fldChar w:fldCharType="begin"/>
      </w:r>
      <w:r>
        <w:rPr>
          <w:rFonts w:eastAsia="仿宋_GB2312"/>
          <w:bCs/>
          <w:color w:val="auto"/>
          <w:highlight w:val="none"/>
        </w:rPr>
        <w:instrText xml:space="preserve"> HYPERLINK \l _Toc4730 </w:instrText>
      </w:r>
      <w:r>
        <w:rPr>
          <w:rFonts w:eastAsia="仿宋_GB2312"/>
          <w:bCs/>
          <w:color w:val="auto"/>
          <w:highlight w:val="none"/>
        </w:rPr>
        <w:fldChar w:fldCharType="separate"/>
      </w:r>
      <w:r>
        <w:rPr>
          <w:rFonts w:hint="eastAsia"/>
          <w:color w:val="auto"/>
          <w:highlight w:val="none"/>
        </w:rPr>
        <w:t>附图4 项目雨污水管网图</w:t>
      </w:r>
      <w:r>
        <w:rPr>
          <w:color w:val="auto"/>
          <w:highlight w:val="none"/>
        </w:rPr>
        <w:tab/>
      </w:r>
      <w:r>
        <w:rPr>
          <w:color w:val="auto"/>
          <w:highlight w:val="none"/>
        </w:rPr>
        <w:fldChar w:fldCharType="begin"/>
      </w:r>
      <w:r>
        <w:rPr>
          <w:color w:val="auto"/>
          <w:highlight w:val="none"/>
        </w:rPr>
        <w:instrText xml:space="preserve"> PAGEREF _Toc4730 \h </w:instrText>
      </w:r>
      <w:r>
        <w:rPr>
          <w:color w:val="auto"/>
          <w:highlight w:val="none"/>
        </w:rPr>
        <w:fldChar w:fldCharType="separate"/>
      </w:r>
      <w:r>
        <w:rPr>
          <w:color w:val="auto"/>
          <w:highlight w:val="none"/>
        </w:rPr>
        <w:t>88</w:t>
      </w:r>
      <w:r>
        <w:rPr>
          <w:color w:val="auto"/>
          <w:highlight w:val="none"/>
        </w:rPr>
        <w:fldChar w:fldCharType="end"/>
      </w:r>
      <w:r>
        <w:rPr>
          <w:rFonts w:eastAsia="仿宋_GB2312"/>
          <w:bCs/>
          <w:color w:val="auto"/>
          <w:highlight w:val="none"/>
        </w:rPr>
        <w:fldChar w:fldCharType="end"/>
      </w:r>
    </w:p>
    <w:p w14:paraId="0293A33C">
      <w:pPr>
        <w:pStyle w:val="19"/>
        <w:keepNext w:val="0"/>
        <w:keepLines w:val="0"/>
        <w:pageBreakBefore w:val="0"/>
        <w:widowControl w:val="0"/>
        <w:tabs>
          <w:tab w:val="right" w:leader="dot" w:pos="8844"/>
        </w:tabs>
        <w:kinsoku/>
        <w:wordWrap/>
        <w:overflowPunct/>
        <w:topLinePunct w:val="0"/>
        <w:autoSpaceDE/>
        <w:autoSpaceDN/>
        <w:bidi w:val="0"/>
        <w:adjustRightInd/>
        <w:snapToGrid/>
        <w:ind w:firstLine="0" w:firstLineChars="0"/>
        <w:textAlignment w:val="auto"/>
        <w:rPr>
          <w:color w:val="auto"/>
          <w:highlight w:val="none"/>
        </w:rPr>
      </w:pPr>
      <w:r>
        <w:rPr>
          <w:rFonts w:eastAsia="仿宋_GB2312"/>
          <w:bCs/>
          <w:color w:val="auto"/>
          <w:highlight w:val="none"/>
        </w:rPr>
        <w:fldChar w:fldCharType="begin"/>
      </w:r>
      <w:r>
        <w:rPr>
          <w:rFonts w:eastAsia="仿宋_GB2312"/>
          <w:bCs/>
          <w:color w:val="auto"/>
          <w:highlight w:val="none"/>
        </w:rPr>
        <w:instrText xml:space="preserve"> HYPERLINK \l _Toc14121 </w:instrText>
      </w:r>
      <w:r>
        <w:rPr>
          <w:rFonts w:eastAsia="仿宋_GB2312"/>
          <w:bCs/>
          <w:color w:val="auto"/>
          <w:highlight w:val="none"/>
        </w:rPr>
        <w:fldChar w:fldCharType="separate"/>
      </w:r>
      <w:r>
        <w:rPr>
          <w:rFonts w:hint="eastAsia"/>
          <w:color w:val="auto"/>
          <w:highlight w:val="none"/>
        </w:rPr>
        <w:t>附图5 控制性详细规划土地利用规划图</w:t>
      </w:r>
      <w:r>
        <w:rPr>
          <w:color w:val="auto"/>
          <w:highlight w:val="none"/>
        </w:rPr>
        <w:tab/>
      </w:r>
      <w:r>
        <w:rPr>
          <w:color w:val="auto"/>
          <w:highlight w:val="none"/>
        </w:rPr>
        <w:fldChar w:fldCharType="begin"/>
      </w:r>
      <w:r>
        <w:rPr>
          <w:color w:val="auto"/>
          <w:highlight w:val="none"/>
        </w:rPr>
        <w:instrText xml:space="preserve"> PAGEREF _Toc14121 \h </w:instrText>
      </w:r>
      <w:r>
        <w:rPr>
          <w:color w:val="auto"/>
          <w:highlight w:val="none"/>
        </w:rPr>
        <w:fldChar w:fldCharType="separate"/>
      </w:r>
      <w:r>
        <w:rPr>
          <w:color w:val="auto"/>
          <w:highlight w:val="none"/>
        </w:rPr>
        <w:t>89</w:t>
      </w:r>
      <w:r>
        <w:rPr>
          <w:color w:val="auto"/>
          <w:highlight w:val="none"/>
        </w:rPr>
        <w:fldChar w:fldCharType="end"/>
      </w:r>
      <w:r>
        <w:rPr>
          <w:rFonts w:eastAsia="仿宋_GB2312"/>
          <w:bCs/>
          <w:color w:val="auto"/>
          <w:highlight w:val="none"/>
        </w:rPr>
        <w:fldChar w:fldCharType="end"/>
      </w:r>
    </w:p>
    <w:p w14:paraId="76523A2E">
      <w:pPr>
        <w:pStyle w:val="19"/>
        <w:keepNext w:val="0"/>
        <w:keepLines w:val="0"/>
        <w:pageBreakBefore w:val="0"/>
        <w:widowControl w:val="0"/>
        <w:tabs>
          <w:tab w:val="right" w:leader="dot" w:pos="8844"/>
        </w:tabs>
        <w:kinsoku/>
        <w:wordWrap/>
        <w:overflowPunct/>
        <w:topLinePunct w:val="0"/>
        <w:autoSpaceDE/>
        <w:autoSpaceDN/>
        <w:bidi w:val="0"/>
        <w:adjustRightInd/>
        <w:snapToGrid/>
        <w:ind w:firstLine="0" w:firstLineChars="0"/>
        <w:textAlignment w:val="auto"/>
        <w:rPr>
          <w:color w:val="auto"/>
          <w:highlight w:val="none"/>
        </w:rPr>
      </w:pPr>
      <w:r>
        <w:rPr>
          <w:rFonts w:eastAsia="仿宋_GB2312"/>
          <w:bCs/>
          <w:color w:val="auto"/>
          <w:highlight w:val="none"/>
        </w:rPr>
        <w:fldChar w:fldCharType="begin"/>
      </w:r>
      <w:r>
        <w:rPr>
          <w:rFonts w:eastAsia="仿宋_GB2312"/>
          <w:bCs/>
          <w:color w:val="auto"/>
          <w:highlight w:val="none"/>
        </w:rPr>
        <w:instrText xml:space="preserve"> HYPERLINK \l _Toc18120 </w:instrText>
      </w:r>
      <w:r>
        <w:rPr>
          <w:rFonts w:eastAsia="仿宋_GB2312"/>
          <w:bCs/>
          <w:color w:val="auto"/>
          <w:highlight w:val="none"/>
        </w:rPr>
        <w:fldChar w:fldCharType="separate"/>
      </w:r>
      <w:r>
        <w:rPr>
          <w:rFonts w:hint="eastAsia"/>
          <w:color w:val="auto"/>
          <w:highlight w:val="none"/>
        </w:rPr>
        <w:t>附件1 项目委托书</w:t>
      </w:r>
      <w:r>
        <w:rPr>
          <w:color w:val="auto"/>
          <w:highlight w:val="none"/>
        </w:rPr>
        <w:tab/>
      </w:r>
      <w:r>
        <w:rPr>
          <w:color w:val="auto"/>
          <w:highlight w:val="none"/>
        </w:rPr>
        <w:fldChar w:fldCharType="begin"/>
      </w:r>
      <w:r>
        <w:rPr>
          <w:color w:val="auto"/>
          <w:highlight w:val="none"/>
        </w:rPr>
        <w:instrText xml:space="preserve"> PAGEREF _Toc18120 \h </w:instrText>
      </w:r>
      <w:r>
        <w:rPr>
          <w:color w:val="auto"/>
          <w:highlight w:val="none"/>
        </w:rPr>
        <w:fldChar w:fldCharType="separate"/>
      </w:r>
      <w:r>
        <w:rPr>
          <w:color w:val="auto"/>
          <w:highlight w:val="none"/>
        </w:rPr>
        <w:t>90</w:t>
      </w:r>
      <w:r>
        <w:rPr>
          <w:color w:val="auto"/>
          <w:highlight w:val="none"/>
        </w:rPr>
        <w:fldChar w:fldCharType="end"/>
      </w:r>
      <w:r>
        <w:rPr>
          <w:rFonts w:eastAsia="仿宋_GB2312"/>
          <w:bCs/>
          <w:color w:val="auto"/>
          <w:highlight w:val="none"/>
        </w:rPr>
        <w:fldChar w:fldCharType="end"/>
      </w:r>
    </w:p>
    <w:p w14:paraId="48B521C1">
      <w:pPr>
        <w:pStyle w:val="19"/>
        <w:keepNext w:val="0"/>
        <w:keepLines w:val="0"/>
        <w:pageBreakBefore w:val="0"/>
        <w:widowControl w:val="0"/>
        <w:tabs>
          <w:tab w:val="right" w:leader="dot" w:pos="8844"/>
        </w:tabs>
        <w:kinsoku/>
        <w:wordWrap/>
        <w:overflowPunct/>
        <w:topLinePunct w:val="0"/>
        <w:autoSpaceDE/>
        <w:autoSpaceDN/>
        <w:bidi w:val="0"/>
        <w:adjustRightInd/>
        <w:snapToGrid/>
        <w:ind w:firstLine="0" w:firstLineChars="0"/>
        <w:textAlignment w:val="auto"/>
        <w:rPr>
          <w:color w:val="auto"/>
          <w:highlight w:val="none"/>
        </w:rPr>
      </w:pPr>
      <w:r>
        <w:rPr>
          <w:rFonts w:eastAsia="仿宋_GB2312"/>
          <w:bCs/>
          <w:color w:val="auto"/>
          <w:highlight w:val="none"/>
        </w:rPr>
        <w:fldChar w:fldCharType="begin"/>
      </w:r>
      <w:r>
        <w:rPr>
          <w:rFonts w:eastAsia="仿宋_GB2312"/>
          <w:bCs/>
          <w:color w:val="auto"/>
          <w:highlight w:val="none"/>
        </w:rPr>
        <w:instrText xml:space="preserve"> HYPERLINK \l _Toc9496 </w:instrText>
      </w:r>
      <w:r>
        <w:rPr>
          <w:rFonts w:eastAsia="仿宋_GB2312"/>
          <w:bCs/>
          <w:color w:val="auto"/>
          <w:highlight w:val="none"/>
        </w:rPr>
        <w:fldChar w:fldCharType="separate"/>
      </w:r>
      <w:r>
        <w:rPr>
          <w:rFonts w:hint="eastAsia"/>
          <w:color w:val="auto"/>
          <w:highlight w:val="none"/>
        </w:rPr>
        <w:t>附件2 项目备案表</w:t>
      </w:r>
      <w:r>
        <w:rPr>
          <w:color w:val="auto"/>
          <w:highlight w:val="none"/>
        </w:rPr>
        <w:tab/>
      </w:r>
      <w:r>
        <w:rPr>
          <w:color w:val="auto"/>
          <w:highlight w:val="none"/>
        </w:rPr>
        <w:fldChar w:fldCharType="begin"/>
      </w:r>
      <w:r>
        <w:rPr>
          <w:color w:val="auto"/>
          <w:highlight w:val="none"/>
        </w:rPr>
        <w:instrText xml:space="preserve"> PAGEREF _Toc9496 \h </w:instrText>
      </w:r>
      <w:r>
        <w:rPr>
          <w:color w:val="auto"/>
          <w:highlight w:val="none"/>
        </w:rPr>
        <w:fldChar w:fldCharType="separate"/>
      </w:r>
      <w:r>
        <w:rPr>
          <w:color w:val="auto"/>
          <w:highlight w:val="none"/>
        </w:rPr>
        <w:t>91</w:t>
      </w:r>
      <w:r>
        <w:rPr>
          <w:color w:val="auto"/>
          <w:highlight w:val="none"/>
        </w:rPr>
        <w:fldChar w:fldCharType="end"/>
      </w:r>
      <w:r>
        <w:rPr>
          <w:rFonts w:eastAsia="仿宋_GB2312"/>
          <w:bCs/>
          <w:color w:val="auto"/>
          <w:highlight w:val="none"/>
        </w:rPr>
        <w:fldChar w:fldCharType="end"/>
      </w:r>
    </w:p>
    <w:p w14:paraId="2999F906">
      <w:pPr>
        <w:pStyle w:val="19"/>
        <w:keepNext w:val="0"/>
        <w:keepLines w:val="0"/>
        <w:pageBreakBefore w:val="0"/>
        <w:widowControl w:val="0"/>
        <w:tabs>
          <w:tab w:val="right" w:leader="dot" w:pos="8844"/>
        </w:tabs>
        <w:kinsoku/>
        <w:wordWrap/>
        <w:overflowPunct/>
        <w:topLinePunct w:val="0"/>
        <w:autoSpaceDE/>
        <w:autoSpaceDN/>
        <w:bidi w:val="0"/>
        <w:adjustRightInd/>
        <w:snapToGrid/>
        <w:ind w:firstLine="0" w:firstLineChars="0"/>
        <w:textAlignment w:val="auto"/>
        <w:rPr>
          <w:color w:val="auto"/>
          <w:highlight w:val="none"/>
        </w:rPr>
      </w:pPr>
      <w:r>
        <w:rPr>
          <w:rFonts w:eastAsia="仿宋_GB2312"/>
          <w:bCs/>
          <w:color w:val="auto"/>
          <w:highlight w:val="none"/>
        </w:rPr>
        <w:fldChar w:fldCharType="begin"/>
      </w:r>
      <w:r>
        <w:rPr>
          <w:rFonts w:eastAsia="仿宋_GB2312"/>
          <w:bCs/>
          <w:color w:val="auto"/>
          <w:highlight w:val="none"/>
        </w:rPr>
        <w:instrText xml:space="preserve"> HYPERLINK \l _Toc4113 </w:instrText>
      </w:r>
      <w:r>
        <w:rPr>
          <w:rFonts w:eastAsia="仿宋_GB2312"/>
          <w:bCs/>
          <w:color w:val="auto"/>
          <w:highlight w:val="none"/>
        </w:rPr>
        <w:fldChar w:fldCharType="separate"/>
      </w:r>
      <w:r>
        <w:rPr>
          <w:rFonts w:hint="eastAsia"/>
          <w:color w:val="auto"/>
          <w:highlight w:val="none"/>
        </w:rPr>
        <w:t>附件3 建设单位营业执照</w:t>
      </w:r>
      <w:r>
        <w:rPr>
          <w:color w:val="auto"/>
          <w:highlight w:val="none"/>
        </w:rPr>
        <w:tab/>
      </w:r>
      <w:r>
        <w:rPr>
          <w:color w:val="auto"/>
          <w:highlight w:val="none"/>
        </w:rPr>
        <w:fldChar w:fldCharType="begin"/>
      </w:r>
      <w:r>
        <w:rPr>
          <w:color w:val="auto"/>
          <w:highlight w:val="none"/>
        </w:rPr>
        <w:instrText xml:space="preserve"> PAGEREF _Toc4113 \h </w:instrText>
      </w:r>
      <w:r>
        <w:rPr>
          <w:color w:val="auto"/>
          <w:highlight w:val="none"/>
        </w:rPr>
        <w:fldChar w:fldCharType="separate"/>
      </w:r>
      <w:r>
        <w:rPr>
          <w:color w:val="auto"/>
          <w:highlight w:val="none"/>
        </w:rPr>
        <w:t>92</w:t>
      </w:r>
      <w:r>
        <w:rPr>
          <w:color w:val="auto"/>
          <w:highlight w:val="none"/>
        </w:rPr>
        <w:fldChar w:fldCharType="end"/>
      </w:r>
      <w:r>
        <w:rPr>
          <w:rFonts w:eastAsia="仿宋_GB2312"/>
          <w:bCs/>
          <w:color w:val="auto"/>
          <w:highlight w:val="none"/>
        </w:rPr>
        <w:fldChar w:fldCharType="end"/>
      </w:r>
    </w:p>
    <w:p w14:paraId="5D1C3531">
      <w:pPr>
        <w:pStyle w:val="19"/>
        <w:keepNext w:val="0"/>
        <w:keepLines w:val="0"/>
        <w:pageBreakBefore w:val="0"/>
        <w:widowControl w:val="0"/>
        <w:tabs>
          <w:tab w:val="right" w:leader="dot" w:pos="8844"/>
        </w:tabs>
        <w:kinsoku/>
        <w:wordWrap/>
        <w:overflowPunct/>
        <w:topLinePunct w:val="0"/>
        <w:autoSpaceDE/>
        <w:autoSpaceDN/>
        <w:bidi w:val="0"/>
        <w:adjustRightInd/>
        <w:snapToGrid/>
        <w:ind w:firstLine="0" w:firstLineChars="0"/>
        <w:textAlignment w:val="auto"/>
        <w:rPr>
          <w:color w:val="auto"/>
          <w:highlight w:val="none"/>
        </w:rPr>
      </w:pPr>
      <w:r>
        <w:rPr>
          <w:rFonts w:eastAsia="仿宋_GB2312"/>
          <w:bCs/>
          <w:color w:val="auto"/>
          <w:highlight w:val="none"/>
        </w:rPr>
        <w:fldChar w:fldCharType="begin"/>
      </w:r>
      <w:r>
        <w:rPr>
          <w:rFonts w:eastAsia="仿宋_GB2312"/>
          <w:bCs/>
          <w:color w:val="auto"/>
          <w:highlight w:val="none"/>
        </w:rPr>
        <w:instrText xml:space="preserve"> HYPERLINK \l _Toc29975 </w:instrText>
      </w:r>
      <w:r>
        <w:rPr>
          <w:rFonts w:eastAsia="仿宋_GB2312"/>
          <w:bCs/>
          <w:color w:val="auto"/>
          <w:highlight w:val="none"/>
        </w:rPr>
        <w:fldChar w:fldCharType="separate"/>
      </w:r>
      <w:r>
        <w:rPr>
          <w:rFonts w:hint="eastAsia"/>
          <w:color w:val="auto"/>
          <w:highlight w:val="none"/>
        </w:rPr>
        <w:t>附件4</w:t>
      </w:r>
      <w:r>
        <w:rPr>
          <w:color w:val="auto"/>
          <w:highlight w:val="none"/>
        </w:rPr>
        <w:t xml:space="preserve"> 建设单位法人身份证</w:t>
      </w:r>
      <w:r>
        <w:rPr>
          <w:color w:val="auto"/>
          <w:highlight w:val="none"/>
        </w:rPr>
        <w:tab/>
      </w:r>
      <w:r>
        <w:rPr>
          <w:color w:val="auto"/>
          <w:highlight w:val="none"/>
        </w:rPr>
        <w:fldChar w:fldCharType="begin"/>
      </w:r>
      <w:r>
        <w:rPr>
          <w:color w:val="auto"/>
          <w:highlight w:val="none"/>
        </w:rPr>
        <w:instrText xml:space="preserve"> PAGEREF _Toc29975 \h </w:instrText>
      </w:r>
      <w:r>
        <w:rPr>
          <w:color w:val="auto"/>
          <w:highlight w:val="none"/>
        </w:rPr>
        <w:fldChar w:fldCharType="separate"/>
      </w:r>
      <w:r>
        <w:rPr>
          <w:color w:val="auto"/>
          <w:highlight w:val="none"/>
        </w:rPr>
        <w:t>93</w:t>
      </w:r>
      <w:r>
        <w:rPr>
          <w:color w:val="auto"/>
          <w:highlight w:val="none"/>
        </w:rPr>
        <w:fldChar w:fldCharType="end"/>
      </w:r>
      <w:r>
        <w:rPr>
          <w:rFonts w:eastAsia="仿宋_GB2312"/>
          <w:bCs/>
          <w:color w:val="auto"/>
          <w:highlight w:val="none"/>
        </w:rPr>
        <w:fldChar w:fldCharType="end"/>
      </w:r>
    </w:p>
    <w:p w14:paraId="44CA111B">
      <w:pPr>
        <w:pStyle w:val="19"/>
        <w:keepNext w:val="0"/>
        <w:keepLines w:val="0"/>
        <w:pageBreakBefore w:val="0"/>
        <w:widowControl w:val="0"/>
        <w:tabs>
          <w:tab w:val="right" w:leader="dot" w:pos="8844"/>
        </w:tabs>
        <w:kinsoku/>
        <w:wordWrap/>
        <w:overflowPunct/>
        <w:topLinePunct w:val="0"/>
        <w:autoSpaceDE/>
        <w:autoSpaceDN/>
        <w:bidi w:val="0"/>
        <w:adjustRightInd/>
        <w:snapToGrid/>
        <w:ind w:firstLine="0" w:firstLineChars="0"/>
        <w:textAlignment w:val="auto"/>
        <w:rPr>
          <w:color w:val="auto"/>
          <w:highlight w:val="none"/>
        </w:rPr>
      </w:pPr>
      <w:r>
        <w:rPr>
          <w:rFonts w:eastAsia="仿宋_GB2312"/>
          <w:bCs/>
          <w:color w:val="auto"/>
          <w:highlight w:val="none"/>
        </w:rPr>
        <w:fldChar w:fldCharType="begin"/>
      </w:r>
      <w:r>
        <w:rPr>
          <w:rFonts w:eastAsia="仿宋_GB2312"/>
          <w:bCs/>
          <w:color w:val="auto"/>
          <w:highlight w:val="none"/>
        </w:rPr>
        <w:instrText xml:space="preserve"> HYPERLINK \l _Toc27939 </w:instrText>
      </w:r>
      <w:r>
        <w:rPr>
          <w:rFonts w:eastAsia="仿宋_GB2312"/>
          <w:bCs/>
          <w:color w:val="auto"/>
          <w:highlight w:val="none"/>
        </w:rPr>
        <w:fldChar w:fldCharType="separate"/>
      </w:r>
      <w:r>
        <w:rPr>
          <w:rFonts w:hint="eastAsia"/>
          <w:color w:val="auto"/>
          <w:highlight w:val="none"/>
        </w:rPr>
        <w:t>附件5 国有建设用地使用权出让合同</w:t>
      </w:r>
      <w:r>
        <w:rPr>
          <w:color w:val="auto"/>
          <w:highlight w:val="none"/>
        </w:rPr>
        <w:tab/>
      </w:r>
      <w:r>
        <w:rPr>
          <w:color w:val="auto"/>
          <w:highlight w:val="none"/>
        </w:rPr>
        <w:fldChar w:fldCharType="begin"/>
      </w:r>
      <w:r>
        <w:rPr>
          <w:color w:val="auto"/>
          <w:highlight w:val="none"/>
        </w:rPr>
        <w:instrText xml:space="preserve"> PAGEREF _Toc27939 \h </w:instrText>
      </w:r>
      <w:r>
        <w:rPr>
          <w:color w:val="auto"/>
          <w:highlight w:val="none"/>
        </w:rPr>
        <w:fldChar w:fldCharType="separate"/>
      </w:r>
      <w:r>
        <w:rPr>
          <w:color w:val="auto"/>
          <w:highlight w:val="none"/>
        </w:rPr>
        <w:t>94</w:t>
      </w:r>
      <w:r>
        <w:rPr>
          <w:color w:val="auto"/>
          <w:highlight w:val="none"/>
        </w:rPr>
        <w:fldChar w:fldCharType="end"/>
      </w:r>
      <w:r>
        <w:rPr>
          <w:rFonts w:eastAsia="仿宋_GB2312"/>
          <w:bCs/>
          <w:color w:val="auto"/>
          <w:highlight w:val="none"/>
        </w:rPr>
        <w:fldChar w:fldCharType="end"/>
      </w:r>
    </w:p>
    <w:p w14:paraId="0E71883D">
      <w:pPr>
        <w:pStyle w:val="19"/>
        <w:keepNext w:val="0"/>
        <w:keepLines w:val="0"/>
        <w:pageBreakBefore w:val="0"/>
        <w:widowControl w:val="0"/>
        <w:tabs>
          <w:tab w:val="right" w:leader="dot" w:pos="8844"/>
        </w:tabs>
        <w:kinsoku/>
        <w:wordWrap/>
        <w:overflowPunct/>
        <w:topLinePunct w:val="0"/>
        <w:autoSpaceDE/>
        <w:autoSpaceDN/>
        <w:bidi w:val="0"/>
        <w:adjustRightInd/>
        <w:snapToGrid/>
        <w:ind w:firstLine="0" w:firstLineChars="0"/>
        <w:textAlignment w:val="auto"/>
        <w:rPr>
          <w:color w:val="auto"/>
          <w:highlight w:val="none"/>
        </w:rPr>
      </w:pPr>
      <w:r>
        <w:rPr>
          <w:rFonts w:eastAsia="仿宋_GB2312"/>
          <w:bCs/>
          <w:color w:val="auto"/>
          <w:highlight w:val="none"/>
        </w:rPr>
        <w:fldChar w:fldCharType="begin"/>
      </w:r>
      <w:r>
        <w:rPr>
          <w:rFonts w:eastAsia="仿宋_GB2312"/>
          <w:bCs/>
          <w:color w:val="auto"/>
          <w:highlight w:val="none"/>
        </w:rPr>
        <w:instrText xml:space="preserve"> HYPERLINK \l _Toc1243 </w:instrText>
      </w:r>
      <w:r>
        <w:rPr>
          <w:rFonts w:eastAsia="仿宋_GB2312"/>
          <w:bCs/>
          <w:color w:val="auto"/>
          <w:highlight w:val="none"/>
        </w:rPr>
        <w:fldChar w:fldCharType="separate"/>
      </w:r>
      <w:r>
        <w:rPr>
          <w:rFonts w:hint="eastAsia"/>
          <w:color w:val="auto"/>
          <w:highlight w:val="none"/>
        </w:rPr>
        <w:t>附件6</w:t>
      </w:r>
      <w:r>
        <w:rPr>
          <w:color w:val="auto"/>
          <w:highlight w:val="none"/>
        </w:rPr>
        <w:t xml:space="preserve"> </w:t>
      </w:r>
      <w:r>
        <w:rPr>
          <w:rFonts w:hint="eastAsia"/>
          <w:color w:val="auto"/>
          <w:highlight w:val="none"/>
        </w:rPr>
        <w:t>三线一单综合查询报告书</w:t>
      </w:r>
      <w:r>
        <w:rPr>
          <w:color w:val="auto"/>
          <w:highlight w:val="none"/>
        </w:rPr>
        <w:tab/>
      </w:r>
      <w:r>
        <w:rPr>
          <w:color w:val="auto"/>
          <w:highlight w:val="none"/>
        </w:rPr>
        <w:fldChar w:fldCharType="begin"/>
      </w:r>
      <w:r>
        <w:rPr>
          <w:color w:val="auto"/>
          <w:highlight w:val="none"/>
        </w:rPr>
        <w:instrText xml:space="preserve"> PAGEREF _Toc1243 \h </w:instrText>
      </w:r>
      <w:r>
        <w:rPr>
          <w:color w:val="auto"/>
          <w:highlight w:val="none"/>
        </w:rPr>
        <w:fldChar w:fldCharType="separate"/>
      </w:r>
      <w:r>
        <w:rPr>
          <w:color w:val="auto"/>
          <w:highlight w:val="none"/>
        </w:rPr>
        <w:t>119</w:t>
      </w:r>
      <w:r>
        <w:rPr>
          <w:color w:val="auto"/>
          <w:highlight w:val="none"/>
        </w:rPr>
        <w:fldChar w:fldCharType="end"/>
      </w:r>
      <w:r>
        <w:rPr>
          <w:rFonts w:eastAsia="仿宋_GB2312"/>
          <w:bCs/>
          <w:color w:val="auto"/>
          <w:highlight w:val="none"/>
        </w:rPr>
        <w:fldChar w:fldCharType="end"/>
      </w:r>
    </w:p>
    <w:p w14:paraId="4072C747">
      <w:pPr>
        <w:pStyle w:val="19"/>
        <w:keepNext w:val="0"/>
        <w:keepLines w:val="0"/>
        <w:pageBreakBefore w:val="0"/>
        <w:widowControl w:val="0"/>
        <w:tabs>
          <w:tab w:val="right" w:leader="dot" w:pos="8844"/>
        </w:tabs>
        <w:kinsoku/>
        <w:wordWrap/>
        <w:overflowPunct/>
        <w:topLinePunct w:val="0"/>
        <w:autoSpaceDE/>
        <w:autoSpaceDN/>
        <w:bidi w:val="0"/>
        <w:adjustRightInd/>
        <w:snapToGrid/>
        <w:ind w:firstLine="0" w:firstLineChars="0"/>
        <w:textAlignment w:val="auto"/>
        <w:rPr>
          <w:color w:val="auto"/>
          <w:highlight w:val="none"/>
        </w:rPr>
      </w:pPr>
      <w:r>
        <w:rPr>
          <w:rFonts w:eastAsia="仿宋_GB2312"/>
          <w:bCs/>
          <w:color w:val="auto"/>
          <w:highlight w:val="none"/>
        </w:rPr>
        <w:fldChar w:fldCharType="begin"/>
      </w:r>
      <w:r>
        <w:rPr>
          <w:rFonts w:eastAsia="仿宋_GB2312"/>
          <w:bCs/>
          <w:color w:val="auto"/>
          <w:highlight w:val="none"/>
        </w:rPr>
        <w:instrText xml:space="preserve"> HYPERLINK \l _Toc7818 </w:instrText>
      </w:r>
      <w:r>
        <w:rPr>
          <w:rFonts w:eastAsia="仿宋_GB2312"/>
          <w:bCs/>
          <w:color w:val="auto"/>
          <w:highlight w:val="none"/>
        </w:rPr>
        <w:fldChar w:fldCharType="separate"/>
      </w:r>
      <w:r>
        <w:rPr>
          <w:rFonts w:hint="eastAsia" w:ascii="Times New Roman" w:hAnsi="Times New Roman" w:eastAsia="宋体" w:cs="Times New Roman"/>
          <w:color w:val="auto"/>
          <w:highlight w:val="none"/>
        </w:rPr>
        <w:t>附件</w:t>
      </w:r>
      <w:r>
        <w:rPr>
          <w:rFonts w:hint="eastAsia" w:ascii="Times New Roman" w:hAnsi="Times New Roman" w:eastAsia="宋体" w:cs="Times New Roman"/>
          <w:color w:val="auto"/>
          <w:highlight w:val="none"/>
          <w:lang w:val="en-US" w:eastAsia="zh-CN"/>
        </w:rPr>
        <w:t>7</w:t>
      </w:r>
      <w:r>
        <w:rPr>
          <w:rFonts w:hint="eastAsia" w:ascii="Times New Roman" w:hAnsi="Times New Roman" w:eastAsia="宋体" w:cs="Times New Roman"/>
          <w:color w:val="auto"/>
          <w:highlight w:val="none"/>
        </w:rPr>
        <w:t xml:space="preserve"> </w:t>
      </w:r>
      <w:r>
        <w:rPr>
          <w:rFonts w:hint="eastAsia" w:ascii="Times New Roman" w:hAnsi="Times New Roman" w:eastAsia="宋体" w:cs="Times New Roman"/>
          <w:color w:val="auto"/>
          <w:highlight w:val="none"/>
          <w:lang w:eastAsia="zh-CN"/>
        </w:rPr>
        <w:t>环境现状监测报告</w:t>
      </w:r>
      <w:r>
        <w:rPr>
          <w:color w:val="auto"/>
          <w:highlight w:val="none"/>
        </w:rPr>
        <w:tab/>
      </w:r>
      <w:r>
        <w:rPr>
          <w:color w:val="auto"/>
          <w:highlight w:val="none"/>
        </w:rPr>
        <w:fldChar w:fldCharType="begin"/>
      </w:r>
      <w:r>
        <w:rPr>
          <w:color w:val="auto"/>
          <w:highlight w:val="none"/>
        </w:rPr>
        <w:instrText xml:space="preserve"> PAGEREF _Toc7818 \h </w:instrText>
      </w:r>
      <w:r>
        <w:rPr>
          <w:color w:val="auto"/>
          <w:highlight w:val="none"/>
        </w:rPr>
        <w:fldChar w:fldCharType="separate"/>
      </w:r>
      <w:r>
        <w:rPr>
          <w:color w:val="auto"/>
          <w:highlight w:val="none"/>
        </w:rPr>
        <w:t>125</w:t>
      </w:r>
      <w:r>
        <w:rPr>
          <w:color w:val="auto"/>
          <w:highlight w:val="none"/>
        </w:rPr>
        <w:fldChar w:fldCharType="end"/>
      </w:r>
      <w:r>
        <w:rPr>
          <w:rFonts w:eastAsia="仿宋_GB2312"/>
          <w:bCs/>
          <w:color w:val="auto"/>
          <w:highlight w:val="none"/>
        </w:rPr>
        <w:fldChar w:fldCharType="end"/>
      </w:r>
    </w:p>
    <w:p w14:paraId="59C4D036">
      <w:pPr>
        <w:pStyle w:val="19"/>
        <w:keepNext w:val="0"/>
        <w:keepLines w:val="0"/>
        <w:pageBreakBefore w:val="0"/>
        <w:widowControl w:val="0"/>
        <w:tabs>
          <w:tab w:val="right" w:leader="dot" w:pos="8844"/>
        </w:tabs>
        <w:kinsoku/>
        <w:wordWrap/>
        <w:overflowPunct/>
        <w:topLinePunct w:val="0"/>
        <w:autoSpaceDE/>
        <w:autoSpaceDN/>
        <w:bidi w:val="0"/>
        <w:adjustRightInd/>
        <w:snapToGrid/>
        <w:ind w:firstLine="0" w:firstLineChars="0"/>
        <w:textAlignment w:val="auto"/>
        <w:rPr>
          <w:color w:val="auto"/>
          <w:highlight w:val="none"/>
        </w:rPr>
      </w:pPr>
      <w:r>
        <w:rPr>
          <w:rFonts w:eastAsia="仿宋_GB2312"/>
          <w:bCs/>
          <w:color w:val="auto"/>
          <w:highlight w:val="none"/>
        </w:rPr>
        <w:fldChar w:fldCharType="begin"/>
      </w:r>
      <w:r>
        <w:rPr>
          <w:rFonts w:eastAsia="仿宋_GB2312"/>
          <w:bCs/>
          <w:color w:val="auto"/>
          <w:highlight w:val="none"/>
        </w:rPr>
        <w:instrText xml:space="preserve"> HYPERLINK \l _Toc19879 </w:instrText>
      </w:r>
      <w:r>
        <w:rPr>
          <w:rFonts w:eastAsia="仿宋_GB2312"/>
          <w:bCs/>
          <w:color w:val="auto"/>
          <w:highlight w:val="none"/>
        </w:rPr>
        <w:fldChar w:fldCharType="separate"/>
      </w:r>
      <w:r>
        <w:rPr>
          <w:rFonts w:hint="eastAsia" w:ascii="Times New Roman" w:hAnsi="Times New Roman" w:eastAsia="宋体" w:cs="Times New Roman"/>
          <w:color w:val="auto"/>
          <w:highlight w:val="none"/>
        </w:rPr>
        <w:t>附件</w:t>
      </w:r>
      <w:r>
        <w:rPr>
          <w:rFonts w:hint="eastAsia" w:cs="Times New Roman"/>
          <w:color w:val="auto"/>
          <w:highlight w:val="none"/>
          <w:lang w:val="en-US" w:eastAsia="zh-CN"/>
        </w:rPr>
        <w:t>8</w:t>
      </w:r>
      <w:r>
        <w:rPr>
          <w:rFonts w:hint="eastAsia" w:ascii="Times New Roman" w:hAnsi="Times New Roman" w:eastAsia="宋体" w:cs="Times New Roman"/>
          <w:color w:val="auto"/>
          <w:highlight w:val="none"/>
        </w:rPr>
        <w:t xml:space="preserve"> </w:t>
      </w:r>
      <w:r>
        <w:rPr>
          <w:rFonts w:hint="eastAsia" w:cs="Times New Roman"/>
          <w:color w:val="auto"/>
          <w:highlight w:val="none"/>
          <w:lang w:val="en-US" w:eastAsia="zh-CN"/>
        </w:rPr>
        <w:t>污水纳管证明</w:t>
      </w:r>
      <w:r>
        <w:rPr>
          <w:color w:val="auto"/>
          <w:highlight w:val="none"/>
        </w:rPr>
        <w:tab/>
      </w:r>
      <w:r>
        <w:rPr>
          <w:color w:val="auto"/>
          <w:highlight w:val="none"/>
        </w:rPr>
        <w:fldChar w:fldCharType="begin"/>
      </w:r>
      <w:r>
        <w:rPr>
          <w:color w:val="auto"/>
          <w:highlight w:val="none"/>
        </w:rPr>
        <w:instrText xml:space="preserve"> PAGEREF _Toc19879 \h </w:instrText>
      </w:r>
      <w:r>
        <w:rPr>
          <w:color w:val="auto"/>
          <w:highlight w:val="none"/>
        </w:rPr>
        <w:fldChar w:fldCharType="separate"/>
      </w:r>
      <w:r>
        <w:rPr>
          <w:color w:val="auto"/>
          <w:highlight w:val="none"/>
        </w:rPr>
        <w:t>131</w:t>
      </w:r>
      <w:r>
        <w:rPr>
          <w:color w:val="auto"/>
          <w:highlight w:val="none"/>
        </w:rPr>
        <w:fldChar w:fldCharType="end"/>
      </w:r>
      <w:r>
        <w:rPr>
          <w:rFonts w:eastAsia="仿宋_GB2312"/>
          <w:bCs/>
          <w:color w:val="auto"/>
          <w:highlight w:val="none"/>
        </w:rPr>
        <w:fldChar w:fldCharType="end"/>
      </w:r>
    </w:p>
    <w:p w14:paraId="04B48B6A">
      <w:pPr>
        <w:pStyle w:val="19"/>
        <w:keepNext w:val="0"/>
        <w:keepLines w:val="0"/>
        <w:pageBreakBefore w:val="0"/>
        <w:widowControl w:val="0"/>
        <w:tabs>
          <w:tab w:val="right" w:leader="dot" w:pos="8844"/>
        </w:tabs>
        <w:kinsoku/>
        <w:wordWrap/>
        <w:overflowPunct/>
        <w:topLinePunct w:val="0"/>
        <w:autoSpaceDE/>
        <w:autoSpaceDN/>
        <w:bidi w:val="0"/>
        <w:adjustRightInd/>
        <w:snapToGrid/>
        <w:ind w:firstLine="0" w:firstLineChars="0"/>
        <w:textAlignment w:val="auto"/>
        <w:rPr>
          <w:color w:val="auto"/>
          <w:highlight w:val="none"/>
        </w:rPr>
      </w:pPr>
      <w:r>
        <w:rPr>
          <w:rFonts w:eastAsia="仿宋_GB2312"/>
          <w:bCs/>
          <w:color w:val="auto"/>
          <w:highlight w:val="none"/>
        </w:rPr>
        <w:fldChar w:fldCharType="begin"/>
      </w:r>
      <w:r>
        <w:rPr>
          <w:rFonts w:eastAsia="仿宋_GB2312"/>
          <w:bCs/>
          <w:color w:val="auto"/>
          <w:highlight w:val="none"/>
        </w:rPr>
        <w:instrText xml:space="preserve"> HYPERLINK \l _Toc12229 </w:instrText>
      </w:r>
      <w:r>
        <w:rPr>
          <w:rFonts w:eastAsia="仿宋_GB2312"/>
          <w:bCs/>
          <w:color w:val="auto"/>
          <w:highlight w:val="none"/>
        </w:rPr>
        <w:fldChar w:fldCharType="separate"/>
      </w:r>
      <w:r>
        <w:rPr>
          <w:rFonts w:hint="eastAsia" w:ascii="Times New Roman" w:hAnsi="Times New Roman" w:eastAsia="宋体" w:cs="Times New Roman"/>
          <w:bCs/>
          <w:color w:val="auto"/>
          <w:szCs w:val="30"/>
          <w:highlight w:val="none"/>
          <w:lang w:val="en-US" w:eastAsia="zh-CN"/>
        </w:rPr>
        <w:t>附件</w:t>
      </w:r>
      <w:r>
        <w:rPr>
          <w:rFonts w:hint="eastAsia" w:cs="Times New Roman"/>
          <w:bCs/>
          <w:color w:val="auto"/>
          <w:szCs w:val="30"/>
          <w:highlight w:val="none"/>
          <w:lang w:val="en-US" w:eastAsia="zh-CN"/>
        </w:rPr>
        <w:t>9</w:t>
      </w:r>
      <w:r>
        <w:rPr>
          <w:rFonts w:hint="eastAsia" w:ascii="Times New Roman" w:hAnsi="Times New Roman" w:eastAsia="宋体" w:cs="Times New Roman"/>
          <w:bCs/>
          <w:color w:val="auto"/>
          <w:szCs w:val="30"/>
          <w:highlight w:val="none"/>
          <w:lang w:val="en-US" w:eastAsia="zh-CN"/>
        </w:rPr>
        <w:t xml:space="preserve"> 公开建设项目环评信息情况的说明</w:t>
      </w:r>
      <w:r>
        <w:rPr>
          <w:color w:val="auto"/>
          <w:highlight w:val="none"/>
        </w:rPr>
        <w:tab/>
      </w:r>
      <w:r>
        <w:rPr>
          <w:color w:val="auto"/>
          <w:highlight w:val="none"/>
        </w:rPr>
        <w:fldChar w:fldCharType="begin"/>
      </w:r>
      <w:r>
        <w:rPr>
          <w:color w:val="auto"/>
          <w:highlight w:val="none"/>
        </w:rPr>
        <w:instrText xml:space="preserve"> PAGEREF _Toc12229 \h </w:instrText>
      </w:r>
      <w:r>
        <w:rPr>
          <w:color w:val="auto"/>
          <w:highlight w:val="none"/>
        </w:rPr>
        <w:fldChar w:fldCharType="separate"/>
      </w:r>
      <w:r>
        <w:rPr>
          <w:color w:val="auto"/>
          <w:highlight w:val="none"/>
        </w:rPr>
        <w:t>132</w:t>
      </w:r>
      <w:r>
        <w:rPr>
          <w:color w:val="auto"/>
          <w:highlight w:val="none"/>
        </w:rPr>
        <w:fldChar w:fldCharType="end"/>
      </w:r>
      <w:r>
        <w:rPr>
          <w:rFonts w:eastAsia="仿宋_GB2312"/>
          <w:bCs/>
          <w:color w:val="auto"/>
          <w:highlight w:val="none"/>
        </w:rPr>
        <w:fldChar w:fldCharType="end"/>
      </w:r>
    </w:p>
    <w:p w14:paraId="7ABE867A">
      <w:pPr>
        <w:pStyle w:val="19"/>
        <w:keepNext w:val="0"/>
        <w:keepLines w:val="0"/>
        <w:pageBreakBefore w:val="0"/>
        <w:widowControl w:val="0"/>
        <w:tabs>
          <w:tab w:val="right" w:leader="dot" w:pos="8844"/>
        </w:tabs>
        <w:kinsoku/>
        <w:wordWrap/>
        <w:overflowPunct/>
        <w:topLinePunct w:val="0"/>
        <w:autoSpaceDE/>
        <w:autoSpaceDN/>
        <w:bidi w:val="0"/>
        <w:adjustRightInd/>
        <w:snapToGrid/>
        <w:ind w:firstLine="0" w:firstLineChars="0"/>
        <w:textAlignment w:val="auto"/>
        <w:rPr>
          <w:color w:val="auto"/>
          <w:highlight w:val="none"/>
        </w:rPr>
      </w:pPr>
      <w:r>
        <w:rPr>
          <w:rFonts w:eastAsia="仿宋_GB2312"/>
          <w:bCs/>
          <w:color w:val="auto"/>
          <w:highlight w:val="none"/>
        </w:rPr>
        <w:fldChar w:fldCharType="begin"/>
      </w:r>
      <w:r>
        <w:rPr>
          <w:rFonts w:eastAsia="仿宋_GB2312"/>
          <w:bCs/>
          <w:color w:val="auto"/>
          <w:highlight w:val="none"/>
        </w:rPr>
        <w:instrText xml:space="preserve"> HYPERLINK \l _Toc20279 </w:instrText>
      </w:r>
      <w:r>
        <w:rPr>
          <w:rFonts w:eastAsia="仿宋_GB2312"/>
          <w:bCs/>
          <w:color w:val="auto"/>
          <w:highlight w:val="none"/>
        </w:rPr>
        <w:fldChar w:fldCharType="separate"/>
      </w:r>
      <w:r>
        <w:rPr>
          <w:rFonts w:hint="eastAsia" w:ascii="Times New Roman" w:hAnsi="Times New Roman" w:eastAsia="宋体" w:cs="Times New Roman"/>
          <w:bCs/>
          <w:color w:val="auto"/>
          <w:szCs w:val="30"/>
          <w:highlight w:val="none"/>
          <w:lang w:val="en-US" w:eastAsia="zh-CN"/>
        </w:rPr>
        <w:t>附件</w:t>
      </w:r>
      <w:r>
        <w:rPr>
          <w:rFonts w:hint="eastAsia" w:cs="Times New Roman"/>
          <w:bCs/>
          <w:color w:val="auto"/>
          <w:szCs w:val="30"/>
          <w:highlight w:val="none"/>
          <w:lang w:val="en-US" w:eastAsia="zh-CN"/>
        </w:rPr>
        <w:t>10</w:t>
      </w:r>
      <w:r>
        <w:rPr>
          <w:rFonts w:hint="eastAsia" w:ascii="Times New Roman" w:hAnsi="Times New Roman" w:eastAsia="宋体" w:cs="Times New Roman"/>
          <w:bCs/>
          <w:color w:val="auto"/>
          <w:szCs w:val="30"/>
          <w:highlight w:val="none"/>
          <w:lang w:val="en-US" w:eastAsia="zh-CN"/>
        </w:rPr>
        <w:t xml:space="preserve"> 涉密说明</w:t>
      </w:r>
      <w:r>
        <w:rPr>
          <w:color w:val="auto"/>
          <w:highlight w:val="none"/>
        </w:rPr>
        <w:tab/>
      </w:r>
      <w:r>
        <w:rPr>
          <w:color w:val="auto"/>
          <w:highlight w:val="none"/>
        </w:rPr>
        <w:fldChar w:fldCharType="begin"/>
      </w:r>
      <w:r>
        <w:rPr>
          <w:color w:val="auto"/>
          <w:highlight w:val="none"/>
        </w:rPr>
        <w:instrText xml:space="preserve"> PAGEREF _Toc20279 \h </w:instrText>
      </w:r>
      <w:r>
        <w:rPr>
          <w:color w:val="auto"/>
          <w:highlight w:val="none"/>
        </w:rPr>
        <w:fldChar w:fldCharType="separate"/>
      </w:r>
      <w:r>
        <w:rPr>
          <w:color w:val="auto"/>
          <w:highlight w:val="none"/>
        </w:rPr>
        <w:t>133</w:t>
      </w:r>
      <w:r>
        <w:rPr>
          <w:color w:val="auto"/>
          <w:highlight w:val="none"/>
        </w:rPr>
        <w:fldChar w:fldCharType="end"/>
      </w:r>
      <w:r>
        <w:rPr>
          <w:rFonts w:eastAsia="仿宋_GB2312"/>
          <w:bCs/>
          <w:color w:val="auto"/>
          <w:highlight w:val="none"/>
        </w:rPr>
        <w:fldChar w:fldCharType="end"/>
      </w:r>
    </w:p>
    <w:p w14:paraId="51B6990F">
      <w:pPr>
        <w:pStyle w:val="19"/>
        <w:keepNext w:val="0"/>
        <w:keepLines w:val="0"/>
        <w:pageBreakBefore w:val="0"/>
        <w:widowControl w:val="0"/>
        <w:tabs>
          <w:tab w:val="right" w:leader="dot" w:pos="8844"/>
        </w:tabs>
        <w:kinsoku/>
        <w:wordWrap/>
        <w:overflowPunct/>
        <w:topLinePunct w:val="0"/>
        <w:autoSpaceDE/>
        <w:autoSpaceDN/>
        <w:bidi w:val="0"/>
        <w:adjustRightInd/>
        <w:snapToGrid/>
        <w:ind w:firstLine="0" w:firstLineChars="0"/>
        <w:textAlignment w:val="auto"/>
        <w:rPr>
          <w:color w:val="auto"/>
          <w:highlight w:val="none"/>
        </w:rPr>
      </w:pPr>
      <w:r>
        <w:rPr>
          <w:rFonts w:eastAsia="仿宋_GB2312"/>
          <w:bCs/>
          <w:color w:val="auto"/>
          <w:highlight w:val="none"/>
        </w:rPr>
        <w:fldChar w:fldCharType="begin"/>
      </w:r>
      <w:r>
        <w:rPr>
          <w:rFonts w:eastAsia="仿宋_GB2312"/>
          <w:bCs/>
          <w:color w:val="auto"/>
          <w:highlight w:val="none"/>
        </w:rPr>
        <w:instrText xml:space="preserve"> HYPERLINK \l _Toc8946 </w:instrText>
      </w:r>
      <w:r>
        <w:rPr>
          <w:rFonts w:eastAsia="仿宋_GB2312"/>
          <w:bCs/>
          <w:color w:val="auto"/>
          <w:highlight w:val="none"/>
        </w:rPr>
        <w:fldChar w:fldCharType="separate"/>
      </w:r>
      <w:r>
        <w:rPr>
          <w:rFonts w:hint="default" w:ascii="Times New Roman" w:hAnsi="Times New Roman" w:eastAsia="宋体" w:cs="Times New Roman"/>
          <w:bCs/>
          <w:color w:val="auto"/>
          <w:szCs w:val="30"/>
          <w:highlight w:val="none"/>
          <w:lang w:val="en-US" w:eastAsia="zh-CN"/>
        </w:rPr>
        <w:t>附件</w:t>
      </w:r>
      <w:r>
        <w:rPr>
          <w:rFonts w:hint="eastAsia" w:ascii="Times New Roman" w:hAnsi="Times New Roman" w:eastAsia="宋体" w:cs="Times New Roman"/>
          <w:bCs/>
          <w:color w:val="auto"/>
          <w:szCs w:val="30"/>
          <w:highlight w:val="none"/>
          <w:lang w:val="en-US" w:eastAsia="zh-CN"/>
        </w:rPr>
        <w:t>1</w:t>
      </w:r>
      <w:r>
        <w:rPr>
          <w:rFonts w:hint="eastAsia" w:cs="Times New Roman"/>
          <w:bCs/>
          <w:color w:val="auto"/>
          <w:szCs w:val="30"/>
          <w:highlight w:val="none"/>
          <w:lang w:val="en-US" w:eastAsia="zh-CN"/>
        </w:rPr>
        <w:t>1</w:t>
      </w:r>
      <w:r>
        <w:rPr>
          <w:rFonts w:hint="default" w:ascii="Times New Roman" w:hAnsi="Times New Roman" w:eastAsia="宋体" w:cs="Times New Roman"/>
          <w:bCs/>
          <w:color w:val="auto"/>
          <w:szCs w:val="30"/>
          <w:highlight w:val="none"/>
          <w:lang w:val="en-US" w:eastAsia="zh-CN"/>
        </w:rPr>
        <w:t xml:space="preserve"> 申请环评批复报告</w:t>
      </w:r>
      <w:r>
        <w:rPr>
          <w:color w:val="auto"/>
          <w:highlight w:val="none"/>
        </w:rPr>
        <w:tab/>
      </w:r>
      <w:r>
        <w:rPr>
          <w:color w:val="auto"/>
          <w:highlight w:val="none"/>
        </w:rPr>
        <w:fldChar w:fldCharType="begin"/>
      </w:r>
      <w:r>
        <w:rPr>
          <w:color w:val="auto"/>
          <w:highlight w:val="none"/>
        </w:rPr>
        <w:instrText xml:space="preserve"> PAGEREF _Toc8946 \h </w:instrText>
      </w:r>
      <w:r>
        <w:rPr>
          <w:color w:val="auto"/>
          <w:highlight w:val="none"/>
        </w:rPr>
        <w:fldChar w:fldCharType="separate"/>
      </w:r>
      <w:r>
        <w:rPr>
          <w:color w:val="auto"/>
          <w:highlight w:val="none"/>
        </w:rPr>
        <w:t>135</w:t>
      </w:r>
      <w:r>
        <w:rPr>
          <w:color w:val="auto"/>
          <w:highlight w:val="none"/>
        </w:rPr>
        <w:fldChar w:fldCharType="end"/>
      </w:r>
      <w:r>
        <w:rPr>
          <w:rFonts w:eastAsia="仿宋_GB2312"/>
          <w:bCs/>
          <w:color w:val="auto"/>
          <w:highlight w:val="none"/>
        </w:rPr>
        <w:fldChar w:fldCharType="end"/>
      </w:r>
    </w:p>
    <w:p w14:paraId="713324B6">
      <w:pPr>
        <w:pStyle w:val="19"/>
        <w:keepNext w:val="0"/>
        <w:keepLines w:val="0"/>
        <w:pageBreakBefore w:val="0"/>
        <w:widowControl w:val="0"/>
        <w:tabs>
          <w:tab w:val="right" w:leader="dot" w:pos="8844"/>
        </w:tabs>
        <w:kinsoku/>
        <w:wordWrap/>
        <w:overflowPunct/>
        <w:topLinePunct w:val="0"/>
        <w:autoSpaceDE/>
        <w:autoSpaceDN/>
        <w:bidi w:val="0"/>
        <w:adjustRightInd/>
        <w:snapToGrid/>
        <w:ind w:firstLine="0" w:firstLineChars="0"/>
        <w:textAlignment w:val="auto"/>
        <w:rPr>
          <w:color w:val="auto"/>
          <w:highlight w:val="none"/>
        </w:rPr>
      </w:pPr>
      <w:r>
        <w:rPr>
          <w:rFonts w:eastAsia="仿宋_GB2312"/>
          <w:bCs/>
          <w:color w:val="auto"/>
          <w:highlight w:val="none"/>
        </w:rPr>
        <w:fldChar w:fldCharType="begin"/>
      </w:r>
      <w:r>
        <w:rPr>
          <w:rFonts w:eastAsia="仿宋_GB2312"/>
          <w:bCs/>
          <w:color w:val="auto"/>
          <w:highlight w:val="none"/>
        </w:rPr>
        <w:instrText xml:space="preserve"> HYPERLINK \l _Toc18235 </w:instrText>
      </w:r>
      <w:r>
        <w:rPr>
          <w:rFonts w:eastAsia="仿宋_GB2312"/>
          <w:bCs/>
          <w:color w:val="auto"/>
          <w:highlight w:val="none"/>
        </w:rPr>
        <w:fldChar w:fldCharType="separate"/>
      </w:r>
      <w:r>
        <w:rPr>
          <w:rFonts w:hint="eastAsia" w:ascii="Times New Roman" w:hAnsi="Times New Roman" w:eastAsia="宋体" w:cs="Times New Roman"/>
          <w:bCs/>
          <w:color w:val="auto"/>
          <w:szCs w:val="30"/>
          <w:highlight w:val="none"/>
          <w:lang w:val="en-US" w:eastAsia="zh-CN"/>
        </w:rPr>
        <w:t>附件1</w:t>
      </w:r>
      <w:r>
        <w:rPr>
          <w:rFonts w:hint="eastAsia" w:cs="Times New Roman"/>
          <w:bCs/>
          <w:color w:val="auto"/>
          <w:szCs w:val="30"/>
          <w:highlight w:val="none"/>
          <w:lang w:val="en-US" w:eastAsia="zh-CN"/>
        </w:rPr>
        <w:t>2</w:t>
      </w:r>
      <w:r>
        <w:rPr>
          <w:rFonts w:hint="eastAsia" w:ascii="Times New Roman" w:hAnsi="Times New Roman" w:eastAsia="宋体" w:cs="Times New Roman"/>
          <w:bCs/>
          <w:color w:val="auto"/>
          <w:szCs w:val="30"/>
          <w:highlight w:val="none"/>
          <w:lang w:val="en-US" w:eastAsia="zh-CN"/>
        </w:rPr>
        <w:t xml:space="preserve"> 授权委托书</w:t>
      </w:r>
      <w:r>
        <w:rPr>
          <w:color w:val="auto"/>
          <w:highlight w:val="none"/>
        </w:rPr>
        <w:tab/>
      </w:r>
      <w:r>
        <w:rPr>
          <w:color w:val="auto"/>
          <w:highlight w:val="none"/>
        </w:rPr>
        <w:fldChar w:fldCharType="begin"/>
      </w:r>
      <w:r>
        <w:rPr>
          <w:color w:val="auto"/>
          <w:highlight w:val="none"/>
        </w:rPr>
        <w:instrText xml:space="preserve"> PAGEREF _Toc18235 \h </w:instrText>
      </w:r>
      <w:r>
        <w:rPr>
          <w:color w:val="auto"/>
          <w:highlight w:val="none"/>
        </w:rPr>
        <w:fldChar w:fldCharType="separate"/>
      </w:r>
      <w:r>
        <w:rPr>
          <w:color w:val="auto"/>
          <w:highlight w:val="none"/>
        </w:rPr>
        <w:t>136</w:t>
      </w:r>
      <w:r>
        <w:rPr>
          <w:color w:val="auto"/>
          <w:highlight w:val="none"/>
        </w:rPr>
        <w:fldChar w:fldCharType="end"/>
      </w:r>
      <w:r>
        <w:rPr>
          <w:rFonts w:eastAsia="仿宋_GB2312"/>
          <w:bCs/>
          <w:color w:val="auto"/>
          <w:highlight w:val="none"/>
        </w:rPr>
        <w:fldChar w:fldCharType="end"/>
      </w:r>
    </w:p>
    <w:p w14:paraId="400A3314">
      <w:pPr>
        <w:pStyle w:val="19"/>
        <w:keepNext w:val="0"/>
        <w:keepLines w:val="0"/>
        <w:pageBreakBefore w:val="0"/>
        <w:widowControl w:val="0"/>
        <w:tabs>
          <w:tab w:val="right" w:leader="dot" w:pos="8844"/>
        </w:tabs>
        <w:kinsoku/>
        <w:wordWrap/>
        <w:overflowPunct/>
        <w:topLinePunct w:val="0"/>
        <w:autoSpaceDE/>
        <w:autoSpaceDN/>
        <w:bidi w:val="0"/>
        <w:adjustRightInd/>
        <w:snapToGrid/>
        <w:ind w:firstLine="0" w:firstLineChars="0"/>
        <w:textAlignment w:val="auto"/>
        <w:rPr>
          <w:color w:val="auto"/>
          <w:highlight w:val="none"/>
        </w:rPr>
      </w:pPr>
      <w:r>
        <w:rPr>
          <w:rFonts w:eastAsia="仿宋_GB2312"/>
          <w:bCs/>
          <w:color w:val="auto"/>
          <w:highlight w:val="none"/>
        </w:rPr>
        <w:fldChar w:fldCharType="begin"/>
      </w:r>
      <w:r>
        <w:rPr>
          <w:rFonts w:eastAsia="仿宋_GB2312"/>
          <w:bCs/>
          <w:color w:val="auto"/>
          <w:highlight w:val="none"/>
        </w:rPr>
        <w:instrText xml:space="preserve"> HYPERLINK \l _Toc6879 </w:instrText>
      </w:r>
      <w:r>
        <w:rPr>
          <w:rFonts w:eastAsia="仿宋_GB2312"/>
          <w:bCs/>
          <w:color w:val="auto"/>
          <w:highlight w:val="none"/>
        </w:rPr>
        <w:fldChar w:fldCharType="separate"/>
      </w:r>
      <w:r>
        <w:rPr>
          <w:rFonts w:hint="eastAsia" w:ascii="Times New Roman" w:hAnsi="Times New Roman" w:eastAsia="宋体" w:cs="Times New Roman"/>
          <w:bCs/>
          <w:color w:val="auto"/>
          <w:szCs w:val="30"/>
          <w:highlight w:val="none"/>
          <w:lang w:val="en-US" w:eastAsia="zh-CN"/>
        </w:rPr>
        <w:t>附件1</w:t>
      </w:r>
      <w:r>
        <w:rPr>
          <w:rFonts w:hint="eastAsia" w:cs="Times New Roman"/>
          <w:bCs/>
          <w:color w:val="auto"/>
          <w:szCs w:val="30"/>
          <w:highlight w:val="none"/>
          <w:lang w:val="en-US" w:eastAsia="zh-CN"/>
        </w:rPr>
        <w:t>3</w:t>
      </w:r>
      <w:r>
        <w:rPr>
          <w:rFonts w:hint="eastAsia" w:ascii="Times New Roman" w:hAnsi="Times New Roman" w:eastAsia="宋体" w:cs="Times New Roman"/>
          <w:bCs/>
          <w:color w:val="auto"/>
          <w:szCs w:val="30"/>
          <w:highlight w:val="none"/>
          <w:lang w:val="en-US" w:eastAsia="zh-CN"/>
        </w:rPr>
        <w:t xml:space="preserve"> 挥发性有机物总量指标审查意见的函</w:t>
      </w:r>
      <w:r>
        <w:rPr>
          <w:color w:val="auto"/>
          <w:highlight w:val="none"/>
        </w:rPr>
        <w:tab/>
      </w:r>
      <w:r>
        <w:rPr>
          <w:color w:val="auto"/>
          <w:highlight w:val="none"/>
        </w:rPr>
        <w:fldChar w:fldCharType="begin"/>
      </w:r>
      <w:r>
        <w:rPr>
          <w:color w:val="auto"/>
          <w:highlight w:val="none"/>
        </w:rPr>
        <w:instrText xml:space="preserve"> PAGEREF _Toc6879 \h </w:instrText>
      </w:r>
      <w:r>
        <w:rPr>
          <w:color w:val="auto"/>
          <w:highlight w:val="none"/>
        </w:rPr>
        <w:fldChar w:fldCharType="separate"/>
      </w:r>
      <w:r>
        <w:rPr>
          <w:color w:val="auto"/>
          <w:highlight w:val="none"/>
        </w:rPr>
        <w:t>138</w:t>
      </w:r>
      <w:r>
        <w:rPr>
          <w:color w:val="auto"/>
          <w:highlight w:val="none"/>
        </w:rPr>
        <w:fldChar w:fldCharType="end"/>
      </w:r>
      <w:r>
        <w:rPr>
          <w:rFonts w:eastAsia="仿宋_GB2312"/>
          <w:bCs/>
          <w:color w:val="auto"/>
          <w:highlight w:val="none"/>
        </w:rPr>
        <w:fldChar w:fldCharType="end"/>
      </w:r>
    </w:p>
    <w:p w14:paraId="7304D2C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0"/>
        <w:rPr>
          <w:rFonts w:eastAsia="仿宋_GB2312"/>
          <w:bCs/>
          <w:color w:val="auto"/>
          <w:highlight w:val="none"/>
        </w:rPr>
        <w:sectPr>
          <w:footerReference r:id="rId11"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r>
        <w:rPr>
          <w:rFonts w:eastAsia="仿宋_GB2312"/>
          <w:bCs/>
          <w:color w:val="auto"/>
          <w:highlight w:val="none"/>
        </w:rPr>
        <w:fldChar w:fldCharType="end"/>
      </w:r>
    </w:p>
    <w:p w14:paraId="03F7561B">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0"/>
        <w:rPr>
          <w:rFonts w:eastAsia="黑体"/>
          <w:snapToGrid w:val="0"/>
          <w:color w:val="auto"/>
          <w:sz w:val="30"/>
          <w:szCs w:val="30"/>
          <w:highlight w:val="none"/>
        </w:rPr>
      </w:pPr>
      <w:bookmarkStart w:id="1" w:name="_Toc14255"/>
      <w:r>
        <w:rPr>
          <w:rStyle w:val="39"/>
          <w:color w:val="auto"/>
          <w:highlight w:val="none"/>
        </w:rPr>
        <w:t>一、建设项目基本情况</w:t>
      </w:r>
      <w:bookmarkEnd w:id="1"/>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713"/>
        <w:gridCol w:w="2235"/>
        <w:gridCol w:w="1918"/>
        <w:gridCol w:w="365"/>
        <w:gridCol w:w="2639"/>
      </w:tblGrid>
      <w:tr w14:paraId="3B4BF0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3" w:type="dxa"/>
            <w:noWrap w:val="0"/>
            <w:tcMar>
              <w:top w:w="16" w:type="dxa"/>
              <w:left w:w="16" w:type="dxa"/>
              <w:right w:w="16" w:type="dxa"/>
            </w:tcMar>
            <w:vAlign w:val="center"/>
          </w:tcPr>
          <w:p w14:paraId="00AB6531">
            <w:pPr>
              <w:adjustRightInd w:val="0"/>
              <w:snapToGrid w:val="0"/>
              <w:spacing w:line="240" w:lineRule="auto"/>
              <w:ind w:firstLine="0" w:firstLineChars="0"/>
              <w:jc w:val="center"/>
              <w:rPr>
                <w:color w:val="auto"/>
                <w:highlight w:val="none"/>
              </w:rPr>
            </w:pPr>
            <w:r>
              <w:rPr>
                <w:color w:val="auto"/>
                <w:highlight w:val="none"/>
              </w:rPr>
              <w:t>建设项目名称</w:t>
            </w:r>
          </w:p>
        </w:tc>
        <w:tc>
          <w:tcPr>
            <w:tcW w:w="7157" w:type="dxa"/>
            <w:gridSpan w:val="4"/>
            <w:noWrap w:val="0"/>
            <w:vAlign w:val="center"/>
          </w:tcPr>
          <w:p w14:paraId="3BDCA24F">
            <w:pPr>
              <w:adjustRightInd w:val="0"/>
              <w:snapToGrid w:val="0"/>
              <w:spacing w:line="240" w:lineRule="auto"/>
              <w:ind w:firstLine="0" w:firstLineChars="0"/>
              <w:jc w:val="center"/>
              <w:rPr>
                <w:rFonts w:hint="eastAsia"/>
                <w:color w:val="auto"/>
                <w:highlight w:val="none"/>
              </w:rPr>
            </w:pPr>
            <w:r>
              <w:rPr>
                <w:rFonts w:hint="eastAsia"/>
                <w:color w:val="auto"/>
                <w:highlight w:val="none"/>
              </w:rPr>
              <w:t>福州市科兴混凝土有限公司沥青搅拌站</w:t>
            </w:r>
          </w:p>
        </w:tc>
      </w:tr>
      <w:tr w14:paraId="1EB849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3" w:type="dxa"/>
            <w:noWrap w:val="0"/>
            <w:tcMar>
              <w:top w:w="16" w:type="dxa"/>
              <w:left w:w="16" w:type="dxa"/>
              <w:right w:w="16" w:type="dxa"/>
            </w:tcMar>
            <w:vAlign w:val="center"/>
          </w:tcPr>
          <w:p w14:paraId="0895783F">
            <w:pPr>
              <w:adjustRightInd w:val="0"/>
              <w:snapToGrid w:val="0"/>
              <w:spacing w:line="240" w:lineRule="auto"/>
              <w:ind w:firstLine="0" w:firstLineChars="0"/>
              <w:jc w:val="center"/>
              <w:rPr>
                <w:color w:val="auto"/>
                <w:highlight w:val="none"/>
              </w:rPr>
            </w:pPr>
            <w:r>
              <w:rPr>
                <w:color w:val="auto"/>
                <w:highlight w:val="none"/>
              </w:rPr>
              <w:t>项目代码</w:t>
            </w:r>
          </w:p>
        </w:tc>
        <w:tc>
          <w:tcPr>
            <w:tcW w:w="7157" w:type="dxa"/>
            <w:gridSpan w:val="4"/>
            <w:noWrap w:val="0"/>
            <w:vAlign w:val="center"/>
          </w:tcPr>
          <w:p w14:paraId="78F2DDC6">
            <w:pPr>
              <w:adjustRightInd w:val="0"/>
              <w:snapToGrid w:val="0"/>
              <w:spacing w:line="240" w:lineRule="auto"/>
              <w:ind w:firstLine="0" w:firstLineChars="0"/>
              <w:jc w:val="center"/>
              <w:rPr>
                <w:rFonts w:hint="default" w:eastAsia="宋体"/>
                <w:color w:val="auto"/>
                <w:highlight w:val="none"/>
                <w:lang w:val="en-US" w:eastAsia="zh-CN"/>
              </w:rPr>
            </w:pPr>
            <w:r>
              <w:rPr>
                <w:rFonts w:hint="eastAsia"/>
                <w:color w:val="auto"/>
                <w:highlight w:val="none"/>
                <w:lang w:val="en-US" w:eastAsia="zh-CN"/>
              </w:rPr>
              <w:t>2305-350123-04-01-628741</w:t>
            </w:r>
          </w:p>
        </w:tc>
      </w:tr>
      <w:tr w14:paraId="3FC16F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3" w:type="dxa"/>
            <w:noWrap w:val="0"/>
            <w:tcMar>
              <w:top w:w="16" w:type="dxa"/>
              <w:left w:w="16" w:type="dxa"/>
              <w:right w:w="16" w:type="dxa"/>
            </w:tcMar>
            <w:vAlign w:val="center"/>
          </w:tcPr>
          <w:p w14:paraId="16466158">
            <w:pPr>
              <w:adjustRightInd w:val="0"/>
              <w:snapToGrid w:val="0"/>
              <w:spacing w:line="240" w:lineRule="auto"/>
              <w:ind w:firstLine="0" w:firstLineChars="0"/>
              <w:jc w:val="center"/>
              <w:rPr>
                <w:color w:val="auto"/>
                <w:highlight w:val="none"/>
              </w:rPr>
            </w:pPr>
            <w:r>
              <w:rPr>
                <w:color w:val="auto"/>
                <w:highlight w:val="none"/>
              </w:rPr>
              <w:t>建设单位联系人</w:t>
            </w:r>
          </w:p>
        </w:tc>
        <w:tc>
          <w:tcPr>
            <w:tcW w:w="2235" w:type="dxa"/>
            <w:noWrap w:val="0"/>
            <w:vAlign w:val="center"/>
          </w:tcPr>
          <w:p w14:paraId="1BF091AE">
            <w:pPr>
              <w:adjustRightInd w:val="0"/>
              <w:snapToGrid w:val="0"/>
              <w:spacing w:line="240" w:lineRule="auto"/>
              <w:ind w:firstLine="0" w:firstLineChars="0"/>
              <w:jc w:val="center"/>
              <w:rPr>
                <w:rFonts w:hint="default" w:eastAsia="宋体"/>
                <w:color w:val="auto"/>
                <w:highlight w:val="none"/>
                <w:lang w:val="en-US" w:eastAsia="zh-CN"/>
              </w:rPr>
            </w:pPr>
            <w:r>
              <w:rPr>
                <w:rFonts w:hint="eastAsia"/>
                <w:color w:val="auto"/>
                <w:highlight w:val="none"/>
                <w:lang w:val="en-US" w:eastAsia="zh-CN"/>
              </w:rPr>
              <w:t>何**</w:t>
            </w:r>
          </w:p>
        </w:tc>
        <w:tc>
          <w:tcPr>
            <w:tcW w:w="2283" w:type="dxa"/>
            <w:gridSpan w:val="2"/>
            <w:noWrap w:val="0"/>
            <w:vAlign w:val="center"/>
          </w:tcPr>
          <w:p w14:paraId="387EED01">
            <w:pPr>
              <w:adjustRightInd w:val="0"/>
              <w:snapToGrid w:val="0"/>
              <w:spacing w:line="240" w:lineRule="auto"/>
              <w:ind w:firstLine="0" w:firstLineChars="0"/>
              <w:jc w:val="center"/>
              <w:rPr>
                <w:color w:val="auto"/>
                <w:highlight w:val="none"/>
              </w:rPr>
            </w:pPr>
            <w:r>
              <w:rPr>
                <w:color w:val="auto"/>
                <w:highlight w:val="none"/>
              </w:rPr>
              <w:t>联系方式</w:t>
            </w:r>
          </w:p>
        </w:tc>
        <w:tc>
          <w:tcPr>
            <w:tcW w:w="2639" w:type="dxa"/>
            <w:noWrap w:val="0"/>
            <w:vAlign w:val="center"/>
          </w:tcPr>
          <w:p w14:paraId="3528D38F">
            <w:pPr>
              <w:adjustRightInd w:val="0"/>
              <w:snapToGrid w:val="0"/>
              <w:spacing w:line="240" w:lineRule="auto"/>
              <w:ind w:firstLine="0" w:firstLineChars="0"/>
              <w:jc w:val="center"/>
              <w:rPr>
                <w:color w:val="auto"/>
                <w:highlight w:val="none"/>
              </w:rPr>
            </w:pPr>
            <w:r>
              <w:rPr>
                <w:rFonts w:hint="eastAsia"/>
                <w:color w:val="auto"/>
                <w:highlight w:val="none"/>
              </w:rPr>
              <w:t>158</w:t>
            </w:r>
            <w:r>
              <w:rPr>
                <w:rFonts w:hint="eastAsia"/>
                <w:color w:val="auto"/>
                <w:highlight w:val="none"/>
                <w:lang w:val="en-US" w:eastAsia="zh-CN"/>
              </w:rPr>
              <w:t>*****</w:t>
            </w:r>
            <w:r>
              <w:rPr>
                <w:rFonts w:hint="eastAsia"/>
                <w:color w:val="auto"/>
                <w:highlight w:val="none"/>
              </w:rPr>
              <w:t>011</w:t>
            </w:r>
          </w:p>
        </w:tc>
      </w:tr>
      <w:tr w14:paraId="5AD74C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3" w:type="dxa"/>
            <w:noWrap w:val="0"/>
            <w:tcMar>
              <w:top w:w="16" w:type="dxa"/>
              <w:left w:w="16" w:type="dxa"/>
              <w:right w:w="16" w:type="dxa"/>
            </w:tcMar>
            <w:vAlign w:val="center"/>
          </w:tcPr>
          <w:p w14:paraId="39E39368">
            <w:pPr>
              <w:adjustRightInd w:val="0"/>
              <w:snapToGrid w:val="0"/>
              <w:spacing w:line="240" w:lineRule="auto"/>
              <w:ind w:firstLine="0" w:firstLineChars="0"/>
              <w:jc w:val="center"/>
              <w:rPr>
                <w:color w:val="auto"/>
                <w:highlight w:val="none"/>
              </w:rPr>
            </w:pPr>
            <w:r>
              <w:rPr>
                <w:color w:val="auto"/>
                <w:highlight w:val="none"/>
              </w:rPr>
              <w:t>建设地点</w:t>
            </w:r>
          </w:p>
        </w:tc>
        <w:tc>
          <w:tcPr>
            <w:tcW w:w="7157" w:type="dxa"/>
            <w:gridSpan w:val="4"/>
            <w:noWrap w:val="0"/>
            <w:vAlign w:val="center"/>
          </w:tcPr>
          <w:p w14:paraId="2B1032BE">
            <w:pPr>
              <w:adjustRightInd w:val="0"/>
              <w:snapToGrid w:val="0"/>
              <w:spacing w:line="240" w:lineRule="auto"/>
              <w:ind w:firstLine="0" w:firstLineChars="0"/>
              <w:jc w:val="center"/>
              <w:rPr>
                <w:rFonts w:hint="default" w:eastAsia="宋体"/>
                <w:color w:val="auto"/>
                <w:highlight w:val="none"/>
                <w:lang w:val="en-US" w:eastAsia="zh-CN"/>
              </w:rPr>
            </w:pPr>
            <w:r>
              <w:rPr>
                <w:rFonts w:hint="eastAsia"/>
                <w:color w:val="auto"/>
                <w:highlight w:val="none"/>
              </w:rPr>
              <w:t>福建省福州市罗源县</w:t>
            </w:r>
            <w:r>
              <w:rPr>
                <w:rFonts w:hint="eastAsia"/>
                <w:color w:val="auto"/>
                <w:highlight w:val="none"/>
                <w:lang w:val="en-US" w:eastAsia="zh-CN"/>
              </w:rPr>
              <w:t>金港工业区</w:t>
            </w:r>
          </w:p>
        </w:tc>
      </w:tr>
      <w:tr w14:paraId="2D25B2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3" w:type="dxa"/>
            <w:noWrap w:val="0"/>
            <w:tcMar>
              <w:top w:w="16" w:type="dxa"/>
              <w:left w:w="16" w:type="dxa"/>
              <w:right w:w="16" w:type="dxa"/>
            </w:tcMar>
            <w:vAlign w:val="center"/>
          </w:tcPr>
          <w:p w14:paraId="46F48F7E">
            <w:pPr>
              <w:adjustRightInd w:val="0"/>
              <w:snapToGrid w:val="0"/>
              <w:spacing w:line="240" w:lineRule="auto"/>
              <w:ind w:firstLine="0" w:firstLineChars="0"/>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地理坐标</w:t>
            </w:r>
          </w:p>
        </w:tc>
        <w:tc>
          <w:tcPr>
            <w:tcW w:w="7157" w:type="dxa"/>
            <w:gridSpan w:val="4"/>
            <w:noWrap w:val="0"/>
            <w:vAlign w:val="center"/>
          </w:tcPr>
          <w:p w14:paraId="38E7CF73">
            <w:pPr>
              <w:adjustRightInd w:val="0"/>
              <w:snapToGrid w:val="0"/>
              <w:spacing w:line="240" w:lineRule="auto"/>
              <w:ind w:firstLine="0" w:firstLineChars="0"/>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N：</w:t>
            </w:r>
            <w:r>
              <w:rPr>
                <w:rFonts w:hint="eastAsia" w:ascii="Times New Roman" w:hAnsi="Times New Roman" w:eastAsia="宋体" w:cs="Times New Roman"/>
                <w:color w:val="auto"/>
                <w:highlight w:val="none"/>
              </w:rPr>
              <w:t>119°38'05.9922"</w:t>
            </w:r>
            <w:r>
              <w:rPr>
                <w:rFonts w:ascii="Times New Roman" w:hAnsi="Times New Roman" w:eastAsia="宋体" w:cs="Times New Roman"/>
                <w:color w:val="auto"/>
                <w:highlight w:val="none"/>
              </w:rPr>
              <w:t>，E</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rPr>
              <w:t>26°29'45.1916"</w:t>
            </w:r>
          </w:p>
        </w:tc>
      </w:tr>
      <w:tr w14:paraId="199EF6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713" w:type="dxa"/>
            <w:noWrap w:val="0"/>
            <w:tcMar>
              <w:top w:w="16" w:type="dxa"/>
              <w:left w:w="16" w:type="dxa"/>
              <w:right w:w="16" w:type="dxa"/>
            </w:tcMar>
            <w:vAlign w:val="center"/>
          </w:tcPr>
          <w:p w14:paraId="1E329A65">
            <w:pPr>
              <w:adjustRightInd w:val="0"/>
              <w:snapToGrid w:val="0"/>
              <w:spacing w:line="240" w:lineRule="auto"/>
              <w:ind w:firstLine="0" w:firstLineChars="0"/>
              <w:jc w:val="center"/>
              <w:rPr>
                <w:color w:val="auto"/>
                <w:highlight w:val="none"/>
              </w:rPr>
            </w:pPr>
            <w:r>
              <w:rPr>
                <w:color w:val="auto"/>
                <w:highlight w:val="none"/>
              </w:rPr>
              <w:t>国民经济</w:t>
            </w:r>
          </w:p>
          <w:p w14:paraId="37E319C3">
            <w:pPr>
              <w:adjustRightInd w:val="0"/>
              <w:snapToGrid w:val="0"/>
              <w:spacing w:line="240" w:lineRule="auto"/>
              <w:ind w:firstLine="0" w:firstLineChars="0"/>
              <w:jc w:val="center"/>
              <w:rPr>
                <w:color w:val="auto"/>
                <w:highlight w:val="none"/>
              </w:rPr>
            </w:pPr>
            <w:r>
              <w:rPr>
                <w:color w:val="auto"/>
                <w:highlight w:val="none"/>
              </w:rPr>
              <w:t>行业类别</w:t>
            </w:r>
          </w:p>
        </w:tc>
        <w:tc>
          <w:tcPr>
            <w:tcW w:w="2235" w:type="dxa"/>
            <w:noWrap w:val="0"/>
            <w:vAlign w:val="center"/>
          </w:tcPr>
          <w:p w14:paraId="0B4EAFDB">
            <w:pPr>
              <w:adjustRightInd w:val="0"/>
              <w:snapToGrid w:val="0"/>
              <w:spacing w:line="240" w:lineRule="auto"/>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 xml:space="preserve">C3099 </w:t>
            </w:r>
            <w:r>
              <w:rPr>
                <w:rFonts w:hint="eastAsia" w:ascii="Times New Roman" w:hAnsi="Times New Roman" w:eastAsia="宋体" w:cs="Times New Roman"/>
                <w:color w:val="auto"/>
                <w:highlight w:val="none"/>
                <w:lang w:val="en-US" w:eastAsia="zh-CN"/>
              </w:rPr>
              <w:t>其他非金属矿物制品制造</w:t>
            </w:r>
          </w:p>
        </w:tc>
        <w:tc>
          <w:tcPr>
            <w:tcW w:w="1918" w:type="dxa"/>
            <w:noWrap w:val="0"/>
            <w:vAlign w:val="center"/>
          </w:tcPr>
          <w:p w14:paraId="2E383D9F">
            <w:pPr>
              <w:adjustRightInd w:val="0"/>
              <w:snapToGrid w:val="0"/>
              <w:spacing w:line="240" w:lineRule="auto"/>
              <w:ind w:firstLine="0" w:firstLineChars="0"/>
              <w:jc w:val="center"/>
              <w:rPr>
                <w:rFonts w:ascii="Times New Roman" w:hAnsi="Times New Roman" w:eastAsia="宋体" w:cs="Times New Roman"/>
                <w:color w:val="auto"/>
                <w:highlight w:val="none"/>
              </w:rPr>
            </w:pPr>
            <w:bookmarkStart w:id="2" w:name="_Hlk49843745"/>
            <w:r>
              <w:rPr>
                <w:rFonts w:ascii="Times New Roman" w:hAnsi="Times New Roman" w:eastAsia="宋体" w:cs="Times New Roman"/>
                <w:color w:val="auto"/>
                <w:highlight w:val="none"/>
              </w:rPr>
              <w:t>建设项目</w:t>
            </w:r>
          </w:p>
          <w:p w14:paraId="080B2802">
            <w:pPr>
              <w:adjustRightInd w:val="0"/>
              <w:snapToGrid w:val="0"/>
              <w:spacing w:line="240" w:lineRule="auto"/>
              <w:ind w:firstLine="0" w:firstLineChars="0"/>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行业类别</w:t>
            </w:r>
            <w:bookmarkEnd w:id="2"/>
          </w:p>
        </w:tc>
        <w:tc>
          <w:tcPr>
            <w:tcW w:w="3004" w:type="dxa"/>
            <w:gridSpan w:val="2"/>
            <w:noWrap w:val="0"/>
            <w:vAlign w:val="center"/>
          </w:tcPr>
          <w:p w14:paraId="5F866815">
            <w:pPr>
              <w:adjustRightInd w:val="0"/>
              <w:snapToGrid w:val="0"/>
              <w:spacing w:line="240" w:lineRule="auto"/>
              <w:ind w:firstLine="0" w:firstLineChars="0"/>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二十七、非金属矿物制品业</w:t>
            </w:r>
            <w:r>
              <w:rPr>
                <w:rFonts w:hint="default" w:ascii="Times New Roman" w:hAnsi="Times New Roman" w:eastAsia="宋体" w:cs="Times New Roman"/>
                <w:color w:val="auto"/>
                <w:highlight w:val="none"/>
                <w:lang w:val="en-US" w:eastAsia="zh-CN"/>
              </w:rPr>
              <w:t>30</w:t>
            </w:r>
            <w:r>
              <w:rPr>
                <w:rFonts w:hint="eastAsia" w:ascii="Times New Roman" w:hAnsi="Times New Roman" w:eastAsia="宋体" w:cs="Times New Roman"/>
                <w:color w:val="auto"/>
                <w:highlight w:val="none"/>
                <w:lang w:val="en-US" w:eastAsia="zh-CN"/>
              </w:rPr>
              <w:t xml:space="preserve">-耐火材料制品制造 </w:t>
            </w:r>
            <w:r>
              <w:rPr>
                <w:rFonts w:hint="default" w:ascii="Times New Roman" w:hAnsi="Times New Roman" w:eastAsia="宋体" w:cs="Times New Roman"/>
                <w:color w:val="auto"/>
                <w:highlight w:val="none"/>
                <w:lang w:val="en-US" w:eastAsia="zh-CN"/>
              </w:rPr>
              <w:t>308</w:t>
            </w:r>
            <w:r>
              <w:rPr>
                <w:rFonts w:hint="eastAsia" w:ascii="Times New Roman" w:hAnsi="Times New Roman" w:eastAsia="宋体" w:cs="Times New Roman"/>
                <w:color w:val="auto"/>
                <w:highlight w:val="none"/>
                <w:lang w:val="en-US" w:eastAsia="zh-CN"/>
              </w:rPr>
              <w:t xml:space="preserve">； 石墨及其他非金属矿物制品制造 </w:t>
            </w:r>
            <w:r>
              <w:rPr>
                <w:rFonts w:hint="default" w:ascii="Times New Roman" w:hAnsi="Times New Roman" w:eastAsia="宋体" w:cs="Times New Roman"/>
                <w:color w:val="auto"/>
                <w:highlight w:val="none"/>
                <w:lang w:val="en-US" w:eastAsia="zh-CN"/>
              </w:rPr>
              <w:t>309</w:t>
            </w:r>
            <w:r>
              <w:rPr>
                <w:rFonts w:hint="eastAsia" w:ascii="Times New Roman" w:hAnsi="Times New Roman" w:eastAsia="宋体" w:cs="Times New Roman"/>
                <w:color w:val="auto"/>
                <w:highlight w:val="none"/>
                <w:lang w:val="en-US" w:eastAsia="zh-CN"/>
              </w:rPr>
              <w:t>（其他）</w:t>
            </w:r>
          </w:p>
        </w:tc>
      </w:tr>
      <w:tr w14:paraId="590418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713" w:type="dxa"/>
            <w:noWrap w:val="0"/>
            <w:tcMar>
              <w:top w:w="16" w:type="dxa"/>
              <w:left w:w="16" w:type="dxa"/>
              <w:right w:w="16" w:type="dxa"/>
            </w:tcMar>
            <w:vAlign w:val="center"/>
          </w:tcPr>
          <w:p w14:paraId="6A3DAB32">
            <w:pPr>
              <w:adjustRightInd w:val="0"/>
              <w:snapToGrid w:val="0"/>
              <w:spacing w:line="240" w:lineRule="auto"/>
              <w:ind w:firstLine="0" w:firstLineChars="0"/>
              <w:jc w:val="center"/>
              <w:rPr>
                <w:color w:val="auto"/>
                <w:highlight w:val="none"/>
              </w:rPr>
            </w:pPr>
            <w:r>
              <w:rPr>
                <w:color w:val="auto"/>
                <w:highlight w:val="none"/>
              </w:rPr>
              <w:t>建设性质</w:t>
            </w:r>
          </w:p>
        </w:tc>
        <w:tc>
          <w:tcPr>
            <w:tcW w:w="2235" w:type="dxa"/>
            <w:noWrap w:val="0"/>
            <w:vAlign w:val="center"/>
          </w:tcPr>
          <w:p w14:paraId="0D1D503A">
            <w:pPr>
              <w:adjustRightInd w:val="0"/>
              <w:snapToGrid w:val="0"/>
              <w:spacing w:line="240" w:lineRule="auto"/>
              <w:ind w:firstLine="0" w:firstLineChars="0"/>
              <w:rPr>
                <w:color w:val="auto"/>
                <w:highlight w:val="none"/>
              </w:rPr>
            </w:pPr>
            <w:r>
              <w:rPr>
                <w:color w:val="auto"/>
                <w:highlight w:val="none"/>
              </w:rPr>
              <w:sym w:font="Wingdings 2" w:char="0052"/>
            </w:r>
            <w:r>
              <w:rPr>
                <w:color w:val="auto"/>
                <w:highlight w:val="none"/>
              </w:rPr>
              <w:t>新建(</w:t>
            </w:r>
            <w:r>
              <w:rPr>
                <w:color w:val="auto"/>
                <w:highlight w:val="none"/>
                <w:u w:val="single"/>
              </w:rPr>
              <w:t>迁建</w:t>
            </w:r>
            <w:r>
              <w:rPr>
                <w:color w:val="auto"/>
                <w:highlight w:val="none"/>
              </w:rPr>
              <w:t>)</w:t>
            </w:r>
          </w:p>
          <w:p w14:paraId="085575C5">
            <w:pPr>
              <w:adjustRightInd w:val="0"/>
              <w:snapToGrid w:val="0"/>
              <w:spacing w:line="240" w:lineRule="auto"/>
              <w:ind w:firstLine="0" w:firstLineChars="0"/>
              <w:rPr>
                <w:color w:val="auto"/>
                <w:highlight w:val="none"/>
              </w:rPr>
            </w:pPr>
            <w:r>
              <w:rPr>
                <w:rFonts w:hint="eastAsia"/>
                <w:color w:val="auto"/>
                <w:highlight w:val="none"/>
                <w:lang w:eastAsia="zh-CN"/>
              </w:rPr>
              <w:t>□</w:t>
            </w:r>
            <w:r>
              <w:rPr>
                <w:color w:val="auto"/>
                <w:highlight w:val="none"/>
              </w:rPr>
              <w:t>改建</w:t>
            </w:r>
          </w:p>
          <w:p w14:paraId="6AD4CEBB">
            <w:pPr>
              <w:adjustRightInd w:val="0"/>
              <w:snapToGrid w:val="0"/>
              <w:spacing w:line="240" w:lineRule="auto"/>
              <w:ind w:firstLine="0" w:firstLineChars="0"/>
              <w:rPr>
                <w:color w:val="auto"/>
                <w:highlight w:val="none"/>
              </w:rPr>
            </w:pPr>
            <w:r>
              <w:rPr>
                <w:rFonts w:hint="eastAsia"/>
                <w:color w:val="auto"/>
                <w:highlight w:val="none"/>
                <w:lang w:eastAsia="zh-CN"/>
              </w:rPr>
              <w:t>□</w:t>
            </w:r>
            <w:r>
              <w:rPr>
                <w:color w:val="auto"/>
                <w:highlight w:val="none"/>
              </w:rPr>
              <w:t>扩建</w:t>
            </w:r>
          </w:p>
          <w:p w14:paraId="4D50BEDA">
            <w:pPr>
              <w:adjustRightInd w:val="0"/>
              <w:snapToGrid w:val="0"/>
              <w:spacing w:line="240" w:lineRule="auto"/>
              <w:ind w:firstLine="0" w:firstLineChars="0"/>
              <w:rPr>
                <w:color w:val="auto"/>
                <w:highlight w:val="none"/>
              </w:rPr>
            </w:pPr>
            <w:r>
              <w:rPr>
                <w:rFonts w:hint="eastAsia"/>
                <w:color w:val="auto"/>
                <w:highlight w:val="none"/>
                <w:lang w:eastAsia="zh-CN"/>
              </w:rPr>
              <w:t>□</w:t>
            </w:r>
            <w:r>
              <w:rPr>
                <w:color w:val="auto"/>
                <w:highlight w:val="none"/>
              </w:rPr>
              <w:t>技术改造</w:t>
            </w:r>
          </w:p>
        </w:tc>
        <w:tc>
          <w:tcPr>
            <w:tcW w:w="1918" w:type="dxa"/>
            <w:noWrap w:val="0"/>
            <w:vAlign w:val="center"/>
          </w:tcPr>
          <w:p w14:paraId="15CF1F99">
            <w:pPr>
              <w:adjustRightInd w:val="0"/>
              <w:snapToGrid w:val="0"/>
              <w:spacing w:line="240" w:lineRule="auto"/>
              <w:ind w:firstLine="0" w:firstLineChars="0"/>
              <w:jc w:val="center"/>
              <w:rPr>
                <w:color w:val="auto"/>
                <w:highlight w:val="none"/>
              </w:rPr>
            </w:pPr>
            <w:r>
              <w:rPr>
                <w:color w:val="auto"/>
                <w:highlight w:val="none"/>
              </w:rPr>
              <w:t>建设项目</w:t>
            </w:r>
          </w:p>
          <w:p w14:paraId="6768C38E">
            <w:pPr>
              <w:adjustRightInd w:val="0"/>
              <w:snapToGrid w:val="0"/>
              <w:spacing w:line="240" w:lineRule="auto"/>
              <w:ind w:firstLine="0" w:firstLineChars="0"/>
              <w:jc w:val="center"/>
              <w:rPr>
                <w:color w:val="auto"/>
                <w:highlight w:val="none"/>
              </w:rPr>
            </w:pPr>
            <w:r>
              <w:rPr>
                <w:color w:val="auto"/>
                <w:highlight w:val="none"/>
              </w:rPr>
              <w:t>申报情形</w:t>
            </w:r>
          </w:p>
        </w:tc>
        <w:tc>
          <w:tcPr>
            <w:tcW w:w="3004" w:type="dxa"/>
            <w:gridSpan w:val="2"/>
            <w:noWrap w:val="0"/>
            <w:vAlign w:val="center"/>
          </w:tcPr>
          <w:p w14:paraId="1C2C95A8">
            <w:pPr>
              <w:adjustRightInd w:val="0"/>
              <w:snapToGrid w:val="0"/>
              <w:spacing w:line="240" w:lineRule="auto"/>
              <w:ind w:firstLine="0" w:firstLineChars="0"/>
              <w:rPr>
                <w:color w:val="auto"/>
                <w:highlight w:val="none"/>
              </w:rPr>
            </w:pPr>
            <w:r>
              <w:rPr>
                <w:color w:val="auto"/>
                <w:highlight w:val="none"/>
              </w:rPr>
              <w:sym w:font="Wingdings 2" w:char="0052"/>
            </w:r>
            <w:r>
              <w:rPr>
                <w:color w:val="auto"/>
                <w:highlight w:val="none"/>
              </w:rPr>
              <w:t xml:space="preserve">首次申报项目             </w:t>
            </w:r>
          </w:p>
          <w:p w14:paraId="17EE7A9B">
            <w:pPr>
              <w:adjustRightInd w:val="0"/>
              <w:snapToGrid w:val="0"/>
              <w:spacing w:line="240" w:lineRule="auto"/>
              <w:ind w:firstLine="0" w:firstLineChars="0"/>
              <w:rPr>
                <w:color w:val="auto"/>
                <w:highlight w:val="none"/>
              </w:rPr>
            </w:pPr>
            <w:r>
              <w:rPr>
                <w:color w:val="auto"/>
                <w:highlight w:val="none"/>
              </w:rPr>
              <w:t>□不予批准后再次申报项目</w:t>
            </w:r>
          </w:p>
          <w:p w14:paraId="5D90BF93">
            <w:pPr>
              <w:adjustRightInd w:val="0"/>
              <w:snapToGrid w:val="0"/>
              <w:spacing w:line="240" w:lineRule="auto"/>
              <w:ind w:firstLine="0" w:firstLineChars="0"/>
              <w:rPr>
                <w:color w:val="auto"/>
                <w:highlight w:val="none"/>
              </w:rPr>
            </w:pPr>
            <w:r>
              <w:rPr>
                <w:color w:val="auto"/>
                <w:highlight w:val="none"/>
              </w:rPr>
              <w:t xml:space="preserve">□超五年重新审核项目     </w:t>
            </w:r>
          </w:p>
          <w:p w14:paraId="4BA2F2D7">
            <w:pPr>
              <w:adjustRightInd w:val="0"/>
              <w:snapToGrid w:val="0"/>
              <w:spacing w:line="240" w:lineRule="auto"/>
              <w:ind w:firstLine="0" w:firstLineChars="0"/>
              <w:rPr>
                <w:color w:val="auto"/>
                <w:highlight w:val="none"/>
              </w:rPr>
            </w:pPr>
            <w:r>
              <w:rPr>
                <w:color w:val="auto"/>
                <w:highlight w:val="none"/>
              </w:rPr>
              <w:t>□重大变动重新报批项目</w:t>
            </w:r>
          </w:p>
        </w:tc>
      </w:tr>
      <w:tr w14:paraId="3E6703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713" w:type="dxa"/>
            <w:noWrap w:val="0"/>
            <w:tcMar>
              <w:top w:w="16" w:type="dxa"/>
              <w:left w:w="16" w:type="dxa"/>
              <w:right w:w="16" w:type="dxa"/>
            </w:tcMar>
            <w:vAlign w:val="center"/>
          </w:tcPr>
          <w:p w14:paraId="0D67EEF5">
            <w:pPr>
              <w:adjustRightInd w:val="0"/>
              <w:snapToGrid w:val="0"/>
              <w:spacing w:line="240" w:lineRule="auto"/>
              <w:ind w:firstLine="0" w:firstLineChars="0"/>
              <w:jc w:val="center"/>
              <w:rPr>
                <w:color w:val="auto"/>
                <w:highlight w:val="none"/>
              </w:rPr>
            </w:pPr>
            <w:r>
              <w:rPr>
                <w:color w:val="auto"/>
                <w:highlight w:val="none"/>
              </w:rPr>
              <w:t>项目审批</w:t>
            </w:r>
            <w:r>
              <w:rPr>
                <w:rFonts w:hint="eastAsia"/>
                <w:color w:val="auto"/>
                <w:highlight w:val="none"/>
              </w:rPr>
              <w:t>（</w:t>
            </w:r>
            <w:r>
              <w:rPr>
                <w:color w:val="auto"/>
                <w:highlight w:val="none"/>
              </w:rPr>
              <w:t>核准/备案</w:t>
            </w:r>
            <w:r>
              <w:rPr>
                <w:rFonts w:hint="eastAsia"/>
                <w:color w:val="auto"/>
                <w:highlight w:val="none"/>
              </w:rPr>
              <w:t>）</w:t>
            </w:r>
            <w:r>
              <w:rPr>
                <w:color w:val="auto"/>
                <w:highlight w:val="none"/>
              </w:rPr>
              <w:t>部门</w:t>
            </w:r>
            <w:r>
              <w:rPr>
                <w:rFonts w:hint="eastAsia"/>
                <w:color w:val="auto"/>
                <w:highlight w:val="none"/>
              </w:rPr>
              <w:t>（</w:t>
            </w:r>
            <w:r>
              <w:rPr>
                <w:color w:val="auto"/>
                <w:highlight w:val="none"/>
              </w:rPr>
              <w:t>选填</w:t>
            </w:r>
            <w:r>
              <w:rPr>
                <w:rFonts w:hint="eastAsia"/>
                <w:color w:val="auto"/>
                <w:highlight w:val="none"/>
              </w:rPr>
              <w:t>）</w:t>
            </w:r>
          </w:p>
        </w:tc>
        <w:tc>
          <w:tcPr>
            <w:tcW w:w="2235" w:type="dxa"/>
            <w:noWrap w:val="0"/>
            <w:vAlign w:val="center"/>
          </w:tcPr>
          <w:p w14:paraId="676F4010">
            <w:pPr>
              <w:adjustRightInd w:val="0"/>
              <w:snapToGrid w:val="0"/>
              <w:spacing w:line="240" w:lineRule="auto"/>
              <w:ind w:firstLine="0" w:firstLineChars="0"/>
              <w:jc w:val="center"/>
              <w:rPr>
                <w:color w:val="auto"/>
                <w:highlight w:val="none"/>
              </w:rPr>
            </w:pPr>
            <w:r>
              <w:rPr>
                <w:rFonts w:hint="eastAsia"/>
                <w:color w:val="auto"/>
                <w:highlight w:val="none"/>
              </w:rPr>
              <w:t>罗源县</w:t>
            </w:r>
            <w:r>
              <w:rPr>
                <w:rFonts w:hint="eastAsia"/>
                <w:color w:val="auto"/>
                <w:highlight w:val="none"/>
                <w:lang w:val="en-US" w:eastAsia="zh-CN"/>
              </w:rPr>
              <w:t>发展和改革</w:t>
            </w:r>
            <w:r>
              <w:rPr>
                <w:rFonts w:hint="eastAsia"/>
                <w:color w:val="auto"/>
                <w:highlight w:val="none"/>
              </w:rPr>
              <w:t>局</w:t>
            </w:r>
          </w:p>
        </w:tc>
        <w:tc>
          <w:tcPr>
            <w:tcW w:w="1918" w:type="dxa"/>
            <w:noWrap w:val="0"/>
            <w:vAlign w:val="center"/>
          </w:tcPr>
          <w:p w14:paraId="4F6CC969">
            <w:pPr>
              <w:adjustRightInd w:val="0"/>
              <w:snapToGrid w:val="0"/>
              <w:spacing w:line="240" w:lineRule="auto"/>
              <w:ind w:firstLine="0" w:firstLineChars="0"/>
              <w:jc w:val="center"/>
              <w:rPr>
                <w:color w:val="auto"/>
                <w:highlight w:val="none"/>
              </w:rPr>
            </w:pPr>
            <w:r>
              <w:rPr>
                <w:color w:val="auto"/>
                <w:highlight w:val="none"/>
              </w:rPr>
              <w:t>项目审批</w:t>
            </w:r>
            <w:r>
              <w:rPr>
                <w:rFonts w:hint="eastAsia"/>
                <w:color w:val="auto"/>
                <w:highlight w:val="none"/>
              </w:rPr>
              <w:t>（</w:t>
            </w:r>
            <w:r>
              <w:rPr>
                <w:color w:val="auto"/>
                <w:highlight w:val="none"/>
              </w:rPr>
              <w:t>核准/备案</w:t>
            </w:r>
            <w:r>
              <w:rPr>
                <w:rFonts w:hint="eastAsia"/>
                <w:color w:val="auto"/>
                <w:highlight w:val="none"/>
              </w:rPr>
              <w:t>）</w:t>
            </w:r>
            <w:r>
              <w:rPr>
                <w:color w:val="auto"/>
                <w:highlight w:val="none"/>
              </w:rPr>
              <w:t>文号</w:t>
            </w:r>
            <w:r>
              <w:rPr>
                <w:rFonts w:hint="eastAsia"/>
                <w:color w:val="auto"/>
                <w:highlight w:val="none"/>
              </w:rPr>
              <w:t>（</w:t>
            </w:r>
            <w:r>
              <w:rPr>
                <w:color w:val="auto"/>
                <w:highlight w:val="none"/>
              </w:rPr>
              <w:t>选填</w:t>
            </w:r>
            <w:r>
              <w:rPr>
                <w:rFonts w:hint="eastAsia"/>
                <w:color w:val="auto"/>
                <w:highlight w:val="none"/>
              </w:rPr>
              <w:t>）</w:t>
            </w:r>
          </w:p>
        </w:tc>
        <w:tc>
          <w:tcPr>
            <w:tcW w:w="3004" w:type="dxa"/>
            <w:gridSpan w:val="2"/>
            <w:noWrap w:val="0"/>
            <w:vAlign w:val="center"/>
          </w:tcPr>
          <w:p w14:paraId="15629404">
            <w:pPr>
              <w:adjustRightInd w:val="0"/>
              <w:snapToGrid w:val="0"/>
              <w:spacing w:line="240" w:lineRule="auto"/>
              <w:ind w:firstLine="0" w:firstLineChars="0"/>
              <w:jc w:val="center"/>
              <w:rPr>
                <w:color w:val="auto"/>
                <w:highlight w:val="none"/>
              </w:rPr>
            </w:pPr>
            <w:r>
              <w:rPr>
                <w:rFonts w:hint="eastAsia"/>
                <w:color w:val="auto"/>
                <w:highlight w:val="none"/>
                <w:lang w:val="en-US" w:eastAsia="zh-CN"/>
              </w:rPr>
              <w:t>闽</w:t>
            </w:r>
            <w:r>
              <w:rPr>
                <w:rFonts w:hint="eastAsia"/>
                <w:color w:val="auto"/>
                <w:highlight w:val="none"/>
              </w:rPr>
              <w:t>发改备[2023]A</w:t>
            </w:r>
            <w:r>
              <w:rPr>
                <w:rFonts w:hint="eastAsia"/>
                <w:color w:val="auto"/>
                <w:highlight w:val="none"/>
                <w:lang w:val="en-US" w:eastAsia="zh-CN"/>
              </w:rPr>
              <w:t>1</w:t>
            </w:r>
            <w:r>
              <w:rPr>
                <w:rFonts w:hint="eastAsia"/>
                <w:color w:val="auto"/>
                <w:highlight w:val="none"/>
              </w:rPr>
              <w:t>30037号</w:t>
            </w:r>
          </w:p>
        </w:tc>
      </w:tr>
      <w:tr w14:paraId="19E5AB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3" w:type="dxa"/>
            <w:noWrap w:val="0"/>
            <w:tcMar>
              <w:top w:w="16" w:type="dxa"/>
              <w:left w:w="16" w:type="dxa"/>
              <w:right w:w="16" w:type="dxa"/>
            </w:tcMar>
            <w:vAlign w:val="center"/>
          </w:tcPr>
          <w:p w14:paraId="0827100F">
            <w:pPr>
              <w:adjustRightInd w:val="0"/>
              <w:snapToGrid w:val="0"/>
              <w:spacing w:line="240" w:lineRule="auto"/>
              <w:ind w:firstLine="0" w:firstLineChars="0"/>
              <w:jc w:val="center"/>
              <w:rPr>
                <w:color w:val="auto"/>
                <w:highlight w:val="none"/>
              </w:rPr>
            </w:pPr>
            <w:r>
              <w:rPr>
                <w:color w:val="auto"/>
                <w:highlight w:val="none"/>
              </w:rPr>
              <w:t>总投资</w:t>
            </w:r>
            <w:r>
              <w:rPr>
                <w:rFonts w:hint="eastAsia"/>
                <w:color w:val="auto"/>
                <w:highlight w:val="none"/>
              </w:rPr>
              <w:t>（万元）</w:t>
            </w:r>
          </w:p>
        </w:tc>
        <w:tc>
          <w:tcPr>
            <w:tcW w:w="2235" w:type="dxa"/>
            <w:noWrap w:val="0"/>
            <w:vAlign w:val="center"/>
          </w:tcPr>
          <w:p w14:paraId="22BDDC5A">
            <w:pPr>
              <w:adjustRightInd w:val="0"/>
              <w:snapToGrid w:val="0"/>
              <w:spacing w:line="240" w:lineRule="auto"/>
              <w:ind w:firstLine="0" w:firstLineChars="0"/>
              <w:jc w:val="center"/>
              <w:rPr>
                <w:rFonts w:hint="default" w:eastAsia="宋体"/>
                <w:color w:val="auto"/>
                <w:highlight w:val="none"/>
                <w:lang w:val="en-US" w:eastAsia="zh-CN"/>
              </w:rPr>
            </w:pPr>
            <w:r>
              <w:rPr>
                <w:rFonts w:hint="eastAsia"/>
                <w:color w:val="auto"/>
                <w:highlight w:val="none"/>
                <w:lang w:val="en-US" w:eastAsia="zh-CN"/>
              </w:rPr>
              <w:t>30000</w:t>
            </w:r>
          </w:p>
        </w:tc>
        <w:tc>
          <w:tcPr>
            <w:tcW w:w="1918" w:type="dxa"/>
            <w:noWrap w:val="0"/>
            <w:tcMar>
              <w:top w:w="16" w:type="dxa"/>
              <w:left w:w="16" w:type="dxa"/>
              <w:right w:w="16" w:type="dxa"/>
            </w:tcMar>
            <w:vAlign w:val="center"/>
          </w:tcPr>
          <w:p w14:paraId="182CAC14">
            <w:pPr>
              <w:adjustRightInd w:val="0"/>
              <w:snapToGrid w:val="0"/>
              <w:spacing w:line="240" w:lineRule="auto"/>
              <w:ind w:firstLine="0" w:firstLineChars="0"/>
              <w:jc w:val="center"/>
              <w:rPr>
                <w:color w:val="auto"/>
                <w:highlight w:val="none"/>
              </w:rPr>
            </w:pPr>
            <w:r>
              <w:rPr>
                <w:color w:val="auto"/>
                <w:highlight w:val="none"/>
              </w:rPr>
              <w:t>环保投资</w:t>
            </w:r>
            <w:r>
              <w:rPr>
                <w:rFonts w:hint="eastAsia"/>
                <w:color w:val="auto"/>
                <w:highlight w:val="none"/>
              </w:rPr>
              <w:t>（万元）</w:t>
            </w:r>
          </w:p>
        </w:tc>
        <w:tc>
          <w:tcPr>
            <w:tcW w:w="3004" w:type="dxa"/>
            <w:gridSpan w:val="2"/>
            <w:noWrap w:val="0"/>
            <w:vAlign w:val="center"/>
          </w:tcPr>
          <w:p w14:paraId="01B0C71E">
            <w:pPr>
              <w:adjustRightInd w:val="0"/>
              <w:snapToGrid w:val="0"/>
              <w:spacing w:line="240" w:lineRule="auto"/>
              <w:ind w:firstLine="0" w:firstLineChars="0"/>
              <w:jc w:val="center"/>
              <w:rPr>
                <w:rFonts w:hint="default" w:eastAsia="宋体"/>
                <w:color w:val="auto"/>
                <w:highlight w:val="none"/>
                <w:lang w:val="en-US" w:eastAsia="zh-CN"/>
              </w:rPr>
            </w:pPr>
            <w:r>
              <w:rPr>
                <w:rFonts w:hint="eastAsia"/>
                <w:color w:val="auto"/>
                <w:highlight w:val="none"/>
                <w:lang w:val="en-US" w:eastAsia="zh-CN"/>
              </w:rPr>
              <w:t>55</w:t>
            </w:r>
          </w:p>
        </w:tc>
      </w:tr>
      <w:tr w14:paraId="61DA76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3" w:type="dxa"/>
            <w:noWrap w:val="0"/>
            <w:tcMar>
              <w:top w:w="16" w:type="dxa"/>
              <w:left w:w="16" w:type="dxa"/>
              <w:right w:w="16" w:type="dxa"/>
            </w:tcMar>
            <w:vAlign w:val="center"/>
          </w:tcPr>
          <w:p w14:paraId="2E576E63">
            <w:pPr>
              <w:adjustRightInd w:val="0"/>
              <w:snapToGrid w:val="0"/>
              <w:spacing w:line="240" w:lineRule="auto"/>
              <w:ind w:firstLine="0" w:firstLineChars="0"/>
              <w:jc w:val="center"/>
              <w:rPr>
                <w:color w:val="auto"/>
                <w:highlight w:val="none"/>
              </w:rPr>
            </w:pPr>
            <w:r>
              <w:rPr>
                <w:color w:val="auto"/>
                <w:highlight w:val="none"/>
              </w:rPr>
              <w:t>环保投资占比</w:t>
            </w:r>
            <w:r>
              <w:rPr>
                <w:rFonts w:hint="eastAsia"/>
                <w:color w:val="auto"/>
                <w:highlight w:val="none"/>
              </w:rPr>
              <w:t>（%）</w:t>
            </w:r>
          </w:p>
        </w:tc>
        <w:tc>
          <w:tcPr>
            <w:tcW w:w="2235" w:type="dxa"/>
            <w:noWrap w:val="0"/>
            <w:vAlign w:val="center"/>
          </w:tcPr>
          <w:p w14:paraId="1B2A5CF9">
            <w:pPr>
              <w:adjustRightInd w:val="0"/>
              <w:snapToGrid w:val="0"/>
              <w:spacing w:line="240" w:lineRule="auto"/>
              <w:ind w:firstLine="0" w:firstLineChars="0"/>
              <w:jc w:val="center"/>
              <w:rPr>
                <w:rFonts w:hint="eastAsia" w:eastAsia="宋体"/>
                <w:color w:val="auto"/>
                <w:highlight w:val="none"/>
                <w:lang w:val="en-US" w:eastAsia="zh-CN"/>
              </w:rPr>
            </w:pPr>
            <w:r>
              <w:rPr>
                <w:rFonts w:hint="eastAsia"/>
                <w:color w:val="auto"/>
                <w:highlight w:val="none"/>
              </w:rPr>
              <w:t>0.1</w:t>
            </w:r>
            <w:r>
              <w:rPr>
                <w:rFonts w:hint="eastAsia"/>
                <w:color w:val="auto"/>
                <w:highlight w:val="none"/>
                <w:lang w:val="en-US" w:eastAsia="zh-CN"/>
              </w:rPr>
              <w:t>8</w:t>
            </w:r>
          </w:p>
        </w:tc>
        <w:tc>
          <w:tcPr>
            <w:tcW w:w="1918" w:type="dxa"/>
            <w:noWrap w:val="0"/>
            <w:tcMar>
              <w:top w:w="16" w:type="dxa"/>
              <w:left w:w="16" w:type="dxa"/>
              <w:right w:w="16" w:type="dxa"/>
            </w:tcMar>
            <w:vAlign w:val="center"/>
          </w:tcPr>
          <w:p w14:paraId="74D0D9D3">
            <w:pPr>
              <w:adjustRightInd w:val="0"/>
              <w:snapToGrid w:val="0"/>
              <w:spacing w:line="240" w:lineRule="auto"/>
              <w:ind w:firstLine="0" w:firstLineChars="0"/>
              <w:jc w:val="center"/>
              <w:rPr>
                <w:color w:val="auto"/>
                <w:highlight w:val="none"/>
              </w:rPr>
            </w:pPr>
            <w:r>
              <w:rPr>
                <w:color w:val="auto"/>
                <w:highlight w:val="none"/>
              </w:rPr>
              <w:t>施工工期</w:t>
            </w:r>
          </w:p>
        </w:tc>
        <w:tc>
          <w:tcPr>
            <w:tcW w:w="3004" w:type="dxa"/>
            <w:gridSpan w:val="2"/>
            <w:noWrap w:val="0"/>
            <w:vAlign w:val="center"/>
          </w:tcPr>
          <w:p w14:paraId="0379F3D9">
            <w:pPr>
              <w:adjustRightInd w:val="0"/>
              <w:snapToGrid w:val="0"/>
              <w:spacing w:line="240" w:lineRule="auto"/>
              <w:ind w:firstLine="0" w:firstLineChars="0"/>
              <w:jc w:val="center"/>
              <w:rPr>
                <w:color w:val="auto"/>
                <w:highlight w:val="none"/>
              </w:rPr>
            </w:pPr>
            <w:r>
              <w:rPr>
                <w:rFonts w:hint="eastAsia"/>
                <w:color w:val="auto"/>
                <w:highlight w:val="none"/>
              </w:rPr>
              <w:t>202</w:t>
            </w:r>
            <w:r>
              <w:rPr>
                <w:rFonts w:hint="eastAsia"/>
                <w:color w:val="auto"/>
                <w:highlight w:val="none"/>
                <w:lang w:val="en-US" w:eastAsia="zh-CN"/>
              </w:rPr>
              <w:t>3</w:t>
            </w:r>
            <w:r>
              <w:rPr>
                <w:color w:val="auto"/>
                <w:highlight w:val="none"/>
              </w:rPr>
              <w:t>年</w:t>
            </w:r>
            <w:r>
              <w:rPr>
                <w:rFonts w:hint="eastAsia"/>
                <w:color w:val="auto"/>
                <w:highlight w:val="none"/>
                <w:lang w:val="en-US" w:eastAsia="zh-CN"/>
              </w:rPr>
              <w:t>5</w:t>
            </w:r>
            <w:r>
              <w:rPr>
                <w:color w:val="auto"/>
                <w:highlight w:val="none"/>
              </w:rPr>
              <w:t>月至</w:t>
            </w:r>
            <w:r>
              <w:rPr>
                <w:rFonts w:hint="eastAsia"/>
                <w:color w:val="auto"/>
                <w:highlight w:val="none"/>
              </w:rPr>
              <w:t>202</w:t>
            </w:r>
            <w:r>
              <w:rPr>
                <w:rFonts w:hint="eastAsia"/>
                <w:color w:val="auto"/>
                <w:highlight w:val="none"/>
                <w:lang w:val="en-US" w:eastAsia="zh-CN"/>
              </w:rPr>
              <w:t>7</w:t>
            </w:r>
            <w:r>
              <w:rPr>
                <w:color w:val="auto"/>
                <w:highlight w:val="none"/>
              </w:rPr>
              <w:t>年</w:t>
            </w:r>
            <w:r>
              <w:rPr>
                <w:rFonts w:hint="eastAsia"/>
                <w:color w:val="auto"/>
                <w:highlight w:val="none"/>
                <w:lang w:val="en-US" w:eastAsia="zh-CN"/>
              </w:rPr>
              <w:t>10</w:t>
            </w:r>
            <w:r>
              <w:rPr>
                <w:color w:val="auto"/>
                <w:highlight w:val="none"/>
              </w:rPr>
              <w:t>月</w:t>
            </w:r>
          </w:p>
        </w:tc>
      </w:tr>
      <w:tr w14:paraId="4D09C3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29" w:hRule="atLeast"/>
          <w:jc w:val="center"/>
        </w:trPr>
        <w:tc>
          <w:tcPr>
            <w:tcW w:w="1713" w:type="dxa"/>
            <w:noWrap w:val="0"/>
            <w:tcMar>
              <w:top w:w="16" w:type="dxa"/>
              <w:left w:w="16" w:type="dxa"/>
              <w:right w:w="16" w:type="dxa"/>
            </w:tcMar>
            <w:vAlign w:val="center"/>
          </w:tcPr>
          <w:p w14:paraId="5F1F5521">
            <w:pPr>
              <w:adjustRightInd w:val="0"/>
              <w:snapToGrid w:val="0"/>
              <w:spacing w:line="240" w:lineRule="auto"/>
              <w:ind w:firstLine="0" w:firstLineChars="0"/>
              <w:jc w:val="center"/>
              <w:rPr>
                <w:color w:val="auto"/>
                <w:highlight w:val="none"/>
              </w:rPr>
            </w:pPr>
            <w:r>
              <w:rPr>
                <w:color w:val="auto"/>
                <w:highlight w:val="none"/>
              </w:rPr>
              <w:t>是否开工建设</w:t>
            </w:r>
          </w:p>
        </w:tc>
        <w:tc>
          <w:tcPr>
            <w:tcW w:w="2235" w:type="dxa"/>
            <w:noWrap w:val="0"/>
            <w:vAlign w:val="center"/>
          </w:tcPr>
          <w:p w14:paraId="56986951">
            <w:pPr>
              <w:adjustRightInd w:val="0"/>
              <w:ind w:firstLine="0" w:firstLineChars="0"/>
              <w:rPr>
                <w:color w:val="auto"/>
                <w:highlight w:val="none"/>
              </w:rPr>
            </w:pPr>
            <w:r>
              <w:rPr>
                <w:color w:val="auto"/>
                <w:highlight w:val="none"/>
              </w:rPr>
              <w:t>√否</w:t>
            </w:r>
          </w:p>
          <w:p w14:paraId="37B4F451">
            <w:pPr>
              <w:adjustRightInd w:val="0"/>
              <w:ind w:firstLine="0" w:firstLineChars="0"/>
              <w:rPr>
                <w:color w:val="auto"/>
                <w:highlight w:val="none"/>
              </w:rPr>
            </w:pPr>
            <w:r>
              <w:rPr>
                <w:color w:val="auto"/>
                <w:highlight w:val="none"/>
              </w:rPr>
              <w:t>□是：</w:t>
            </w:r>
            <w:r>
              <w:rPr>
                <w:color w:val="auto"/>
                <w:highlight w:val="none"/>
                <w:u w:val="single"/>
              </w:rPr>
              <w:t xml:space="preserve">        </w:t>
            </w:r>
          </w:p>
        </w:tc>
        <w:tc>
          <w:tcPr>
            <w:tcW w:w="1918" w:type="dxa"/>
            <w:noWrap w:val="0"/>
            <w:tcMar>
              <w:top w:w="16" w:type="dxa"/>
              <w:left w:w="16" w:type="dxa"/>
              <w:right w:w="16" w:type="dxa"/>
            </w:tcMar>
            <w:vAlign w:val="center"/>
          </w:tcPr>
          <w:p w14:paraId="288CCD76">
            <w:pPr>
              <w:adjustRightInd w:val="0"/>
              <w:snapToGrid w:val="0"/>
              <w:spacing w:line="240" w:lineRule="auto"/>
              <w:ind w:firstLine="0" w:firstLineChars="0"/>
              <w:jc w:val="center"/>
              <w:rPr>
                <w:rFonts w:hint="eastAsia"/>
                <w:color w:val="auto"/>
                <w:highlight w:val="none"/>
              </w:rPr>
            </w:pPr>
            <w:r>
              <w:rPr>
                <w:color w:val="auto"/>
                <w:highlight w:val="none"/>
              </w:rPr>
              <w:t>用地</w:t>
            </w:r>
            <w:r>
              <w:rPr>
                <w:rFonts w:hint="eastAsia"/>
                <w:color w:val="auto"/>
                <w:highlight w:val="none"/>
              </w:rPr>
              <w:t>（</w:t>
            </w:r>
            <w:r>
              <w:rPr>
                <w:color w:val="auto"/>
                <w:highlight w:val="none"/>
              </w:rPr>
              <w:t>用海</w:t>
            </w:r>
            <w:r>
              <w:rPr>
                <w:rFonts w:hint="eastAsia"/>
                <w:color w:val="auto"/>
                <w:highlight w:val="none"/>
              </w:rPr>
              <w:t>）</w:t>
            </w:r>
          </w:p>
          <w:p w14:paraId="6D496DCF">
            <w:pPr>
              <w:adjustRightInd w:val="0"/>
              <w:snapToGrid w:val="0"/>
              <w:spacing w:line="240" w:lineRule="auto"/>
              <w:ind w:firstLine="0" w:firstLineChars="0"/>
              <w:jc w:val="center"/>
              <w:rPr>
                <w:color w:val="auto"/>
                <w:highlight w:val="none"/>
              </w:rPr>
            </w:pPr>
            <w:r>
              <w:rPr>
                <w:color w:val="auto"/>
                <w:highlight w:val="none"/>
              </w:rPr>
              <w:t>面积</w:t>
            </w:r>
            <w:r>
              <w:rPr>
                <w:rFonts w:hint="eastAsia"/>
                <w:color w:val="auto"/>
                <w:highlight w:val="none"/>
              </w:rPr>
              <w:t>（</w:t>
            </w:r>
            <w:r>
              <w:rPr>
                <w:color w:val="auto"/>
                <w:highlight w:val="none"/>
              </w:rPr>
              <w:t>m</w:t>
            </w:r>
            <w:r>
              <w:rPr>
                <w:color w:val="auto"/>
                <w:highlight w:val="none"/>
                <w:vertAlign w:val="superscript"/>
              </w:rPr>
              <w:t>2</w:t>
            </w:r>
            <w:r>
              <w:rPr>
                <w:rFonts w:hint="eastAsia"/>
                <w:color w:val="auto"/>
                <w:highlight w:val="none"/>
              </w:rPr>
              <w:t>）</w:t>
            </w:r>
          </w:p>
        </w:tc>
        <w:tc>
          <w:tcPr>
            <w:tcW w:w="3004" w:type="dxa"/>
            <w:gridSpan w:val="2"/>
            <w:noWrap w:val="0"/>
            <w:vAlign w:val="center"/>
          </w:tcPr>
          <w:p w14:paraId="5D946CCE">
            <w:pPr>
              <w:adjustRightInd w:val="0"/>
              <w:snapToGrid w:val="0"/>
              <w:spacing w:line="240" w:lineRule="auto"/>
              <w:ind w:firstLine="0" w:firstLineChars="0"/>
              <w:jc w:val="center"/>
              <w:rPr>
                <w:rFonts w:hint="eastAsia"/>
                <w:color w:val="auto"/>
                <w:highlight w:val="none"/>
              </w:rPr>
            </w:pPr>
            <w:r>
              <w:rPr>
                <w:rFonts w:hint="eastAsia"/>
                <w:color w:val="auto"/>
                <w:highlight w:val="none"/>
                <w:lang w:val="en-US" w:eastAsia="zh-CN"/>
              </w:rPr>
              <w:t>7340</w:t>
            </w:r>
            <w:r>
              <w:rPr>
                <w:color w:val="auto"/>
                <w:highlight w:val="none"/>
              </w:rPr>
              <w:t>m</w:t>
            </w:r>
            <w:r>
              <w:rPr>
                <w:color w:val="auto"/>
                <w:highlight w:val="none"/>
                <w:vertAlign w:val="superscript"/>
              </w:rPr>
              <w:t>2</w:t>
            </w:r>
            <w:r>
              <w:rPr>
                <w:rFonts w:hint="eastAsia"/>
                <w:color w:val="auto"/>
                <w:highlight w:val="none"/>
              </w:rPr>
              <w:t>（</w:t>
            </w:r>
            <w:r>
              <w:rPr>
                <w:rFonts w:hint="eastAsia"/>
                <w:color w:val="auto"/>
                <w:highlight w:val="none"/>
                <w:lang w:val="en-US" w:eastAsia="zh-CN"/>
              </w:rPr>
              <w:t>11.01</w:t>
            </w:r>
            <w:r>
              <w:rPr>
                <w:rFonts w:hint="eastAsia"/>
                <w:color w:val="auto"/>
                <w:highlight w:val="none"/>
              </w:rPr>
              <w:t>亩）</w:t>
            </w:r>
          </w:p>
        </w:tc>
      </w:tr>
      <w:tr w14:paraId="0985C6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1713" w:type="dxa"/>
            <w:noWrap w:val="0"/>
            <w:vAlign w:val="center"/>
          </w:tcPr>
          <w:p w14:paraId="739EEE2B">
            <w:pPr>
              <w:adjustRightInd w:val="0"/>
              <w:snapToGrid w:val="0"/>
              <w:spacing w:line="240" w:lineRule="auto"/>
              <w:ind w:firstLine="0" w:firstLineChars="0"/>
              <w:jc w:val="center"/>
              <w:rPr>
                <w:color w:val="auto"/>
                <w:highlight w:val="none"/>
              </w:rPr>
            </w:pPr>
            <w:r>
              <w:rPr>
                <w:color w:val="auto"/>
                <w:highlight w:val="none"/>
              </w:rPr>
              <w:t>专项评价设置情况</w:t>
            </w:r>
          </w:p>
        </w:tc>
        <w:tc>
          <w:tcPr>
            <w:tcW w:w="7157" w:type="dxa"/>
            <w:gridSpan w:val="4"/>
            <w:noWrap w:val="0"/>
            <w:vAlign w:val="center"/>
          </w:tcPr>
          <w:p w14:paraId="4000B795">
            <w:pPr>
              <w:ind w:firstLine="480"/>
              <w:rPr>
                <w:rFonts w:hint="eastAsia"/>
                <w:color w:val="auto"/>
                <w:highlight w:val="none"/>
              </w:rPr>
            </w:pPr>
            <w:r>
              <w:rPr>
                <w:rFonts w:hint="eastAsia"/>
                <w:color w:val="auto"/>
                <w:highlight w:val="none"/>
              </w:rPr>
              <w:t>根据《建设项目环境影响报告表编制技术指南（污染影响类）（试行）》要求，建设项目产生的环境影响需要深入论证的，应按照环境影响评价相关技术导则开展专项评价工作。本项目无需设置大气、地表水、环境风险、生态和海洋专项评价</w:t>
            </w:r>
            <w:r>
              <w:rPr>
                <w:rFonts w:hint="eastAsia"/>
                <w:color w:val="auto"/>
                <w:highlight w:val="none"/>
                <w:lang w:eastAsia="zh-CN"/>
              </w:rPr>
              <w:t>，</w:t>
            </w:r>
            <w:r>
              <w:rPr>
                <w:rFonts w:hint="eastAsia"/>
                <w:color w:val="auto"/>
                <w:highlight w:val="none"/>
              </w:rPr>
              <w:t>具体设置情况见表1.1-1。</w:t>
            </w:r>
          </w:p>
          <w:p w14:paraId="41CEDCF9">
            <w:pPr>
              <w:rPr>
                <w:rFonts w:hint="default" w:eastAsia="宋体"/>
                <w:color w:val="auto"/>
                <w:highlight w:val="none"/>
                <w:lang w:val="en-US" w:eastAsia="zh-CN"/>
              </w:rPr>
            </w:pPr>
          </w:p>
          <w:p w14:paraId="06438B6B">
            <w:pPr>
              <w:ind w:firstLine="480"/>
              <w:rPr>
                <w:rFonts w:hint="eastAsia"/>
                <w:color w:val="auto"/>
                <w:highlight w:val="none"/>
              </w:rPr>
            </w:pPr>
          </w:p>
          <w:p w14:paraId="4E2CD6AD">
            <w:pPr>
              <w:ind w:firstLine="480"/>
              <w:rPr>
                <w:rFonts w:hint="eastAsia"/>
                <w:color w:val="auto"/>
                <w:highlight w:val="none"/>
              </w:rPr>
            </w:pPr>
          </w:p>
          <w:p w14:paraId="2C6830B2">
            <w:pPr>
              <w:ind w:firstLine="480"/>
              <w:rPr>
                <w:rFonts w:hint="eastAsia"/>
                <w:color w:val="auto"/>
                <w:highlight w:val="none"/>
              </w:rPr>
            </w:pPr>
          </w:p>
          <w:p w14:paraId="582C801D">
            <w:pPr>
              <w:ind w:left="0" w:leftChars="0" w:firstLine="0" w:firstLineChars="0"/>
              <w:rPr>
                <w:rFonts w:hint="eastAsia"/>
                <w:color w:val="auto"/>
                <w:highlight w:val="none"/>
              </w:rPr>
            </w:pPr>
          </w:p>
          <w:p w14:paraId="47048503">
            <w:pPr>
              <w:pStyle w:val="85"/>
              <w:ind w:firstLine="0" w:firstLineChars="0"/>
              <w:jc w:val="center"/>
              <w:rPr>
                <w:rFonts w:hint="eastAsia"/>
                <w:color w:val="auto"/>
                <w:highlight w:val="none"/>
              </w:rPr>
            </w:pPr>
            <w:r>
              <w:rPr>
                <w:rFonts w:hint="eastAsia"/>
                <w:b/>
                <w:color w:val="auto"/>
                <w:kern w:val="0"/>
                <w:highlight w:val="none"/>
              </w:rPr>
              <w:t>表1.1-1专项评价设置原则表</w:t>
            </w:r>
          </w:p>
          <w:tbl>
            <w:tblPr>
              <w:tblStyle w:val="27"/>
              <w:tblW w:w="703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6"/>
              <w:gridCol w:w="1921"/>
              <w:gridCol w:w="3089"/>
              <w:gridCol w:w="945"/>
            </w:tblGrid>
            <w:tr w14:paraId="47BCBC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076" w:type="dxa"/>
                  <w:noWrap w:val="0"/>
                  <w:vAlign w:val="center"/>
                </w:tcPr>
                <w:p w14:paraId="372CA91A">
                  <w:pPr>
                    <w:adjustRightInd w:val="0"/>
                    <w:snapToGrid w:val="0"/>
                    <w:spacing w:line="240" w:lineRule="auto"/>
                    <w:ind w:firstLine="0" w:firstLineChars="0"/>
                    <w:jc w:val="center"/>
                    <w:rPr>
                      <w:rFonts w:hint="eastAsia"/>
                      <w:b/>
                      <w:bCs/>
                      <w:iCs/>
                      <w:color w:val="auto"/>
                      <w:kern w:val="0"/>
                      <w:sz w:val="21"/>
                      <w:szCs w:val="21"/>
                      <w:highlight w:val="none"/>
                    </w:rPr>
                  </w:pPr>
                  <w:r>
                    <w:rPr>
                      <w:rFonts w:hint="eastAsia"/>
                      <w:b/>
                      <w:bCs/>
                      <w:iCs/>
                      <w:color w:val="auto"/>
                      <w:kern w:val="0"/>
                      <w:sz w:val="21"/>
                      <w:szCs w:val="21"/>
                      <w:highlight w:val="none"/>
                    </w:rPr>
                    <w:t>专项评价的类别</w:t>
                  </w:r>
                </w:p>
              </w:tc>
              <w:tc>
                <w:tcPr>
                  <w:tcW w:w="1921" w:type="dxa"/>
                  <w:noWrap w:val="0"/>
                  <w:vAlign w:val="center"/>
                </w:tcPr>
                <w:p w14:paraId="08A12F1A">
                  <w:pPr>
                    <w:adjustRightInd w:val="0"/>
                    <w:snapToGrid w:val="0"/>
                    <w:spacing w:line="240" w:lineRule="auto"/>
                    <w:ind w:firstLine="0" w:firstLineChars="0"/>
                    <w:jc w:val="center"/>
                    <w:rPr>
                      <w:rFonts w:hint="eastAsia"/>
                      <w:b/>
                      <w:bCs/>
                      <w:iCs/>
                      <w:color w:val="auto"/>
                      <w:kern w:val="0"/>
                      <w:sz w:val="21"/>
                      <w:szCs w:val="21"/>
                      <w:highlight w:val="none"/>
                    </w:rPr>
                  </w:pPr>
                  <w:r>
                    <w:rPr>
                      <w:rFonts w:hint="eastAsia"/>
                      <w:b/>
                      <w:bCs/>
                      <w:iCs/>
                      <w:color w:val="auto"/>
                      <w:kern w:val="0"/>
                      <w:sz w:val="21"/>
                      <w:szCs w:val="21"/>
                      <w:highlight w:val="none"/>
                    </w:rPr>
                    <w:t>设置原则</w:t>
                  </w:r>
                </w:p>
              </w:tc>
              <w:tc>
                <w:tcPr>
                  <w:tcW w:w="3089" w:type="dxa"/>
                  <w:noWrap w:val="0"/>
                  <w:vAlign w:val="center"/>
                </w:tcPr>
                <w:p w14:paraId="436E7860">
                  <w:pPr>
                    <w:adjustRightInd w:val="0"/>
                    <w:snapToGrid w:val="0"/>
                    <w:spacing w:line="240" w:lineRule="auto"/>
                    <w:ind w:firstLine="0" w:firstLineChars="0"/>
                    <w:jc w:val="center"/>
                    <w:rPr>
                      <w:rFonts w:hint="eastAsia"/>
                      <w:b/>
                      <w:bCs/>
                      <w:iCs/>
                      <w:color w:val="auto"/>
                      <w:kern w:val="0"/>
                      <w:sz w:val="21"/>
                      <w:szCs w:val="21"/>
                      <w:highlight w:val="none"/>
                    </w:rPr>
                  </w:pPr>
                  <w:r>
                    <w:rPr>
                      <w:rFonts w:hint="eastAsia"/>
                      <w:b/>
                      <w:bCs/>
                      <w:iCs/>
                      <w:color w:val="auto"/>
                      <w:kern w:val="0"/>
                      <w:sz w:val="21"/>
                      <w:szCs w:val="21"/>
                      <w:highlight w:val="none"/>
                    </w:rPr>
                    <w:t>本项目情况</w:t>
                  </w:r>
                </w:p>
              </w:tc>
              <w:tc>
                <w:tcPr>
                  <w:tcW w:w="945" w:type="dxa"/>
                  <w:noWrap w:val="0"/>
                  <w:vAlign w:val="center"/>
                </w:tcPr>
                <w:p w14:paraId="14E8AB6B">
                  <w:pPr>
                    <w:adjustRightInd w:val="0"/>
                    <w:snapToGrid w:val="0"/>
                    <w:spacing w:line="240" w:lineRule="auto"/>
                    <w:ind w:firstLine="0" w:firstLineChars="0"/>
                    <w:jc w:val="center"/>
                    <w:rPr>
                      <w:rFonts w:hint="eastAsia"/>
                      <w:b/>
                      <w:bCs/>
                      <w:iCs/>
                      <w:color w:val="auto"/>
                      <w:kern w:val="0"/>
                      <w:sz w:val="21"/>
                      <w:szCs w:val="21"/>
                      <w:highlight w:val="none"/>
                    </w:rPr>
                  </w:pPr>
                  <w:r>
                    <w:rPr>
                      <w:rFonts w:hint="eastAsia"/>
                      <w:b/>
                      <w:bCs/>
                      <w:iCs/>
                      <w:color w:val="auto"/>
                      <w:kern w:val="0"/>
                      <w:sz w:val="21"/>
                      <w:szCs w:val="21"/>
                      <w:highlight w:val="none"/>
                    </w:rPr>
                    <w:t>是否设置专项</w:t>
                  </w:r>
                </w:p>
              </w:tc>
            </w:tr>
            <w:tr w14:paraId="0A9EB2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22" w:hRule="atLeast"/>
                <w:jc w:val="center"/>
              </w:trPr>
              <w:tc>
                <w:tcPr>
                  <w:tcW w:w="1076" w:type="dxa"/>
                  <w:noWrap w:val="0"/>
                  <w:vAlign w:val="center"/>
                </w:tcPr>
                <w:p w14:paraId="76C7FB80">
                  <w:pPr>
                    <w:adjustRightInd w:val="0"/>
                    <w:snapToGrid w:val="0"/>
                    <w:spacing w:line="240" w:lineRule="auto"/>
                    <w:ind w:firstLine="0" w:firstLineChars="0"/>
                    <w:jc w:val="center"/>
                    <w:rPr>
                      <w:rFonts w:hint="eastAsia"/>
                      <w:iCs/>
                      <w:color w:val="auto"/>
                      <w:kern w:val="0"/>
                      <w:sz w:val="21"/>
                      <w:szCs w:val="21"/>
                      <w:highlight w:val="none"/>
                    </w:rPr>
                  </w:pPr>
                  <w:r>
                    <w:rPr>
                      <w:rFonts w:hint="eastAsia"/>
                      <w:iCs/>
                      <w:color w:val="auto"/>
                      <w:kern w:val="0"/>
                      <w:sz w:val="21"/>
                      <w:szCs w:val="21"/>
                      <w:highlight w:val="none"/>
                    </w:rPr>
                    <w:t>大气</w:t>
                  </w:r>
                </w:p>
              </w:tc>
              <w:tc>
                <w:tcPr>
                  <w:tcW w:w="1921" w:type="dxa"/>
                  <w:noWrap w:val="0"/>
                  <w:vAlign w:val="center"/>
                </w:tcPr>
                <w:p w14:paraId="6DAA28C9">
                  <w:pPr>
                    <w:adjustRightInd w:val="0"/>
                    <w:snapToGrid w:val="0"/>
                    <w:spacing w:line="240" w:lineRule="auto"/>
                    <w:ind w:firstLine="0" w:firstLineChars="0"/>
                    <w:jc w:val="center"/>
                    <w:rPr>
                      <w:rFonts w:hint="eastAsia"/>
                      <w:iCs/>
                      <w:color w:val="auto"/>
                      <w:kern w:val="0"/>
                      <w:sz w:val="21"/>
                      <w:szCs w:val="21"/>
                      <w:highlight w:val="none"/>
                    </w:rPr>
                  </w:pPr>
                  <w:r>
                    <w:rPr>
                      <w:rFonts w:hint="eastAsia"/>
                      <w:iCs/>
                      <w:color w:val="auto"/>
                      <w:kern w:val="0"/>
                      <w:sz w:val="21"/>
                      <w:szCs w:val="21"/>
                      <w:highlight w:val="none"/>
                    </w:rPr>
                    <w:t>排放废气含有毒有害污染物</w:t>
                  </w:r>
                  <w:r>
                    <w:rPr>
                      <w:rFonts w:hint="eastAsia"/>
                      <w:iCs/>
                      <w:color w:val="auto"/>
                      <w:kern w:val="0"/>
                      <w:sz w:val="21"/>
                      <w:szCs w:val="21"/>
                      <w:highlight w:val="none"/>
                      <w:vertAlign w:val="superscript"/>
                    </w:rPr>
                    <w:t>1</w:t>
                  </w:r>
                  <w:r>
                    <w:rPr>
                      <w:rFonts w:hint="eastAsia"/>
                      <w:iCs/>
                      <w:color w:val="auto"/>
                      <w:kern w:val="0"/>
                      <w:sz w:val="21"/>
                      <w:szCs w:val="21"/>
                      <w:highlight w:val="none"/>
                    </w:rPr>
                    <w:t>、二噁英、苯并[a]芘、氰化物、氯气且厂界外500米范围内有环境空气保护目标</w:t>
                  </w:r>
                  <w:r>
                    <w:rPr>
                      <w:rFonts w:hint="eastAsia"/>
                      <w:iCs/>
                      <w:color w:val="auto"/>
                      <w:kern w:val="0"/>
                      <w:sz w:val="21"/>
                      <w:szCs w:val="21"/>
                      <w:highlight w:val="none"/>
                      <w:vertAlign w:val="superscript"/>
                    </w:rPr>
                    <w:t>2</w:t>
                  </w:r>
                  <w:r>
                    <w:rPr>
                      <w:rFonts w:hint="eastAsia"/>
                      <w:iCs/>
                      <w:color w:val="auto"/>
                      <w:kern w:val="0"/>
                      <w:sz w:val="21"/>
                      <w:szCs w:val="21"/>
                      <w:highlight w:val="none"/>
                    </w:rPr>
                    <w:t>的建设项目</w:t>
                  </w:r>
                </w:p>
              </w:tc>
              <w:tc>
                <w:tcPr>
                  <w:tcW w:w="3089" w:type="dxa"/>
                  <w:noWrap w:val="0"/>
                  <w:vAlign w:val="center"/>
                </w:tcPr>
                <w:p w14:paraId="376B9D6B">
                  <w:pPr>
                    <w:adjustRightInd w:val="0"/>
                    <w:snapToGrid w:val="0"/>
                    <w:spacing w:line="240" w:lineRule="auto"/>
                    <w:ind w:firstLine="0" w:firstLineChars="0"/>
                    <w:jc w:val="center"/>
                    <w:rPr>
                      <w:rFonts w:hint="eastAsia" w:ascii="Times New Roman" w:hAnsi="Times New Roman" w:cs="Times New Roman"/>
                      <w:iCs/>
                      <w:color w:val="auto"/>
                      <w:kern w:val="0"/>
                      <w:sz w:val="21"/>
                      <w:szCs w:val="21"/>
                      <w:highlight w:val="none"/>
                    </w:rPr>
                  </w:pPr>
                  <w:r>
                    <w:rPr>
                      <w:rFonts w:hint="eastAsia" w:ascii="Times New Roman" w:hAnsi="Times New Roman" w:cs="Times New Roman"/>
                      <w:iCs/>
                      <w:color w:val="auto"/>
                      <w:kern w:val="0"/>
                      <w:sz w:val="21"/>
                      <w:szCs w:val="21"/>
                      <w:highlight w:val="none"/>
                    </w:rPr>
                    <w:t>本项目排放的废气有颗粒物</w:t>
                  </w:r>
                  <w:r>
                    <w:rPr>
                      <w:rFonts w:hint="eastAsia" w:ascii="Times New Roman" w:hAnsi="Times New Roman" w:cs="Times New Roman"/>
                      <w:iCs/>
                      <w:color w:val="auto"/>
                      <w:kern w:val="0"/>
                      <w:sz w:val="21"/>
                      <w:szCs w:val="21"/>
                      <w:highlight w:val="none"/>
                      <w:lang w:eastAsia="zh-CN"/>
                    </w:rPr>
                    <w:t>、</w:t>
                  </w:r>
                  <w:r>
                    <w:rPr>
                      <w:rFonts w:hint="eastAsia" w:ascii="Times New Roman" w:hAnsi="Times New Roman" w:cs="Times New Roman"/>
                      <w:iCs/>
                      <w:color w:val="auto"/>
                      <w:kern w:val="0"/>
                      <w:sz w:val="21"/>
                      <w:szCs w:val="21"/>
                      <w:highlight w:val="none"/>
                      <w:lang w:val="en-US" w:eastAsia="zh-CN"/>
                    </w:rPr>
                    <w:t>沥青烟、</w:t>
                  </w:r>
                  <w:r>
                    <w:rPr>
                      <w:rFonts w:hint="eastAsia" w:ascii="Times New Roman" w:hAnsi="Times New Roman" w:cs="Times New Roman"/>
                      <w:iCs/>
                      <w:color w:val="auto"/>
                      <w:kern w:val="0"/>
                      <w:sz w:val="21"/>
                      <w:szCs w:val="21"/>
                      <w:highlight w:val="none"/>
                    </w:rPr>
                    <w:t>苯并[a]芘</w:t>
                  </w:r>
                  <w:r>
                    <w:rPr>
                      <w:rFonts w:hint="eastAsia" w:ascii="Times New Roman" w:hAnsi="Times New Roman" w:cs="Times New Roman"/>
                      <w:iCs/>
                      <w:color w:val="auto"/>
                      <w:kern w:val="0"/>
                      <w:sz w:val="21"/>
                      <w:szCs w:val="21"/>
                      <w:highlight w:val="none"/>
                      <w:lang w:eastAsia="zh-CN"/>
                    </w:rPr>
                    <w:t>、</w:t>
                  </w:r>
                  <w:r>
                    <w:rPr>
                      <w:rFonts w:hint="eastAsia" w:ascii="Times New Roman" w:hAnsi="Times New Roman" w:cs="Times New Roman"/>
                      <w:iCs/>
                      <w:color w:val="auto"/>
                      <w:kern w:val="0"/>
                      <w:sz w:val="21"/>
                      <w:szCs w:val="21"/>
                      <w:highlight w:val="none"/>
                    </w:rPr>
                    <w:t>二氧化硫</w:t>
                  </w:r>
                  <w:r>
                    <w:rPr>
                      <w:rFonts w:hint="eastAsia" w:ascii="Times New Roman" w:hAnsi="Times New Roman" w:cs="Times New Roman"/>
                      <w:iCs/>
                      <w:color w:val="auto"/>
                      <w:kern w:val="0"/>
                      <w:sz w:val="21"/>
                      <w:szCs w:val="21"/>
                      <w:highlight w:val="none"/>
                      <w:lang w:eastAsia="zh-CN"/>
                    </w:rPr>
                    <w:t>、</w:t>
                  </w:r>
                  <w:r>
                    <w:rPr>
                      <w:rFonts w:hint="eastAsia" w:ascii="Times New Roman" w:hAnsi="Times New Roman" w:cs="Times New Roman"/>
                      <w:iCs/>
                      <w:color w:val="auto"/>
                      <w:kern w:val="0"/>
                      <w:sz w:val="21"/>
                      <w:szCs w:val="21"/>
                      <w:highlight w:val="none"/>
                    </w:rPr>
                    <w:t>氮氧化物</w:t>
                  </w:r>
                  <w:r>
                    <w:rPr>
                      <w:rFonts w:hint="eastAsia" w:ascii="Times New Roman" w:hAnsi="Times New Roman" w:cs="Times New Roman"/>
                      <w:iCs/>
                      <w:color w:val="auto"/>
                      <w:kern w:val="0"/>
                      <w:sz w:val="21"/>
                      <w:szCs w:val="21"/>
                      <w:highlight w:val="none"/>
                      <w:lang w:val="en-US" w:eastAsia="zh-CN"/>
                    </w:rPr>
                    <w:t>以及非甲烷总烃</w:t>
                  </w:r>
                  <w:r>
                    <w:rPr>
                      <w:rFonts w:hint="eastAsia" w:ascii="Times New Roman" w:hAnsi="Times New Roman" w:cs="Times New Roman"/>
                      <w:iCs/>
                      <w:color w:val="auto"/>
                      <w:kern w:val="0"/>
                      <w:sz w:val="21"/>
                      <w:szCs w:val="21"/>
                      <w:highlight w:val="none"/>
                    </w:rPr>
                    <w:t>，</w:t>
                  </w:r>
                  <w:r>
                    <w:rPr>
                      <w:rFonts w:hint="eastAsia" w:ascii="Times New Roman" w:hAnsi="Times New Roman" w:cs="Times New Roman"/>
                      <w:iCs/>
                      <w:color w:val="auto"/>
                      <w:kern w:val="0"/>
                      <w:sz w:val="21"/>
                      <w:szCs w:val="21"/>
                      <w:highlight w:val="none"/>
                      <w:lang w:val="en-US" w:eastAsia="zh-CN"/>
                    </w:rPr>
                    <w:t>但</w:t>
                  </w:r>
                  <w:r>
                    <w:rPr>
                      <w:rFonts w:hint="eastAsia" w:ascii="Times New Roman" w:hAnsi="Times New Roman" w:cs="Times New Roman"/>
                      <w:iCs/>
                      <w:color w:val="auto"/>
                      <w:kern w:val="0"/>
                      <w:sz w:val="21"/>
                      <w:szCs w:val="21"/>
                      <w:highlight w:val="none"/>
                    </w:rPr>
                    <w:t>厂界外500米范围内</w:t>
                  </w:r>
                  <w:r>
                    <w:rPr>
                      <w:rFonts w:hint="eastAsia" w:ascii="Times New Roman" w:hAnsi="Times New Roman" w:cs="Times New Roman"/>
                      <w:iCs/>
                      <w:color w:val="auto"/>
                      <w:kern w:val="0"/>
                      <w:sz w:val="21"/>
                      <w:szCs w:val="21"/>
                      <w:highlight w:val="none"/>
                      <w:lang w:val="en-US" w:eastAsia="zh-CN"/>
                    </w:rPr>
                    <w:t>无</w:t>
                  </w:r>
                  <w:r>
                    <w:rPr>
                      <w:rFonts w:hint="eastAsia" w:ascii="Times New Roman" w:hAnsi="Times New Roman" w:cs="Times New Roman"/>
                      <w:iCs/>
                      <w:color w:val="auto"/>
                      <w:kern w:val="0"/>
                      <w:sz w:val="21"/>
                      <w:szCs w:val="21"/>
                      <w:highlight w:val="none"/>
                    </w:rPr>
                    <w:t>环境空气保护目标，因此无需设置大气专项</w:t>
                  </w:r>
                </w:p>
              </w:tc>
              <w:tc>
                <w:tcPr>
                  <w:tcW w:w="945" w:type="dxa"/>
                  <w:noWrap w:val="0"/>
                  <w:vAlign w:val="center"/>
                </w:tcPr>
                <w:p w14:paraId="22D5E406">
                  <w:pPr>
                    <w:adjustRightInd w:val="0"/>
                    <w:snapToGrid w:val="0"/>
                    <w:spacing w:line="240" w:lineRule="auto"/>
                    <w:ind w:firstLine="0" w:firstLineChars="0"/>
                    <w:jc w:val="center"/>
                    <w:rPr>
                      <w:rFonts w:hint="eastAsia"/>
                      <w:iCs/>
                      <w:color w:val="auto"/>
                      <w:kern w:val="0"/>
                      <w:sz w:val="21"/>
                      <w:szCs w:val="21"/>
                      <w:highlight w:val="none"/>
                    </w:rPr>
                  </w:pPr>
                  <w:r>
                    <w:rPr>
                      <w:rFonts w:hint="eastAsia"/>
                      <w:iCs/>
                      <w:color w:val="auto"/>
                      <w:kern w:val="0"/>
                      <w:sz w:val="21"/>
                      <w:szCs w:val="21"/>
                      <w:highlight w:val="none"/>
                    </w:rPr>
                    <w:t>否</w:t>
                  </w:r>
                </w:p>
              </w:tc>
            </w:tr>
            <w:tr w14:paraId="210C3B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1076" w:type="dxa"/>
                  <w:noWrap w:val="0"/>
                  <w:vAlign w:val="center"/>
                </w:tcPr>
                <w:p w14:paraId="1FCBDDCE">
                  <w:pPr>
                    <w:adjustRightInd w:val="0"/>
                    <w:snapToGrid w:val="0"/>
                    <w:spacing w:line="240" w:lineRule="auto"/>
                    <w:ind w:firstLine="0" w:firstLineChars="0"/>
                    <w:jc w:val="center"/>
                    <w:rPr>
                      <w:rFonts w:hint="eastAsia"/>
                      <w:iCs/>
                      <w:color w:val="auto"/>
                      <w:kern w:val="0"/>
                      <w:sz w:val="21"/>
                      <w:szCs w:val="21"/>
                      <w:highlight w:val="none"/>
                    </w:rPr>
                  </w:pPr>
                  <w:r>
                    <w:rPr>
                      <w:rFonts w:hint="eastAsia"/>
                      <w:iCs/>
                      <w:color w:val="auto"/>
                      <w:kern w:val="0"/>
                      <w:sz w:val="21"/>
                      <w:szCs w:val="21"/>
                      <w:highlight w:val="none"/>
                    </w:rPr>
                    <w:t>地表水</w:t>
                  </w:r>
                </w:p>
              </w:tc>
              <w:tc>
                <w:tcPr>
                  <w:tcW w:w="1921" w:type="dxa"/>
                  <w:noWrap w:val="0"/>
                  <w:vAlign w:val="center"/>
                </w:tcPr>
                <w:p w14:paraId="0969F579">
                  <w:pPr>
                    <w:adjustRightInd w:val="0"/>
                    <w:snapToGrid w:val="0"/>
                    <w:spacing w:line="240" w:lineRule="auto"/>
                    <w:ind w:firstLine="0" w:firstLineChars="0"/>
                    <w:jc w:val="center"/>
                    <w:rPr>
                      <w:rFonts w:hint="eastAsia"/>
                      <w:iCs/>
                      <w:color w:val="auto"/>
                      <w:kern w:val="0"/>
                      <w:sz w:val="21"/>
                      <w:szCs w:val="21"/>
                      <w:highlight w:val="none"/>
                    </w:rPr>
                  </w:pPr>
                  <w:r>
                    <w:rPr>
                      <w:rFonts w:hint="eastAsia"/>
                      <w:iCs/>
                      <w:color w:val="auto"/>
                      <w:kern w:val="0"/>
                      <w:sz w:val="21"/>
                      <w:szCs w:val="21"/>
                      <w:highlight w:val="none"/>
                    </w:rPr>
                    <w:t>新增工业废水直排建设项目（槽罐车外送污水处理厂的除外）；新增废水直排的污水集中处理厂</w:t>
                  </w:r>
                </w:p>
              </w:tc>
              <w:tc>
                <w:tcPr>
                  <w:tcW w:w="3089" w:type="dxa"/>
                  <w:noWrap w:val="0"/>
                  <w:vAlign w:val="center"/>
                </w:tcPr>
                <w:p w14:paraId="59E4ED8D">
                  <w:pPr>
                    <w:adjustRightInd w:val="0"/>
                    <w:snapToGrid w:val="0"/>
                    <w:spacing w:line="240" w:lineRule="auto"/>
                    <w:ind w:firstLine="0" w:firstLineChars="0"/>
                    <w:jc w:val="center"/>
                    <w:rPr>
                      <w:rFonts w:hint="eastAsia" w:ascii="Times New Roman" w:hAnsi="Times New Roman" w:cs="Times New Roman"/>
                      <w:iCs/>
                      <w:color w:val="auto"/>
                      <w:kern w:val="0"/>
                      <w:sz w:val="21"/>
                      <w:szCs w:val="21"/>
                      <w:highlight w:val="none"/>
                    </w:rPr>
                  </w:pPr>
                  <w:r>
                    <w:rPr>
                      <w:rFonts w:hint="eastAsia" w:ascii="Times New Roman" w:hAnsi="Times New Roman" w:cs="Times New Roman"/>
                      <w:iCs/>
                      <w:color w:val="auto"/>
                      <w:kern w:val="0"/>
                      <w:sz w:val="21"/>
                      <w:szCs w:val="21"/>
                      <w:highlight w:val="none"/>
                    </w:rPr>
                    <w:t>本项目不属于工业废水直排建设项目和新增废水直排的污水集中处理厂</w:t>
                  </w:r>
                  <w:r>
                    <w:rPr>
                      <w:rFonts w:hint="eastAsia" w:ascii="Times New Roman" w:hAnsi="Times New Roman" w:cs="Times New Roman"/>
                      <w:iCs/>
                      <w:color w:val="auto"/>
                      <w:kern w:val="0"/>
                      <w:sz w:val="21"/>
                      <w:szCs w:val="21"/>
                      <w:highlight w:val="none"/>
                      <w:lang w:eastAsia="zh-CN"/>
                    </w:rPr>
                    <w:t>。</w:t>
                  </w:r>
                  <w:r>
                    <w:rPr>
                      <w:rFonts w:hint="eastAsia" w:ascii="Times New Roman" w:hAnsi="Times New Roman" w:cs="Times New Roman"/>
                      <w:iCs/>
                      <w:color w:val="auto"/>
                      <w:kern w:val="0"/>
                      <w:sz w:val="21"/>
                      <w:szCs w:val="21"/>
                      <w:highlight w:val="none"/>
                      <w:lang w:val="en-US" w:eastAsia="zh-CN"/>
                    </w:rPr>
                    <w:t>本项目</w:t>
                  </w:r>
                  <w:r>
                    <w:rPr>
                      <w:rFonts w:hint="eastAsia" w:ascii="Times New Roman" w:hAnsi="Times New Roman" w:eastAsia="宋体" w:cs="Times New Roman"/>
                      <w:iCs/>
                      <w:color w:val="auto"/>
                      <w:kern w:val="0"/>
                      <w:sz w:val="21"/>
                      <w:szCs w:val="21"/>
                      <w:highlight w:val="none"/>
                      <w:lang w:val="en-US" w:eastAsia="zh-CN"/>
                    </w:rPr>
                    <w:t>食堂废水经隔油池预处理后与</w:t>
                  </w:r>
                  <w:r>
                    <w:rPr>
                      <w:rFonts w:hint="eastAsia" w:ascii="Times New Roman" w:hAnsi="Times New Roman" w:eastAsia="宋体" w:cs="Times New Roman"/>
                      <w:iCs/>
                      <w:color w:val="auto"/>
                      <w:kern w:val="0"/>
                      <w:sz w:val="21"/>
                      <w:szCs w:val="21"/>
                      <w:highlight w:val="none"/>
                    </w:rPr>
                    <w:t>生活废水一起经</w:t>
                  </w:r>
                  <w:r>
                    <w:rPr>
                      <w:rFonts w:hint="eastAsia" w:ascii="Times New Roman" w:hAnsi="Times New Roman" w:eastAsia="宋体" w:cs="Times New Roman"/>
                      <w:iCs/>
                      <w:color w:val="auto"/>
                      <w:kern w:val="0"/>
                      <w:sz w:val="21"/>
                      <w:szCs w:val="21"/>
                      <w:highlight w:val="none"/>
                      <w:lang w:val="en-US" w:eastAsia="zh-CN"/>
                    </w:rPr>
                    <w:t>厂区</w:t>
                  </w:r>
                  <w:r>
                    <w:rPr>
                      <w:rFonts w:hint="eastAsia" w:ascii="Times New Roman" w:hAnsi="Times New Roman" w:eastAsia="宋体" w:cs="Times New Roman"/>
                      <w:iCs/>
                      <w:color w:val="auto"/>
                      <w:kern w:val="0"/>
                      <w:sz w:val="21"/>
                      <w:szCs w:val="21"/>
                      <w:highlight w:val="none"/>
                    </w:rPr>
                    <w:t>化粪池处理达</w:t>
                  </w:r>
                  <w:r>
                    <w:rPr>
                      <w:rFonts w:hint="eastAsia" w:ascii="Times New Roman" w:hAnsi="Times New Roman" w:eastAsia="宋体" w:cs="Times New Roman"/>
                      <w:iCs/>
                      <w:color w:val="auto"/>
                      <w:kern w:val="0"/>
                      <w:sz w:val="21"/>
                      <w:szCs w:val="21"/>
                      <w:highlight w:val="none"/>
                      <w:lang w:val="en-US" w:eastAsia="zh-CN"/>
                    </w:rPr>
                    <w:t>标</w:t>
                  </w:r>
                  <w:r>
                    <w:rPr>
                      <w:rFonts w:hint="eastAsia" w:ascii="Times New Roman" w:hAnsi="Times New Roman" w:eastAsia="宋体" w:cs="Times New Roman"/>
                      <w:iCs/>
                      <w:color w:val="auto"/>
                      <w:kern w:val="0"/>
                      <w:sz w:val="21"/>
                      <w:szCs w:val="21"/>
                      <w:highlight w:val="none"/>
                    </w:rPr>
                    <w:t>后排入市政污水管网</w:t>
                  </w:r>
                  <w:r>
                    <w:rPr>
                      <w:rFonts w:hint="eastAsia" w:ascii="Times New Roman" w:hAnsi="Times New Roman" w:cs="Times New Roman"/>
                      <w:iCs/>
                      <w:color w:val="auto"/>
                      <w:kern w:val="0"/>
                      <w:sz w:val="21"/>
                      <w:szCs w:val="21"/>
                      <w:highlight w:val="none"/>
                    </w:rPr>
                    <w:t>。因此无需设置地表水专项</w:t>
                  </w:r>
                </w:p>
              </w:tc>
              <w:tc>
                <w:tcPr>
                  <w:tcW w:w="945" w:type="dxa"/>
                  <w:noWrap w:val="0"/>
                  <w:vAlign w:val="center"/>
                </w:tcPr>
                <w:p w14:paraId="682076BC">
                  <w:pPr>
                    <w:adjustRightInd w:val="0"/>
                    <w:snapToGrid w:val="0"/>
                    <w:spacing w:line="240" w:lineRule="auto"/>
                    <w:ind w:firstLine="0" w:firstLineChars="0"/>
                    <w:jc w:val="center"/>
                    <w:rPr>
                      <w:rFonts w:hint="eastAsia"/>
                      <w:iCs/>
                      <w:color w:val="auto"/>
                      <w:kern w:val="0"/>
                      <w:sz w:val="21"/>
                      <w:szCs w:val="21"/>
                      <w:highlight w:val="none"/>
                    </w:rPr>
                  </w:pPr>
                  <w:r>
                    <w:rPr>
                      <w:rFonts w:hint="eastAsia"/>
                      <w:iCs/>
                      <w:color w:val="auto"/>
                      <w:kern w:val="0"/>
                      <w:sz w:val="21"/>
                      <w:szCs w:val="21"/>
                      <w:highlight w:val="none"/>
                    </w:rPr>
                    <w:t>否</w:t>
                  </w:r>
                </w:p>
              </w:tc>
            </w:tr>
            <w:tr w14:paraId="305940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97" w:hRule="atLeast"/>
                <w:jc w:val="center"/>
              </w:trPr>
              <w:tc>
                <w:tcPr>
                  <w:tcW w:w="1076" w:type="dxa"/>
                  <w:noWrap w:val="0"/>
                  <w:vAlign w:val="center"/>
                </w:tcPr>
                <w:p w14:paraId="1ED23E8C">
                  <w:pPr>
                    <w:adjustRightInd w:val="0"/>
                    <w:snapToGrid w:val="0"/>
                    <w:spacing w:line="240" w:lineRule="auto"/>
                    <w:ind w:firstLine="0" w:firstLineChars="0"/>
                    <w:jc w:val="center"/>
                    <w:rPr>
                      <w:rFonts w:hint="eastAsia"/>
                      <w:iCs/>
                      <w:color w:val="auto"/>
                      <w:kern w:val="0"/>
                      <w:sz w:val="21"/>
                      <w:szCs w:val="21"/>
                      <w:highlight w:val="none"/>
                    </w:rPr>
                  </w:pPr>
                  <w:r>
                    <w:rPr>
                      <w:rFonts w:hint="eastAsia"/>
                      <w:iCs/>
                      <w:color w:val="auto"/>
                      <w:kern w:val="0"/>
                      <w:sz w:val="21"/>
                      <w:szCs w:val="21"/>
                      <w:highlight w:val="none"/>
                    </w:rPr>
                    <w:t>环境风险</w:t>
                  </w:r>
                </w:p>
              </w:tc>
              <w:tc>
                <w:tcPr>
                  <w:tcW w:w="1921" w:type="dxa"/>
                  <w:noWrap w:val="0"/>
                  <w:vAlign w:val="center"/>
                </w:tcPr>
                <w:p w14:paraId="5E4B0ADB">
                  <w:pPr>
                    <w:adjustRightInd w:val="0"/>
                    <w:snapToGrid w:val="0"/>
                    <w:spacing w:line="240" w:lineRule="auto"/>
                    <w:ind w:firstLine="0" w:firstLineChars="0"/>
                    <w:jc w:val="center"/>
                    <w:rPr>
                      <w:rFonts w:hint="eastAsia"/>
                      <w:iCs/>
                      <w:color w:val="auto"/>
                      <w:kern w:val="0"/>
                      <w:sz w:val="21"/>
                      <w:szCs w:val="21"/>
                      <w:highlight w:val="none"/>
                    </w:rPr>
                  </w:pPr>
                  <w:r>
                    <w:rPr>
                      <w:rFonts w:hint="eastAsia"/>
                      <w:iCs/>
                      <w:color w:val="auto"/>
                      <w:kern w:val="0"/>
                      <w:sz w:val="21"/>
                      <w:szCs w:val="21"/>
                      <w:highlight w:val="none"/>
                    </w:rPr>
                    <w:t>有毒有害和易燃易爆危险物质存储量超过临界量</w:t>
                  </w:r>
                  <w:r>
                    <w:rPr>
                      <w:rFonts w:hint="eastAsia"/>
                      <w:iCs/>
                      <w:color w:val="auto"/>
                      <w:kern w:val="0"/>
                      <w:sz w:val="21"/>
                      <w:szCs w:val="21"/>
                      <w:highlight w:val="none"/>
                      <w:vertAlign w:val="superscript"/>
                    </w:rPr>
                    <w:t>3</w:t>
                  </w:r>
                  <w:r>
                    <w:rPr>
                      <w:rFonts w:hint="eastAsia"/>
                      <w:iCs/>
                      <w:color w:val="auto"/>
                      <w:kern w:val="0"/>
                      <w:sz w:val="21"/>
                      <w:szCs w:val="21"/>
                      <w:highlight w:val="none"/>
                    </w:rPr>
                    <w:t>的建设项目</w:t>
                  </w:r>
                </w:p>
              </w:tc>
              <w:tc>
                <w:tcPr>
                  <w:tcW w:w="3089" w:type="dxa"/>
                  <w:noWrap w:val="0"/>
                  <w:vAlign w:val="center"/>
                </w:tcPr>
                <w:p w14:paraId="72693616">
                  <w:pPr>
                    <w:adjustRightInd w:val="0"/>
                    <w:snapToGrid w:val="0"/>
                    <w:spacing w:line="240" w:lineRule="auto"/>
                    <w:ind w:firstLine="0" w:firstLineChars="0"/>
                    <w:jc w:val="center"/>
                    <w:rPr>
                      <w:rFonts w:hint="eastAsia" w:ascii="Times New Roman" w:hAnsi="Times New Roman" w:eastAsia="宋体" w:cs="Times New Roman"/>
                      <w:iCs/>
                      <w:color w:val="auto"/>
                      <w:kern w:val="0"/>
                      <w:sz w:val="21"/>
                      <w:szCs w:val="21"/>
                      <w:highlight w:val="none"/>
                    </w:rPr>
                  </w:pPr>
                  <w:r>
                    <w:rPr>
                      <w:rFonts w:hint="eastAsia" w:ascii="Times New Roman" w:hAnsi="Times New Roman" w:eastAsia="宋体" w:cs="Times New Roman"/>
                      <w:iCs/>
                      <w:color w:val="auto"/>
                      <w:kern w:val="0"/>
                      <w:sz w:val="21"/>
                      <w:szCs w:val="21"/>
                      <w:highlight w:val="none"/>
                    </w:rPr>
                    <w:t>本项目</w:t>
                  </w:r>
                  <w:r>
                    <w:rPr>
                      <w:rFonts w:hint="eastAsia" w:ascii="Times New Roman" w:hAnsi="Times New Roman" w:eastAsia="宋体" w:cs="Times New Roman"/>
                      <w:iCs/>
                      <w:color w:val="auto"/>
                      <w:kern w:val="0"/>
                      <w:sz w:val="21"/>
                      <w:szCs w:val="21"/>
                      <w:highlight w:val="none"/>
                      <w:lang w:val="en-US" w:eastAsia="zh-CN"/>
                    </w:rPr>
                    <w:t>无</w:t>
                  </w:r>
                  <w:r>
                    <w:rPr>
                      <w:rFonts w:hint="eastAsia" w:ascii="Times New Roman" w:hAnsi="Times New Roman" w:eastAsia="宋体" w:cs="Times New Roman"/>
                      <w:iCs/>
                      <w:color w:val="auto"/>
                      <w:kern w:val="0"/>
                      <w:sz w:val="21"/>
                      <w:szCs w:val="21"/>
                      <w:highlight w:val="none"/>
                    </w:rPr>
                    <w:t>有毒有害</w:t>
                  </w:r>
                  <w:r>
                    <w:rPr>
                      <w:rFonts w:hint="eastAsia" w:ascii="Times New Roman" w:hAnsi="Times New Roman" w:eastAsia="宋体" w:cs="Times New Roman"/>
                      <w:iCs/>
                      <w:color w:val="auto"/>
                      <w:kern w:val="0"/>
                      <w:sz w:val="21"/>
                      <w:szCs w:val="21"/>
                      <w:highlight w:val="none"/>
                      <w:lang w:val="en-US" w:eastAsia="zh-CN"/>
                    </w:rPr>
                    <w:t>物质，</w:t>
                  </w:r>
                  <w:r>
                    <w:rPr>
                      <w:rFonts w:hint="eastAsia" w:ascii="Times New Roman" w:hAnsi="Times New Roman" w:eastAsia="宋体" w:cs="Times New Roman"/>
                      <w:iCs/>
                      <w:color w:val="auto"/>
                      <w:kern w:val="0"/>
                      <w:sz w:val="21"/>
                      <w:szCs w:val="21"/>
                      <w:highlight w:val="none"/>
                    </w:rPr>
                    <w:t>易燃易爆危险物质</w:t>
                  </w:r>
                  <w:r>
                    <w:rPr>
                      <w:rFonts w:hint="eastAsia" w:ascii="Times New Roman" w:hAnsi="Times New Roman" w:eastAsia="宋体" w:cs="Times New Roman"/>
                      <w:iCs/>
                      <w:color w:val="auto"/>
                      <w:kern w:val="0"/>
                      <w:sz w:val="21"/>
                      <w:szCs w:val="21"/>
                      <w:highlight w:val="none"/>
                      <w:lang w:eastAsia="zh-CN"/>
                    </w:rPr>
                    <w:t>（</w:t>
                  </w:r>
                  <w:r>
                    <w:rPr>
                      <w:rFonts w:hint="eastAsia" w:ascii="Times New Roman" w:hAnsi="Times New Roman" w:eastAsia="宋体" w:cs="Times New Roman"/>
                      <w:iCs/>
                      <w:color w:val="auto"/>
                      <w:kern w:val="0"/>
                      <w:sz w:val="21"/>
                      <w:szCs w:val="21"/>
                      <w:highlight w:val="none"/>
                      <w:lang w:val="en-US" w:eastAsia="zh-CN"/>
                    </w:rPr>
                    <w:t>导热油、</w:t>
                  </w:r>
                  <w:r>
                    <w:rPr>
                      <w:rFonts w:hint="eastAsia" w:cs="Times New Roman"/>
                      <w:iCs/>
                      <w:color w:val="auto"/>
                      <w:kern w:val="0"/>
                      <w:sz w:val="21"/>
                      <w:szCs w:val="21"/>
                      <w:highlight w:val="none"/>
                      <w:lang w:val="en-US" w:eastAsia="zh-CN"/>
                    </w:rPr>
                    <w:t>废机油、</w:t>
                  </w:r>
                  <w:r>
                    <w:rPr>
                      <w:rFonts w:hint="eastAsia" w:ascii="Times New Roman" w:hAnsi="Times New Roman" w:eastAsia="宋体" w:cs="Times New Roman"/>
                      <w:iCs/>
                      <w:color w:val="auto"/>
                      <w:kern w:val="0"/>
                      <w:sz w:val="21"/>
                      <w:szCs w:val="21"/>
                      <w:highlight w:val="none"/>
                      <w:lang w:val="en-US" w:eastAsia="zh-CN"/>
                    </w:rPr>
                    <w:t>天然气储存量分别为</w:t>
                  </w:r>
                  <w:r>
                    <w:rPr>
                      <w:rFonts w:hint="eastAsia" w:cs="Times New Roman"/>
                      <w:iCs/>
                      <w:color w:val="auto"/>
                      <w:kern w:val="0"/>
                      <w:sz w:val="21"/>
                      <w:szCs w:val="21"/>
                      <w:highlight w:val="none"/>
                      <w:lang w:val="en-US" w:eastAsia="zh-CN"/>
                    </w:rPr>
                    <w:t>12</w:t>
                  </w:r>
                  <w:r>
                    <w:rPr>
                      <w:rFonts w:hint="eastAsia" w:ascii="Times New Roman" w:hAnsi="Times New Roman" w:eastAsia="宋体" w:cs="Times New Roman"/>
                      <w:iCs/>
                      <w:color w:val="auto"/>
                      <w:kern w:val="0"/>
                      <w:sz w:val="21"/>
                      <w:szCs w:val="21"/>
                      <w:highlight w:val="none"/>
                      <w:lang w:val="en-US" w:eastAsia="zh-CN"/>
                    </w:rPr>
                    <w:t>t、</w:t>
                  </w:r>
                  <w:r>
                    <w:rPr>
                      <w:rFonts w:hint="eastAsia" w:cs="Times New Roman"/>
                      <w:iCs/>
                      <w:color w:val="auto"/>
                      <w:kern w:val="0"/>
                      <w:sz w:val="21"/>
                      <w:szCs w:val="21"/>
                      <w:highlight w:val="none"/>
                      <w:lang w:val="en-US" w:eastAsia="zh-CN"/>
                    </w:rPr>
                    <w:t>0.6t、</w:t>
                  </w:r>
                  <w:r>
                    <w:rPr>
                      <w:rFonts w:hint="eastAsia" w:ascii="Times New Roman" w:hAnsi="Times New Roman" w:eastAsia="宋体" w:cs="Times New Roman"/>
                      <w:iCs/>
                      <w:color w:val="auto"/>
                      <w:kern w:val="0"/>
                      <w:sz w:val="21"/>
                      <w:szCs w:val="21"/>
                      <w:highlight w:val="none"/>
                      <w:lang w:val="en-US" w:eastAsia="zh-CN"/>
                    </w:rPr>
                    <w:t>0.00</w:t>
                  </w:r>
                  <w:r>
                    <w:rPr>
                      <w:rFonts w:hint="eastAsia" w:cs="Times New Roman"/>
                      <w:iCs/>
                      <w:color w:val="auto"/>
                      <w:kern w:val="0"/>
                      <w:sz w:val="21"/>
                      <w:szCs w:val="21"/>
                      <w:highlight w:val="none"/>
                      <w:lang w:val="en-US" w:eastAsia="zh-CN"/>
                    </w:rPr>
                    <w:t>6</w:t>
                  </w:r>
                  <w:r>
                    <w:rPr>
                      <w:rFonts w:hint="eastAsia" w:ascii="Times New Roman" w:hAnsi="Times New Roman" w:eastAsia="宋体" w:cs="Times New Roman"/>
                      <w:iCs/>
                      <w:color w:val="auto"/>
                      <w:kern w:val="0"/>
                      <w:sz w:val="21"/>
                      <w:szCs w:val="21"/>
                      <w:highlight w:val="none"/>
                      <w:lang w:val="en-US" w:eastAsia="zh-CN"/>
                    </w:rPr>
                    <w:t>t</w:t>
                  </w:r>
                  <w:r>
                    <w:rPr>
                      <w:rFonts w:hint="eastAsia" w:ascii="Times New Roman" w:hAnsi="Times New Roman" w:eastAsia="宋体" w:cs="Times New Roman"/>
                      <w:iCs/>
                      <w:color w:val="auto"/>
                      <w:kern w:val="0"/>
                      <w:sz w:val="21"/>
                      <w:szCs w:val="21"/>
                      <w:highlight w:val="none"/>
                      <w:lang w:eastAsia="zh-CN"/>
                    </w:rPr>
                    <w:t>）</w:t>
                  </w:r>
                  <w:r>
                    <w:rPr>
                      <w:rFonts w:hint="eastAsia" w:ascii="Times New Roman" w:hAnsi="Times New Roman" w:eastAsia="宋体" w:cs="Times New Roman"/>
                      <w:iCs/>
                      <w:color w:val="auto"/>
                      <w:kern w:val="0"/>
                      <w:sz w:val="21"/>
                      <w:szCs w:val="21"/>
                      <w:highlight w:val="none"/>
                    </w:rPr>
                    <w:t>存储量未超过临界量（Q&lt;1）</w:t>
                  </w:r>
                </w:p>
              </w:tc>
              <w:tc>
                <w:tcPr>
                  <w:tcW w:w="945" w:type="dxa"/>
                  <w:noWrap w:val="0"/>
                  <w:vAlign w:val="center"/>
                </w:tcPr>
                <w:p w14:paraId="34ACFED1">
                  <w:pPr>
                    <w:adjustRightInd w:val="0"/>
                    <w:snapToGrid w:val="0"/>
                    <w:spacing w:line="240" w:lineRule="auto"/>
                    <w:ind w:firstLine="0" w:firstLineChars="0"/>
                    <w:jc w:val="center"/>
                    <w:rPr>
                      <w:rFonts w:hint="eastAsia"/>
                      <w:iCs/>
                      <w:color w:val="auto"/>
                      <w:kern w:val="0"/>
                      <w:sz w:val="21"/>
                      <w:szCs w:val="21"/>
                      <w:highlight w:val="none"/>
                    </w:rPr>
                  </w:pPr>
                  <w:r>
                    <w:rPr>
                      <w:rFonts w:hint="eastAsia"/>
                      <w:iCs/>
                      <w:color w:val="auto"/>
                      <w:kern w:val="0"/>
                      <w:sz w:val="21"/>
                      <w:szCs w:val="21"/>
                      <w:highlight w:val="none"/>
                    </w:rPr>
                    <w:t>否</w:t>
                  </w:r>
                </w:p>
              </w:tc>
            </w:tr>
            <w:tr w14:paraId="0B5C72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22" w:hRule="atLeast"/>
                <w:jc w:val="center"/>
              </w:trPr>
              <w:tc>
                <w:tcPr>
                  <w:tcW w:w="1076" w:type="dxa"/>
                  <w:noWrap w:val="0"/>
                  <w:vAlign w:val="center"/>
                </w:tcPr>
                <w:p w14:paraId="1083E0EE">
                  <w:pPr>
                    <w:adjustRightInd w:val="0"/>
                    <w:snapToGrid w:val="0"/>
                    <w:spacing w:line="240" w:lineRule="auto"/>
                    <w:ind w:firstLine="0" w:firstLineChars="0"/>
                    <w:jc w:val="center"/>
                    <w:rPr>
                      <w:rFonts w:hint="eastAsia"/>
                      <w:iCs/>
                      <w:color w:val="auto"/>
                      <w:kern w:val="0"/>
                      <w:sz w:val="21"/>
                      <w:szCs w:val="21"/>
                      <w:highlight w:val="none"/>
                    </w:rPr>
                  </w:pPr>
                  <w:r>
                    <w:rPr>
                      <w:rFonts w:hint="eastAsia"/>
                      <w:iCs/>
                      <w:color w:val="auto"/>
                      <w:kern w:val="0"/>
                      <w:sz w:val="21"/>
                      <w:szCs w:val="21"/>
                      <w:highlight w:val="none"/>
                    </w:rPr>
                    <w:t>生态</w:t>
                  </w:r>
                </w:p>
              </w:tc>
              <w:tc>
                <w:tcPr>
                  <w:tcW w:w="1921" w:type="dxa"/>
                  <w:noWrap w:val="0"/>
                  <w:vAlign w:val="center"/>
                </w:tcPr>
                <w:p w14:paraId="00E97089">
                  <w:pPr>
                    <w:adjustRightInd w:val="0"/>
                    <w:snapToGrid w:val="0"/>
                    <w:spacing w:line="240" w:lineRule="auto"/>
                    <w:ind w:firstLine="0" w:firstLineChars="0"/>
                    <w:jc w:val="center"/>
                    <w:rPr>
                      <w:rFonts w:hint="eastAsia"/>
                      <w:iCs/>
                      <w:color w:val="auto"/>
                      <w:kern w:val="0"/>
                      <w:sz w:val="21"/>
                      <w:szCs w:val="21"/>
                      <w:highlight w:val="none"/>
                    </w:rPr>
                  </w:pPr>
                  <w:r>
                    <w:rPr>
                      <w:rFonts w:hint="eastAsia"/>
                      <w:iCs/>
                      <w:color w:val="auto"/>
                      <w:kern w:val="0"/>
                      <w:sz w:val="21"/>
                      <w:szCs w:val="21"/>
                      <w:highlight w:val="none"/>
                    </w:rPr>
                    <w:t>取水口下游500米范围内有重要水生生物的自然产卵场、索饵场、越冬场和洄游通道的新增河道取水的污染类建设项目</w:t>
                  </w:r>
                </w:p>
              </w:tc>
              <w:tc>
                <w:tcPr>
                  <w:tcW w:w="3089" w:type="dxa"/>
                  <w:noWrap w:val="0"/>
                  <w:vAlign w:val="center"/>
                </w:tcPr>
                <w:p w14:paraId="0D883204">
                  <w:pPr>
                    <w:adjustRightInd w:val="0"/>
                    <w:snapToGrid w:val="0"/>
                    <w:spacing w:line="240" w:lineRule="auto"/>
                    <w:ind w:firstLine="0" w:firstLineChars="0"/>
                    <w:jc w:val="center"/>
                    <w:rPr>
                      <w:rFonts w:hint="eastAsia" w:ascii="Times New Roman" w:hAnsi="Times New Roman" w:eastAsia="宋体" w:cs="Times New Roman"/>
                      <w:iCs/>
                      <w:color w:val="auto"/>
                      <w:kern w:val="0"/>
                      <w:sz w:val="21"/>
                      <w:szCs w:val="21"/>
                      <w:highlight w:val="none"/>
                    </w:rPr>
                  </w:pPr>
                  <w:r>
                    <w:rPr>
                      <w:rFonts w:hint="eastAsia" w:ascii="Times New Roman" w:hAnsi="Times New Roman" w:eastAsia="宋体" w:cs="Times New Roman"/>
                      <w:iCs/>
                      <w:color w:val="auto"/>
                      <w:kern w:val="0"/>
                      <w:sz w:val="21"/>
                      <w:szCs w:val="21"/>
                      <w:highlight w:val="none"/>
                    </w:rPr>
                    <w:t>本项目位于福建省福州市罗源县</w:t>
                  </w:r>
                  <w:r>
                    <w:rPr>
                      <w:rFonts w:hint="eastAsia" w:ascii="Times New Roman" w:hAnsi="Times New Roman" w:eastAsia="宋体" w:cs="Times New Roman"/>
                      <w:iCs/>
                      <w:color w:val="auto"/>
                      <w:kern w:val="0"/>
                      <w:sz w:val="21"/>
                      <w:szCs w:val="21"/>
                      <w:highlight w:val="none"/>
                      <w:lang w:val="en-US" w:eastAsia="zh-CN"/>
                    </w:rPr>
                    <w:t>金港工业区</w:t>
                  </w:r>
                  <w:r>
                    <w:rPr>
                      <w:rFonts w:hint="eastAsia" w:ascii="Times New Roman" w:hAnsi="Times New Roman" w:eastAsia="宋体" w:cs="Times New Roman"/>
                      <w:iCs/>
                      <w:color w:val="auto"/>
                      <w:kern w:val="0"/>
                      <w:sz w:val="21"/>
                      <w:szCs w:val="21"/>
                      <w:highlight w:val="none"/>
                    </w:rPr>
                    <w:t>，依托市政供水，不涉及取水工程，因此无需设置生态专项</w:t>
                  </w:r>
                </w:p>
              </w:tc>
              <w:tc>
                <w:tcPr>
                  <w:tcW w:w="945" w:type="dxa"/>
                  <w:noWrap w:val="0"/>
                  <w:vAlign w:val="center"/>
                </w:tcPr>
                <w:p w14:paraId="72387B2D">
                  <w:pPr>
                    <w:adjustRightInd w:val="0"/>
                    <w:snapToGrid w:val="0"/>
                    <w:spacing w:line="240" w:lineRule="auto"/>
                    <w:ind w:firstLine="0" w:firstLineChars="0"/>
                    <w:jc w:val="center"/>
                    <w:rPr>
                      <w:rFonts w:hint="eastAsia"/>
                      <w:iCs/>
                      <w:color w:val="auto"/>
                      <w:kern w:val="0"/>
                      <w:sz w:val="21"/>
                      <w:szCs w:val="21"/>
                      <w:highlight w:val="none"/>
                    </w:rPr>
                  </w:pPr>
                  <w:r>
                    <w:rPr>
                      <w:rFonts w:hint="eastAsia"/>
                      <w:iCs/>
                      <w:color w:val="auto"/>
                      <w:kern w:val="0"/>
                      <w:sz w:val="21"/>
                      <w:szCs w:val="21"/>
                      <w:highlight w:val="none"/>
                    </w:rPr>
                    <w:t>否</w:t>
                  </w:r>
                </w:p>
              </w:tc>
            </w:tr>
            <w:tr w14:paraId="49CA63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6" w:type="dxa"/>
                  <w:noWrap w:val="0"/>
                  <w:vAlign w:val="center"/>
                </w:tcPr>
                <w:p w14:paraId="6DB38C01">
                  <w:pPr>
                    <w:adjustRightInd w:val="0"/>
                    <w:snapToGrid w:val="0"/>
                    <w:spacing w:line="240" w:lineRule="auto"/>
                    <w:ind w:firstLine="0" w:firstLineChars="0"/>
                    <w:jc w:val="center"/>
                    <w:rPr>
                      <w:rFonts w:hint="eastAsia"/>
                      <w:iCs/>
                      <w:color w:val="auto"/>
                      <w:kern w:val="0"/>
                      <w:sz w:val="21"/>
                      <w:szCs w:val="21"/>
                      <w:highlight w:val="none"/>
                    </w:rPr>
                  </w:pPr>
                  <w:r>
                    <w:rPr>
                      <w:rFonts w:hint="eastAsia"/>
                      <w:iCs/>
                      <w:color w:val="auto"/>
                      <w:kern w:val="0"/>
                      <w:sz w:val="21"/>
                      <w:szCs w:val="21"/>
                      <w:highlight w:val="none"/>
                    </w:rPr>
                    <w:t>海洋</w:t>
                  </w:r>
                </w:p>
              </w:tc>
              <w:tc>
                <w:tcPr>
                  <w:tcW w:w="1921" w:type="dxa"/>
                  <w:noWrap w:val="0"/>
                  <w:vAlign w:val="center"/>
                </w:tcPr>
                <w:p w14:paraId="7AFB022C">
                  <w:pPr>
                    <w:adjustRightInd w:val="0"/>
                    <w:snapToGrid w:val="0"/>
                    <w:spacing w:line="240" w:lineRule="auto"/>
                    <w:ind w:firstLine="0" w:firstLineChars="0"/>
                    <w:jc w:val="center"/>
                    <w:rPr>
                      <w:rFonts w:hint="eastAsia"/>
                      <w:iCs/>
                      <w:color w:val="auto"/>
                      <w:kern w:val="0"/>
                      <w:sz w:val="21"/>
                      <w:szCs w:val="21"/>
                      <w:highlight w:val="none"/>
                    </w:rPr>
                  </w:pPr>
                  <w:r>
                    <w:rPr>
                      <w:rFonts w:hint="eastAsia"/>
                      <w:iCs/>
                      <w:color w:val="auto"/>
                      <w:kern w:val="0"/>
                      <w:sz w:val="21"/>
                      <w:szCs w:val="21"/>
                      <w:highlight w:val="none"/>
                    </w:rPr>
                    <w:t>直接向海排放污染物的海洋工程建设项目</w:t>
                  </w:r>
                </w:p>
              </w:tc>
              <w:tc>
                <w:tcPr>
                  <w:tcW w:w="3089" w:type="dxa"/>
                  <w:noWrap w:val="0"/>
                  <w:vAlign w:val="center"/>
                </w:tcPr>
                <w:p w14:paraId="2F7F2E57">
                  <w:pPr>
                    <w:adjustRightInd w:val="0"/>
                    <w:snapToGrid w:val="0"/>
                    <w:spacing w:line="240" w:lineRule="auto"/>
                    <w:ind w:firstLine="0" w:firstLineChars="0"/>
                    <w:jc w:val="center"/>
                    <w:rPr>
                      <w:rFonts w:hint="eastAsia" w:ascii="Times New Roman" w:hAnsi="Times New Roman" w:eastAsia="宋体" w:cs="Times New Roman"/>
                      <w:iCs/>
                      <w:color w:val="auto"/>
                      <w:kern w:val="0"/>
                      <w:sz w:val="21"/>
                      <w:szCs w:val="21"/>
                      <w:highlight w:val="none"/>
                      <w:lang w:eastAsia="zh-CN"/>
                    </w:rPr>
                  </w:pPr>
                  <w:r>
                    <w:rPr>
                      <w:rFonts w:hint="eastAsia" w:ascii="Times New Roman" w:hAnsi="Times New Roman" w:eastAsia="宋体" w:cs="Times New Roman"/>
                      <w:iCs/>
                      <w:color w:val="auto"/>
                      <w:kern w:val="0"/>
                      <w:sz w:val="21"/>
                      <w:szCs w:val="21"/>
                      <w:highlight w:val="none"/>
                      <w:lang w:val="en-US" w:eastAsia="zh-CN"/>
                    </w:rPr>
                    <w:t>本项目食堂废水经隔油池预处理后与</w:t>
                  </w:r>
                  <w:r>
                    <w:rPr>
                      <w:rFonts w:hint="eastAsia" w:ascii="Times New Roman" w:hAnsi="Times New Roman" w:eastAsia="宋体" w:cs="Times New Roman"/>
                      <w:iCs/>
                      <w:color w:val="auto"/>
                      <w:kern w:val="0"/>
                      <w:sz w:val="21"/>
                      <w:szCs w:val="21"/>
                      <w:highlight w:val="none"/>
                    </w:rPr>
                    <w:t>生活废水一起经</w:t>
                  </w:r>
                  <w:r>
                    <w:rPr>
                      <w:rFonts w:hint="eastAsia" w:ascii="Times New Roman" w:hAnsi="Times New Roman" w:eastAsia="宋体" w:cs="Times New Roman"/>
                      <w:iCs/>
                      <w:color w:val="auto"/>
                      <w:kern w:val="0"/>
                      <w:sz w:val="21"/>
                      <w:szCs w:val="21"/>
                      <w:highlight w:val="none"/>
                      <w:lang w:val="en-US" w:eastAsia="zh-CN"/>
                    </w:rPr>
                    <w:t>厂区</w:t>
                  </w:r>
                  <w:r>
                    <w:rPr>
                      <w:rFonts w:hint="eastAsia" w:ascii="Times New Roman" w:hAnsi="Times New Roman" w:eastAsia="宋体" w:cs="Times New Roman"/>
                      <w:iCs/>
                      <w:color w:val="auto"/>
                      <w:kern w:val="0"/>
                      <w:sz w:val="21"/>
                      <w:szCs w:val="21"/>
                      <w:highlight w:val="none"/>
                    </w:rPr>
                    <w:t>化粪池处理达</w:t>
                  </w:r>
                  <w:r>
                    <w:rPr>
                      <w:rFonts w:hint="eastAsia" w:ascii="Times New Roman" w:hAnsi="Times New Roman" w:eastAsia="宋体" w:cs="Times New Roman"/>
                      <w:iCs/>
                      <w:color w:val="auto"/>
                      <w:kern w:val="0"/>
                      <w:sz w:val="21"/>
                      <w:szCs w:val="21"/>
                      <w:highlight w:val="none"/>
                      <w:lang w:val="en-US" w:eastAsia="zh-CN"/>
                    </w:rPr>
                    <w:t>标</w:t>
                  </w:r>
                  <w:r>
                    <w:rPr>
                      <w:rFonts w:hint="eastAsia" w:ascii="Times New Roman" w:hAnsi="Times New Roman" w:eastAsia="宋体" w:cs="Times New Roman"/>
                      <w:iCs/>
                      <w:color w:val="auto"/>
                      <w:kern w:val="0"/>
                      <w:sz w:val="21"/>
                      <w:szCs w:val="21"/>
                      <w:highlight w:val="none"/>
                    </w:rPr>
                    <w:t>后排入市政污水管网。不属于直接向海排放污染物的海洋工程建设项目，因此无需设置海洋专项</w:t>
                  </w:r>
                </w:p>
              </w:tc>
              <w:tc>
                <w:tcPr>
                  <w:tcW w:w="945" w:type="dxa"/>
                  <w:noWrap w:val="0"/>
                  <w:vAlign w:val="center"/>
                </w:tcPr>
                <w:p w14:paraId="3C8530A4">
                  <w:pPr>
                    <w:adjustRightInd w:val="0"/>
                    <w:snapToGrid w:val="0"/>
                    <w:spacing w:line="240" w:lineRule="auto"/>
                    <w:ind w:firstLine="0" w:firstLineChars="0"/>
                    <w:jc w:val="center"/>
                    <w:rPr>
                      <w:rFonts w:hint="eastAsia"/>
                      <w:iCs/>
                      <w:color w:val="auto"/>
                      <w:kern w:val="0"/>
                      <w:sz w:val="21"/>
                      <w:szCs w:val="21"/>
                      <w:highlight w:val="none"/>
                    </w:rPr>
                  </w:pPr>
                  <w:r>
                    <w:rPr>
                      <w:rFonts w:hint="eastAsia"/>
                      <w:iCs/>
                      <w:color w:val="auto"/>
                      <w:kern w:val="0"/>
                      <w:sz w:val="21"/>
                      <w:szCs w:val="21"/>
                      <w:highlight w:val="none"/>
                    </w:rPr>
                    <w:t>否</w:t>
                  </w:r>
                </w:p>
              </w:tc>
            </w:tr>
            <w:tr w14:paraId="76E8F2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9" w:hRule="atLeast"/>
                <w:jc w:val="center"/>
              </w:trPr>
              <w:tc>
                <w:tcPr>
                  <w:tcW w:w="7031" w:type="dxa"/>
                  <w:gridSpan w:val="4"/>
                  <w:noWrap w:val="0"/>
                  <w:vAlign w:val="center"/>
                </w:tcPr>
                <w:p w14:paraId="236E9D63">
                  <w:pPr>
                    <w:ind w:firstLine="0" w:firstLineChars="0"/>
                    <w:rPr>
                      <w:rFonts w:hint="eastAsia"/>
                      <w:color w:val="auto"/>
                      <w:sz w:val="21"/>
                      <w:szCs w:val="21"/>
                      <w:highlight w:val="none"/>
                    </w:rPr>
                  </w:pPr>
                  <w:r>
                    <w:rPr>
                      <w:rFonts w:hint="eastAsia"/>
                      <w:color w:val="auto"/>
                      <w:sz w:val="21"/>
                      <w:szCs w:val="21"/>
                      <w:highlight w:val="none"/>
                    </w:rPr>
                    <w:t>注：</w:t>
                  </w:r>
                </w:p>
                <w:p w14:paraId="048F0D4E">
                  <w:pPr>
                    <w:ind w:firstLine="420"/>
                    <w:rPr>
                      <w:rFonts w:hint="eastAsia"/>
                      <w:color w:val="auto"/>
                      <w:sz w:val="21"/>
                      <w:szCs w:val="21"/>
                      <w:highlight w:val="none"/>
                    </w:rPr>
                  </w:pPr>
                  <w:r>
                    <w:rPr>
                      <w:rFonts w:hint="eastAsia"/>
                      <w:color w:val="auto"/>
                      <w:sz w:val="21"/>
                      <w:szCs w:val="21"/>
                      <w:highlight w:val="none"/>
                    </w:rPr>
                    <w:t>1.废气中有毒有害污染物指纳入《有毒有害大气污染物名录》的污染物（不包括无排放标准的污染物）。</w:t>
                  </w:r>
                </w:p>
                <w:p w14:paraId="57757C4C">
                  <w:pPr>
                    <w:ind w:firstLine="420"/>
                    <w:rPr>
                      <w:rFonts w:hint="eastAsia"/>
                      <w:color w:val="auto"/>
                      <w:sz w:val="21"/>
                      <w:szCs w:val="21"/>
                      <w:highlight w:val="none"/>
                    </w:rPr>
                  </w:pPr>
                  <w:r>
                    <w:rPr>
                      <w:rFonts w:hint="eastAsia"/>
                      <w:color w:val="auto"/>
                      <w:sz w:val="21"/>
                      <w:szCs w:val="21"/>
                      <w:highlight w:val="none"/>
                    </w:rPr>
                    <w:t>2.环境空气保护目标指自然保护区、风景名胜区、居住区、文化区和农村地区中人群较集中的区域。</w:t>
                  </w:r>
                </w:p>
                <w:p w14:paraId="4FC9DE71">
                  <w:pPr>
                    <w:ind w:firstLine="420"/>
                    <w:rPr>
                      <w:rFonts w:hint="eastAsia" w:ascii="宋体" w:hAnsi="宋体" w:cs="宋体"/>
                      <w:color w:val="auto"/>
                      <w:szCs w:val="21"/>
                      <w:highlight w:val="none"/>
                    </w:rPr>
                  </w:pPr>
                  <w:r>
                    <w:rPr>
                      <w:rFonts w:hint="eastAsia"/>
                      <w:color w:val="auto"/>
                      <w:sz w:val="21"/>
                      <w:szCs w:val="21"/>
                      <w:highlight w:val="none"/>
                    </w:rPr>
                    <w:t>3.临界量及其计算方法可参考《建设项目环境风险评价技术导则》（HJ169）附录B、附录C。</w:t>
                  </w:r>
                </w:p>
              </w:tc>
            </w:tr>
          </w:tbl>
          <w:p w14:paraId="5FC2EDBE">
            <w:pPr>
              <w:pStyle w:val="85"/>
              <w:ind w:firstLine="480"/>
              <w:rPr>
                <w:color w:val="auto"/>
                <w:highlight w:val="none"/>
              </w:rPr>
            </w:pPr>
          </w:p>
        </w:tc>
      </w:tr>
      <w:tr w14:paraId="6A8AC6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1713" w:type="dxa"/>
            <w:noWrap w:val="0"/>
            <w:vAlign w:val="center"/>
          </w:tcPr>
          <w:p w14:paraId="7F044187">
            <w:pPr>
              <w:adjustRightInd w:val="0"/>
              <w:snapToGrid w:val="0"/>
              <w:spacing w:line="240" w:lineRule="auto"/>
              <w:ind w:firstLine="0" w:firstLineChars="0"/>
              <w:jc w:val="center"/>
              <w:rPr>
                <w:color w:val="auto"/>
                <w:highlight w:val="none"/>
              </w:rPr>
            </w:pPr>
            <w:r>
              <w:rPr>
                <w:color w:val="auto"/>
                <w:highlight w:val="none"/>
              </w:rPr>
              <w:t>规划情况</w:t>
            </w:r>
          </w:p>
        </w:tc>
        <w:tc>
          <w:tcPr>
            <w:tcW w:w="7157" w:type="dxa"/>
            <w:gridSpan w:val="4"/>
            <w:noWrap w:val="0"/>
            <w:vAlign w:val="center"/>
          </w:tcPr>
          <w:p w14:paraId="1B191B0D">
            <w:pPr>
              <w:widowControl/>
              <w:ind w:firstLine="0" w:firstLineChars="0"/>
              <w:jc w:val="left"/>
              <w:rPr>
                <w:color w:val="auto"/>
                <w:kern w:val="0"/>
                <w:highlight w:val="none"/>
                <w:lang w:bidi="ar"/>
              </w:rPr>
            </w:pPr>
            <w:r>
              <w:rPr>
                <w:rFonts w:hint="eastAsia"/>
                <w:color w:val="auto"/>
                <w:kern w:val="0"/>
                <w:highlight w:val="none"/>
                <w:lang w:val="en-US" w:eastAsia="zh-CN" w:bidi="ar"/>
              </w:rPr>
              <w:t>1</w:t>
            </w:r>
            <w:r>
              <w:rPr>
                <w:rFonts w:hint="eastAsia"/>
                <w:color w:val="auto"/>
                <w:kern w:val="0"/>
                <w:highlight w:val="none"/>
                <w:lang w:bidi="ar"/>
              </w:rPr>
              <w:t>、</w:t>
            </w:r>
            <w:r>
              <w:rPr>
                <w:color w:val="auto"/>
                <w:kern w:val="0"/>
                <w:highlight w:val="none"/>
                <w:lang w:bidi="ar"/>
              </w:rPr>
              <w:t>规划名称：《</w:t>
            </w:r>
            <w:r>
              <w:rPr>
                <w:rFonts w:hint="default" w:ascii="Times New Roman" w:hAnsi="Times New Roman" w:eastAsia="宋体" w:cs="Times New Roman"/>
                <w:color w:val="auto"/>
                <w:highlight w:val="none"/>
                <w:lang w:val="zh-CN"/>
              </w:rPr>
              <w:t>福州市丝路海港城（罗源湾港城）金港片区控制性详细规划</w:t>
            </w:r>
            <w:r>
              <w:rPr>
                <w:color w:val="auto"/>
                <w:kern w:val="0"/>
                <w:highlight w:val="none"/>
                <w:lang w:bidi="ar"/>
              </w:rPr>
              <w:t>》</w:t>
            </w:r>
          </w:p>
          <w:p w14:paraId="233131B6">
            <w:pPr>
              <w:widowControl/>
              <w:ind w:firstLine="0" w:firstLineChars="0"/>
              <w:jc w:val="left"/>
              <w:rPr>
                <w:rFonts w:hint="eastAsia"/>
                <w:color w:val="auto"/>
                <w:kern w:val="0"/>
                <w:highlight w:val="none"/>
                <w:lang w:bidi="ar"/>
              </w:rPr>
            </w:pPr>
            <w:r>
              <w:rPr>
                <w:rFonts w:hint="eastAsia"/>
                <w:color w:val="auto"/>
                <w:kern w:val="0"/>
                <w:highlight w:val="none"/>
                <w:lang w:val="en-US" w:eastAsia="zh-CN" w:bidi="ar"/>
              </w:rPr>
              <w:t>2</w:t>
            </w:r>
            <w:r>
              <w:rPr>
                <w:rFonts w:hint="eastAsia"/>
                <w:color w:val="auto"/>
                <w:kern w:val="0"/>
                <w:highlight w:val="none"/>
                <w:lang w:bidi="ar"/>
              </w:rPr>
              <w:t>、规划名称：</w:t>
            </w:r>
            <w:r>
              <w:rPr>
                <w:rFonts w:hint="default" w:ascii="Times New Roman" w:hAnsi="Times New Roman" w:eastAsia="宋体" w:cs="Times New Roman"/>
                <w:color w:val="auto"/>
                <w:highlight w:val="none"/>
                <w:lang w:val="zh-CN"/>
              </w:rPr>
              <w:t>《环罗源湾地区工业产业布局规划（2020-2025年）</w:t>
            </w:r>
            <w:r>
              <w:rPr>
                <w:rFonts w:hint="eastAsia" w:cs="Times New Roman"/>
                <w:color w:val="auto"/>
                <w:highlight w:val="none"/>
                <w:lang w:val="en-US" w:eastAsia="zh-CN"/>
              </w:rPr>
              <w:t>修编</w:t>
            </w:r>
            <w:r>
              <w:rPr>
                <w:rFonts w:hint="default" w:ascii="Times New Roman" w:hAnsi="Times New Roman" w:eastAsia="宋体" w:cs="Times New Roman"/>
                <w:color w:val="auto"/>
                <w:highlight w:val="none"/>
                <w:lang w:val="zh-CN"/>
              </w:rPr>
              <w:t>》</w:t>
            </w:r>
          </w:p>
          <w:p w14:paraId="1ECA603E">
            <w:pPr>
              <w:widowControl/>
              <w:ind w:firstLine="0" w:firstLineChars="0"/>
              <w:jc w:val="left"/>
              <w:rPr>
                <w:rFonts w:hint="default" w:ascii="Times New Roman" w:hAnsi="Times New Roman" w:eastAsia="宋体" w:cs="Times New Roman"/>
                <w:color w:val="auto"/>
                <w:kern w:val="0"/>
                <w:highlight w:val="none"/>
                <w:lang w:val="en-US" w:eastAsia="zh-CN" w:bidi="ar"/>
              </w:rPr>
            </w:pPr>
            <w:r>
              <w:rPr>
                <w:rFonts w:hint="eastAsia"/>
                <w:color w:val="auto"/>
                <w:kern w:val="0"/>
                <w:highlight w:val="none"/>
                <w:lang w:bidi="ar"/>
              </w:rPr>
              <w:t>审批机关</w:t>
            </w:r>
            <w:r>
              <w:rPr>
                <w:rFonts w:hint="eastAsia" w:ascii="Times New Roman" w:hAnsi="Times New Roman" w:eastAsia="宋体" w:cs="Times New Roman"/>
                <w:color w:val="auto"/>
                <w:kern w:val="0"/>
                <w:highlight w:val="none"/>
                <w:lang w:bidi="ar"/>
              </w:rPr>
              <w:t>：</w:t>
            </w:r>
            <w:r>
              <w:rPr>
                <w:rFonts w:hint="default" w:ascii="Times New Roman" w:hAnsi="Times New Roman" w:eastAsia="宋体" w:cs="Times New Roman"/>
                <w:color w:val="auto"/>
                <w:highlight w:val="none"/>
                <w:lang w:val="zh-CN"/>
              </w:rPr>
              <w:t>福州市</w:t>
            </w:r>
            <w:r>
              <w:rPr>
                <w:rFonts w:hint="eastAsia" w:cs="Times New Roman"/>
                <w:color w:val="auto"/>
                <w:highlight w:val="none"/>
                <w:lang w:val="en-US" w:eastAsia="zh-CN"/>
              </w:rPr>
              <w:t>工业和信息化局</w:t>
            </w:r>
          </w:p>
          <w:p w14:paraId="3134D601">
            <w:pPr>
              <w:widowControl/>
              <w:ind w:firstLine="0" w:firstLineChars="0"/>
              <w:jc w:val="left"/>
              <w:rPr>
                <w:rFonts w:hint="eastAsia"/>
                <w:color w:val="auto"/>
                <w:highlight w:val="none"/>
              </w:rPr>
            </w:pPr>
            <w:r>
              <w:rPr>
                <w:rFonts w:hint="eastAsia" w:ascii="Times New Roman" w:hAnsi="Times New Roman" w:eastAsia="宋体" w:cs="Times New Roman"/>
                <w:color w:val="auto"/>
                <w:kern w:val="0"/>
                <w:highlight w:val="none"/>
                <w:lang w:bidi="ar"/>
              </w:rPr>
              <w:t>审批文件名称及文号：</w:t>
            </w:r>
            <w:r>
              <w:rPr>
                <w:rFonts w:hint="eastAsia" w:cs="Times New Roman"/>
                <w:color w:val="auto"/>
                <w:kern w:val="0"/>
                <w:highlight w:val="none"/>
                <w:lang w:eastAsia="zh-CN" w:bidi="ar"/>
              </w:rPr>
              <w:t>《</w:t>
            </w:r>
            <w:r>
              <w:rPr>
                <w:rFonts w:hint="eastAsia" w:ascii="Times New Roman" w:hAnsi="Times New Roman" w:eastAsia="宋体" w:cs="Times New Roman"/>
                <w:color w:val="auto"/>
                <w:kern w:val="0"/>
                <w:highlight w:val="none"/>
                <w:lang w:bidi="ar"/>
              </w:rPr>
              <w:t>福州市工业和信息化局关于印发环罗源湾地区工业产业布局规划</w:t>
            </w:r>
            <w:r>
              <w:rPr>
                <w:rFonts w:hint="eastAsia" w:cs="Times New Roman"/>
                <w:color w:val="auto"/>
                <w:kern w:val="0"/>
                <w:highlight w:val="none"/>
                <w:lang w:eastAsia="zh-CN" w:bidi="ar"/>
              </w:rPr>
              <w:t>（</w:t>
            </w:r>
            <w:r>
              <w:rPr>
                <w:rFonts w:hint="eastAsia" w:ascii="Times New Roman" w:hAnsi="Times New Roman" w:eastAsia="宋体" w:cs="Times New Roman"/>
                <w:color w:val="auto"/>
                <w:kern w:val="0"/>
                <w:highlight w:val="none"/>
                <w:lang w:bidi="ar"/>
              </w:rPr>
              <w:t>2020-2025年</w:t>
            </w:r>
            <w:r>
              <w:rPr>
                <w:rFonts w:hint="eastAsia" w:cs="Times New Roman"/>
                <w:color w:val="auto"/>
                <w:kern w:val="0"/>
                <w:highlight w:val="none"/>
                <w:lang w:eastAsia="zh-CN" w:bidi="ar"/>
              </w:rPr>
              <w:t>）</w:t>
            </w:r>
            <w:r>
              <w:rPr>
                <w:rFonts w:hint="eastAsia" w:ascii="Times New Roman" w:hAnsi="Times New Roman" w:eastAsia="宋体" w:cs="Times New Roman"/>
                <w:color w:val="auto"/>
                <w:kern w:val="0"/>
                <w:highlight w:val="none"/>
                <w:lang w:bidi="ar"/>
              </w:rPr>
              <w:t>修编的通知</w:t>
            </w:r>
            <w:r>
              <w:rPr>
                <w:rFonts w:hint="eastAsia" w:cs="Times New Roman"/>
                <w:color w:val="auto"/>
                <w:kern w:val="0"/>
                <w:highlight w:val="none"/>
                <w:lang w:eastAsia="zh-CN" w:bidi="ar"/>
              </w:rPr>
              <w:t>》（</w:t>
            </w:r>
            <w:r>
              <w:rPr>
                <w:rFonts w:hint="default" w:ascii="Times New Roman" w:hAnsi="Times New Roman" w:eastAsia="宋体" w:cs="Times New Roman"/>
                <w:color w:val="auto"/>
                <w:kern w:val="0"/>
                <w:highlight w:val="none"/>
                <w:lang w:bidi="ar"/>
              </w:rPr>
              <w:t>榕</w:t>
            </w:r>
            <w:r>
              <w:rPr>
                <w:rFonts w:hint="eastAsia" w:cs="Times New Roman"/>
                <w:color w:val="auto"/>
                <w:kern w:val="0"/>
                <w:highlight w:val="none"/>
                <w:lang w:val="en-US" w:eastAsia="zh-CN" w:bidi="ar"/>
              </w:rPr>
              <w:t>工信投资</w:t>
            </w:r>
            <w:r>
              <w:rPr>
                <w:color w:val="auto"/>
                <w:kern w:val="0"/>
                <w:highlight w:val="none"/>
                <w:lang w:bidi="ar"/>
              </w:rPr>
              <w:t>〔202</w:t>
            </w:r>
            <w:r>
              <w:rPr>
                <w:rFonts w:hint="eastAsia"/>
                <w:color w:val="auto"/>
                <w:kern w:val="0"/>
                <w:highlight w:val="none"/>
                <w:lang w:val="en-US" w:eastAsia="zh-CN" w:bidi="ar"/>
              </w:rPr>
              <w:t>2</w:t>
            </w:r>
            <w:r>
              <w:rPr>
                <w:color w:val="auto"/>
                <w:kern w:val="0"/>
                <w:highlight w:val="none"/>
                <w:lang w:bidi="ar"/>
              </w:rPr>
              <w:t>〕</w:t>
            </w:r>
            <w:r>
              <w:rPr>
                <w:rFonts w:hint="eastAsia"/>
                <w:color w:val="auto"/>
                <w:kern w:val="0"/>
                <w:highlight w:val="none"/>
                <w:lang w:val="en-US" w:eastAsia="zh-CN" w:bidi="ar"/>
              </w:rPr>
              <w:t>34</w:t>
            </w:r>
            <w:r>
              <w:rPr>
                <w:rFonts w:hint="default" w:ascii="Times New Roman" w:hAnsi="Times New Roman" w:eastAsia="宋体" w:cs="Times New Roman"/>
                <w:color w:val="auto"/>
                <w:kern w:val="0"/>
                <w:highlight w:val="none"/>
                <w:lang w:bidi="ar"/>
              </w:rPr>
              <w:t>号</w:t>
            </w:r>
            <w:r>
              <w:rPr>
                <w:rFonts w:hint="eastAsia" w:cs="Times New Roman"/>
                <w:color w:val="auto"/>
                <w:kern w:val="0"/>
                <w:highlight w:val="none"/>
                <w:lang w:eastAsia="zh-CN" w:bidi="ar"/>
              </w:rPr>
              <w:t>）</w:t>
            </w:r>
          </w:p>
        </w:tc>
      </w:tr>
      <w:tr w14:paraId="079E3C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713" w:type="dxa"/>
            <w:noWrap w:val="0"/>
            <w:vAlign w:val="center"/>
          </w:tcPr>
          <w:p w14:paraId="475593C8">
            <w:pPr>
              <w:adjustRightInd w:val="0"/>
              <w:snapToGrid w:val="0"/>
              <w:spacing w:line="240" w:lineRule="auto"/>
              <w:ind w:firstLine="0" w:firstLineChars="0"/>
              <w:jc w:val="center"/>
              <w:rPr>
                <w:color w:val="auto"/>
                <w:highlight w:val="none"/>
              </w:rPr>
            </w:pPr>
            <w:r>
              <w:rPr>
                <w:color w:val="auto"/>
                <w:highlight w:val="none"/>
              </w:rPr>
              <w:t>规划环境影响评价情况</w:t>
            </w:r>
          </w:p>
        </w:tc>
        <w:tc>
          <w:tcPr>
            <w:tcW w:w="7157" w:type="dxa"/>
            <w:gridSpan w:val="4"/>
            <w:noWrap w:val="0"/>
            <w:vAlign w:val="center"/>
          </w:tcPr>
          <w:p w14:paraId="62B120C1">
            <w:pPr>
              <w:widowControl/>
              <w:ind w:firstLine="0" w:firstLineChars="0"/>
              <w:jc w:val="left"/>
              <w:rPr>
                <w:rFonts w:hint="default" w:ascii="Times New Roman" w:hAnsi="Times New Roman" w:eastAsia="宋体" w:cs="Times New Roman"/>
                <w:color w:val="auto"/>
                <w:kern w:val="0"/>
                <w:highlight w:val="none"/>
                <w:lang w:bidi="ar"/>
              </w:rPr>
            </w:pPr>
            <w:r>
              <w:rPr>
                <w:rFonts w:hint="default" w:ascii="Times New Roman" w:hAnsi="Times New Roman" w:eastAsia="宋体" w:cs="Times New Roman"/>
                <w:color w:val="auto"/>
                <w:kern w:val="0"/>
                <w:highlight w:val="none"/>
                <w:lang w:bidi="ar"/>
              </w:rPr>
              <w:t>规划环境影响评价报告名称：《环罗源湾地区工业产业布局规划（2020-2025年）修编环境影响报告书》</w:t>
            </w:r>
          </w:p>
          <w:p w14:paraId="30C25848">
            <w:pPr>
              <w:widowControl/>
              <w:ind w:firstLine="0" w:firstLineChars="0"/>
              <w:jc w:val="left"/>
              <w:rPr>
                <w:rFonts w:hint="default" w:ascii="Times New Roman" w:hAnsi="Times New Roman" w:eastAsia="宋体" w:cs="Times New Roman"/>
                <w:color w:val="auto"/>
                <w:kern w:val="0"/>
                <w:highlight w:val="none"/>
                <w:lang w:bidi="ar"/>
              </w:rPr>
            </w:pPr>
            <w:r>
              <w:rPr>
                <w:rFonts w:hint="default" w:ascii="Times New Roman" w:hAnsi="Times New Roman" w:eastAsia="宋体" w:cs="Times New Roman"/>
                <w:color w:val="auto"/>
                <w:kern w:val="0"/>
                <w:highlight w:val="none"/>
                <w:lang w:bidi="ar"/>
              </w:rPr>
              <w:t>审批机关：福州市生态环境局</w:t>
            </w:r>
          </w:p>
          <w:p w14:paraId="55820EEF">
            <w:pPr>
              <w:widowControl/>
              <w:ind w:firstLine="0" w:firstLineChars="0"/>
              <w:jc w:val="left"/>
              <w:rPr>
                <w:rFonts w:hint="eastAsia" w:eastAsia="宋体"/>
                <w:color w:val="auto"/>
                <w:kern w:val="0"/>
                <w:highlight w:val="none"/>
                <w:lang w:eastAsia="zh-CN" w:bidi="ar"/>
              </w:rPr>
            </w:pPr>
            <w:r>
              <w:rPr>
                <w:rFonts w:hint="default" w:ascii="Times New Roman" w:hAnsi="Times New Roman" w:eastAsia="宋体" w:cs="Times New Roman"/>
                <w:color w:val="auto"/>
                <w:kern w:val="0"/>
                <w:highlight w:val="none"/>
                <w:lang w:bidi="ar"/>
              </w:rPr>
              <w:t>审批文件名称</w:t>
            </w:r>
            <w:r>
              <w:rPr>
                <w:color w:val="auto"/>
                <w:kern w:val="0"/>
                <w:highlight w:val="none"/>
                <w:lang w:bidi="ar"/>
              </w:rPr>
              <w:t>及文号</w:t>
            </w:r>
            <w:r>
              <w:rPr>
                <w:rFonts w:hint="default" w:ascii="Times New Roman" w:hAnsi="Times New Roman" w:eastAsia="宋体" w:cs="Times New Roman"/>
                <w:color w:val="auto"/>
                <w:kern w:val="0"/>
                <w:highlight w:val="none"/>
                <w:lang w:bidi="ar"/>
              </w:rPr>
              <w:t>：《福州市生态环境局关于印发环罗源湾地区工业产业布局规划（2020-2025年）修编环境影响报告书审查小组意见的通知》</w:t>
            </w:r>
            <w:r>
              <w:rPr>
                <w:rFonts w:hint="eastAsia" w:ascii="Times New Roman" w:hAnsi="Times New Roman" w:eastAsia="宋体" w:cs="Times New Roman"/>
                <w:color w:val="auto"/>
                <w:kern w:val="0"/>
                <w:highlight w:val="none"/>
                <w:lang w:eastAsia="zh-CN" w:bidi="ar"/>
              </w:rPr>
              <w:t>（</w:t>
            </w:r>
            <w:r>
              <w:rPr>
                <w:rFonts w:hint="default" w:ascii="Times New Roman" w:hAnsi="Times New Roman" w:eastAsia="宋体" w:cs="Times New Roman"/>
                <w:color w:val="auto"/>
                <w:kern w:val="0"/>
                <w:highlight w:val="none"/>
                <w:lang w:bidi="ar"/>
              </w:rPr>
              <w:t>榕环保评</w:t>
            </w:r>
            <w:r>
              <w:rPr>
                <w:color w:val="auto"/>
                <w:kern w:val="0"/>
                <w:highlight w:val="none"/>
                <w:lang w:bidi="ar"/>
              </w:rPr>
              <w:t>〔202</w:t>
            </w:r>
            <w:r>
              <w:rPr>
                <w:rFonts w:hint="eastAsia"/>
                <w:color w:val="auto"/>
                <w:kern w:val="0"/>
                <w:highlight w:val="none"/>
                <w:lang w:val="en-US" w:eastAsia="zh-CN" w:bidi="ar"/>
              </w:rPr>
              <w:t>2</w:t>
            </w:r>
            <w:r>
              <w:rPr>
                <w:color w:val="auto"/>
                <w:kern w:val="0"/>
                <w:highlight w:val="none"/>
                <w:lang w:bidi="ar"/>
              </w:rPr>
              <w:t>〕</w:t>
            </w:r>
            <w:r>
              <w:rPr>
                <w:rFonts w:hint="default" w:ascii="Times New Roman" w:hAnsi="Times New Roman" w:eastAsia="宋体" w:cs="Times New Roman"/>
                <w:color w:val="auto"/>
                <w:kern w:val="0"/>
                <w:highlight w:val="none"/>
                <w:lang w:bidi="ar"/>
              </w:rPr>
              <w:t>8号</w:t>
            </w:r>
            <w:r>
              <w:rPr>
                <w:rFonts w:hint="eastAsia" w:ascii="Times New Roman" w:hAnsi="Times New Roman" w:eastAsia="宋体" w:cs="Times New Roman"/>
                <w:color w:val="auto"/>
                <w:kern w:val="0"/>
                <w:highlight w:val="none"/>
                <w:lang w:eastAsia="zh-CN" w:bidi="ar"/>
              </w:rPr>
              <w:t>）</w:t>
            </w:r>
          </w:p>
        </w:tc>
      </w:tr>
      <w:tr w14:paraId="6DD7B3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713" w:type="dxa"/>
            <w:noWrap w:val="0"/>
            <w:vAlign w:val="center"/>
          </w:tcPr>
          <w:p w14:paraId="40A6C464">
            <w:pPr>
              <w:adjustRightInd w:val="0"/>
              <w:snapToGrid w:val="0"/>
              <w:spacing w:line="240" w:lineRule="auto"/>
              <w:ind w:firstLine="0" w:firstLineChars="0"/>
              <w:jc w:val="center"/>
              <w:rPr>
                <w:color w:val="auto"/>
                <w:highlight w:val="none"/>
              </w:rPr>
            </w:pPr>
            <w:r>
              <w:rPr>
                <w:color w:val="auto"/>
                <w:highlight w:val="none"/>
              </w:rPr>
              <w:t>规划及规划环境影响评价符合性分析</w:t>
            </w:r>
          </w:p>
        </w:tc>
        <w:tc>
          <w:tcPr>
            <w:tcW w:w="7157" w:type="dxa"/>
            <w:gridSpan w:val="4"/>
            <w:noWrap w:val="0"/>
            <w:vAlign w:val="center"/>
          </w:tcPr>
          <w:p w14:paraId="68B7DFFC">
            <w:pPr>
              <w:widowControl/>
              <w:ind w:firstLine="0" w:firstLineChars="0"/>
              <w:jc w:val="left"/>
              <w:rPr>
                <w:b/>
                <w:bCs/>
                <w:color w:val="auto"/>
                <w:kern w:val="0"/>
                <w:sz w:val="28"/>
                <w:szCs w:val="28"/>
                <w:highlight w:val="none"/>
                <w:lang w:bidi="ar"/>
              </w:rPr>
            </w:pPr>
            <w:r>
              <w:rPr>
                <w:b/>
                <w:bCs/>
                <w:color w:val="auto"/>
                <w:kern w:val="0"/>
                <w:sz w:val="28"/>
                <w:szCs w:val="28"/>
                <w:highlight w:val="none"/>
                <w:lang w:bidi="ar"/>
              </w:rPr>
              <w:t>1.1 与</w:t>
            </w:r>
            <w:r>
              <w:rPr>
                <w:rFonts w:hint="eastAsia"/>
                <w:b/>
                <w:bCs/>
                <w:color w:val="auto"/>
                <w:kern w:val="0"/>
                <w:sz w:val="28"/>
                <w:szCs w:val="28"/>
                <w:highlight w:val="none"/>
                <w:lang w:bidi="ar"/>
              </w:rPr>
              <w:t>规划</w:t>
            </w:r>
            <w:r>
              <w:rPr>
                <w:b/>
                <w:bCs/>
                <w:color w:val="auto"/>
                <w:kern w:val="0"/>
                <w:sz w:val="28"/>
                <w:szCs w:val="28"/>
                <w:highlight w:val="none"/>
                <w:lang w:bidi="ar"/>
              </w:rPr>
              <w:t>符合性分析</w:t>
            </w:r>
          </w:p>
          <w:p w14:paraId="05E73394">
            <w:pPr>
              <w:bidi w:val="0"/>
              <w:rPr>
                <w:b/>
                <w:bCs/>
                <w:color w:val="auto"/>
                <w:highlight w:val="none"/>
              </w:rPr>
            </w:pPr>
            <w:r>
              <w:rPr>
                <w:rFonts w:hint="eastAsia"/>
                <w:b/>
                <w:bCs/>
                <w:color w:val="auto"/>
                <w:highlight w:val="none"/>
              </w:rPr>
              <w:t>（1）</w:t>
            </w:r>
            <w:r>
              <w:rPr>
                <w:rFonts w:hint="eastAsia" w:ascii="Times New Roman" w:hAnsi="Times New Roman" w:eastAsia="宋体" w:cs="Times New Roman"/>
                <w:b/>
                <w:bCs/>
                <w:color w:val="auto"/>
                <w:highlight w:val="none"/>
              </w:rPr>
              <w:t>与《</w:t>
            </w:r>
            <w:r>
              <w:rPr>
                <w:rFonts w:hint="default" w:ascii="Times New Roman" w:hAnsi="Times New Roman" w:eastAsia="宋体" w:cs="Times New Roman"/>
                <w:b/>
                <w:bCs/>
                <w:color w:val="auto"/>
                <w:highlight w:val="none"/>
                <w:lang w:val="zh-CN"/>
              </w:rPr>
              <w:t>福州市丝路海港城（罗源湾港城）金港片区控制性详细规划</w:t>
            </w:r>
            <w:r>
              <w:rPr>
                <w:rFonts w:hint="eastAsia" w:ascii="Times New Roman" w:hAnsi="Times New Roman" w:eastAsia="宋体" w:cs="Times New Roman"/>
                <w:b/>
                <w:bCs/>
                <w:color w:val="auto"/>
                <w:highlight w:val="none"/>
              </w:rPr>
              <w:t>》的符</w:t>
            </w:r>
            <w:r>
              <w:rPr>
                <w:rFonts w:hint="eastAsia"/>
                <w:b/>
                <w:bCs/>
                <w:color w:val="auto"/>
                <w:highlight w:val="none"/>
              </w:rPr>
              <w:t>合性分析</w:t>
            </w:r>
          </w:p>
          <w:p w14:paraId="137736A6">
            <w:pPr>
              <w:pStyle w:val="93"/>
              <w:bidi w:val="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根据《福州市丝路海港城（罗源湾港城）金港片区控制性详细规划》，规划概况如下：</w:t>
            </w:r>
          </w:p>
          <w:p w14:paraId="2844683A">
            <w:pPr>
              <w:pStyle w:val="93"/>
              <w:bidi w:val="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（1）地块功能</w:t>
            </w:r>
          </w:p>
          <w:p w14:paraId="241F714A">
            <w:pPr>
              <w:pStyle w:val="93"/>
              <w:bidi w:val="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在罗源湾</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丝路海港城</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战略发展的带领下，依托上位规划对金港片区产业发展的要求，结合金港工业园区现状发展状况和发展需求分析，该片区发展定位为：闽东北新型生态钢铁产业基地及罗源湾港产城一体化发展示范区。主要发展新型合金材料、高品质特殊钢等先进钢铁材料，最终形成以钢铁冶金为主，联动发展建材、能源行业的我国新兴的生态型精品特种钢产业基地之一。</w:t>
            </w:r>
          </w:p>
          <w:p w14:paraId="31D3BE1B">
            <w:pPr>
              <w:pStyle w:val="93"/>
              <w:bidi w:val="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（2）规划结构</w:t>
            </w:r>
          </w:p>
          <w:p w14:paraId="262DD6CA">
            <w:pPr>
              <w:pStyle w:val="93"/>
              <w:bidi w:val="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规划总体布局形成</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两轴两带三片</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的规划结构。</w:t>
            </w:r>
          </w:p>
          <w:p w14:paraId="51FE2ACB">
            <w:pPr>
              <w:pStyle w:val="93"/>
              <w:bidi w:val="0"/>
              <w:jc w:val="both"/>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①“</w:t>
            </w:r>
            <w:r>
              <w:rPr>
                <w:rFonts w:hint="default" w:ascii="Times New Roman" w:hAnsi="Times New Roman" w:eastAsia="宋体" w:cs="Times New Roman"/>
                <w:color w:val="auto"/>
                <w:kern w:val="2"/>
                <w:sz w:val="24"/>
                <w:szCs w:val="24"/>
                <w:highlight w:val="none"/>
                <w:lang w:val="en-US" w:eastAsia="zh-CN" w:bidi="ar-SA"/>
              </w:rPr>
              <w:t>两轴</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：由228国道和疏港铁路支线组成的交通运输廊道，作为本区的重要交通发展轴线。</w:t>
            </w:r>
          </w:p>
          <w:p w14:paraId="35156896">
            <w:pPr>
              <w:pStyle w:val="93"/>
              <w:bidi w:val="0"/>
              <w:jc w:val="both"/>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②“</w:t>
            </w:r>
            <w:r>
              <w:rPr>
                <w:rFonts w:hint="default" w:ascii="Times New Roman" w:hAnsi="Times New Roman" w:eastAsia="宋体" w:cs="Times New Roman"/>
                <w:color w:val="auto"/>
                <w:kern w:val="2"/>
                <w:sz w:val="24"/>
                <w:szCs w:val="24"/>
                <w:highlight w:val="none"/>
                <w:lang w:val="en-US" w:eastAsia="zh-CN" w:bidi="ar-SA"/>
              </w:rPr>
              <w:t>两带</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由白水排洪渠和土港排洪渠及其防护绿带组成纵向生态廊道。</w:t>
            </w:r>
          </w:p>
          <w:p w14:paraId="366B78E6">
            <w:pPr>
              <w:pStyle w:val="93"/>
              <w:bidi w:val="0"/>
              <w:jc w:val="both"/>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③“</w:t>
            </w:r>
            <w:r>
              <w:rPr>
                <w:rFonts w:hint="default" w:ascii="Times New Roman" w:hAnsi="Times New Roman" w:eastAsia="宋体" w:cs="Times New Roman"/>
                <w:color w:val="auto"/>
                <w:kern w:val="2"/>
                <w:sz w:val="24"/>
                <w:szCs w:val="24"/>
                <w:highlight w:val="none"/>
                <w:lang w:val="en-US" w:eastAsia="zh-CN" w:bidi="ar-SA"/>
              </w:rPr>
              <w:t>三片</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：由城市道路及产业布局划分形成</w:t>
            </w:r>
            <w:r>
              <w:rPr>
                <w:rFonts w:hint="eastAsia" w:ascii="Times New Roman" w:hAnsi="Times New Roman" w:eastAsia="宋体" w:cs="Times New Roman"/>
                <w:color w:val="auto"/>
                <w:kern w:val="2"/>
                <w:sz w:val="24"/>
                <w:szCs w:val="24"/>
                <w:highlight w:val="none"/>
                <w:lang w:val="en-US" w:eastAsia="zh-CN" w:bidi="ar-SA"/>
              </w:rPr>
              <w:t>三</w:t>
            </w:r>
            <w:r>
              <w:rPr>
                <w:rFonts w:hint="default" w:ascii="Times New Roman" w:hAnsi="Times New Roman" w:eastAsia="宋体" w:cs="Times New Roman"/>
                <w:color w:val="auto"/>
                <w:kern w:val="2"/>
                <w:sz w:val="24"/>
                <w:szCs w:val="24"/>
                <w:highlight w:val="none"/>
                <w:lang w:val="en-US" w:eastAsia="zh-CN" w:bidi="ar-SA"/>
              </w:rPr>
              <w:t>个片区，包括钢铁主导生产区、钢铁配套经济区、临港生活服务区。</w:t>
            </w:r>
          </w:p>
          <w:p w14:paraId="5030018A">
            <w:pPr>
              <w:pStyle w:val="93"/>
              <w:bidi w:val="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钢铁主导生产区：依托亿鑫钢铁、宝钢德盛、罗源闽光等龙头企业形成的大型钢铁产业加工区；</w:t>
            </w:r>
          </w:p>
          <w:p w14:paraId="020CCF73">
            <w:pPr>
              <w:pStyle w:val="93"/>
              <w:bidi w:val="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钢铁配套经济区：依托德胜能源等发展建材、能源为主的钢铁配套产业区；</w:t>
            </w:r>
          </w:p>
          <w:p w14:paraId="2926DBAE">
            <w:pPr>
              <w:pStyle w:val="93"/>
              <w:bidi w:val="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临港生活服务区：依托博鳌码头后方陆域，设置商业、文体、社区服务中心，形成服务于园区和码头的生活服务区。</w:t>
            </w:r>
          </w:p>
          <w:p w14:paraId="57A475BE">
            <w:pPr>
              <w:bidi w:val="0"/>
              <w:rPr>
                <w:rFonts w:hint="eastAsia"/>
                <w:color w:val="auto"/>
                <w:highlight w:val="none"/>
              </w:rPr>
            </w:pPr>
            <w:r>
              <w:rPr>
                <w:rFonts w:hint="default" w:ascii="Times New Roman" w:hAnsi="Times New Roman" w:eastAsia="宋体" w:cs="Times New Roman"/>
                <w:b/>
                <w:bCs/>
                <w:color w:val="auto"/>
                <w:kern w:val="2"/>
                <w:sz w:val="24"/>
                <w:szCs w:val="24"/>
                <w:highlight w:val="none"/>
                <w:lang w:val="en-US" w:eastAsia="zh-CN" w:bidi="ar-SA"/>
              </w:rPr>
              <w:t>项目符合性分析：</w:t>
            </w:r>
            <w:r>
              <w:rPr>
                <w:rFonts w:hint="default" w:ascii="Times New Roman" w:hAnsi="Times New Roman" w:eastAsia="宋体" w:cs="Times New Roman"/>
                <w:color w:val="auto"/>
                <w:kern w:val="2"/>
                <w:sz w:val="24"/>
                <w:szCs w:val="24"/>
                <w:highlight w:val="none"/>
                <w:lang w:val="en-US" w:eastAsia="zh-CN" w:bidi="ar-SA"/>
              </w:rPr>
              <w:t>本项目主要</w:t>
            </w:r>
            <w:r>
              <w:rPr>
                <w:rFonts w:hint="eastAsia" w:cs="Times New Roman"/>
                <w:color w:val="auto"/>
                <w:kern w:val="2"/>
                <w:sz w:val="24"/>
                <w:szCs w:val="24"/>
                <w:highlight w:val="none"/>
                <w:lang w:val="en-US" w:eastAsia="zh-CN" w:bidi="ar-SA"/>
              </w:rPr>
              <w:t>从事</w:t>
            </w:r>
            <w:r>
              <w:rPr>
                <w:rFonts w:hint="eastAsia" w:ascii="Times New Roman" w:hAnsi="Times New Roman" w:eastAsia="宋体" w:cs="Times New Roman"/>
                <w:color w:val="auto"/>
                <w:kern w:val="2"/>
                <w:sz w:val="24"/>
                <w:szCs w:val="24"/>
                <w:highlight w:val="none"/>
                <w:lang w:val="en-US" w:eastAsia="zh-CN" w:bidi="ar-SA"/>
              </w:rPr>
              <w:t>沥青混凝土和乳化沥青的生产</w:t>
            </w:r>
            <w:r>
              <w:rPr>
                <w:rFonts w:hint="default" w:ascii="Times New Roman" w:hAnsi="Times New Roman" w:eastAsia="宋体" w:cs="Times New Roman"/>
                <w:color w:val="auto"/>
                <w:kern w:val="2"/>
                <w:sz w:val="24"/>
                <w:szCs w:val="24"/>
                <w:highlight w:val="none"/>
                <w:lang w:val="en-US" w:eastAsia="zh-CN" w:bidi="ar-SA"/>
              </w:rPr>
              <w:t>，属于</w:t>
            </w:r>
            <w:r>
              <w:rPr>
                <w:rFonts w:hint="eastAsia" w:ascii="Times New Roman" w:hAnsi="Times New Roman" w:eastAsia="宋体" w:cs="Times New Roman"/>
                <w:color w:val="auto"/>
                <w:kern w:val="2"/>
                <w:sz w:val="24"/>
                <w:szCs w:val="24"/>
                <w:highlight w:val="none"/>
                <w:lang w:val="en-US" w:eastAsia="zh-CN" w:bidi="ar-SA"/>
              </w:rPr>
              <w:t>建筑材料生产项目</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符合“</w:t>
            </w:r>
            <w:r>
              <w:rPr>
                <w:rFonts w:hint="default" w:ascii="Times New Roman" w:hAnsi="Times New Roman" w:eastAsia="宋体" w:cs="Times New Roman"/>
                <w:color w:val="auto"/>
                <w:kern w:val="2"/>
                <w:sz w:val="24"/>
                <w:szCs w:val="24"/>
                <w:highlight w:val="none"/>
                <w:lang w:val="en-US" w:eastAsia="zh-CN" w:bidi="ar-SA"/>
              </w:rPr>
              <w:t>联动发展建材</w:t>
            </w:r>
            <w:r>
              <w:rPr>
                <w:rFonts w:hint="eastAsia" w:ascii="Times New Roman" w:hAnsi="Times New Roman" w:eastAsia="宋体" w:cs="Times New Roman"/>
                <w:color w:val="auto"/>
                <w:kern w:val="2"/>
                <w:sz w:val="24"/>
                <w:szCs w:val="24"/>
                <w:highlight w:val="none"/>
                <w:lang w:val="en-US" w:eastAsia="zh-CN" w:bidi="ar-SA"/>
              </w:rPr>
              <w:t>”的发展目标</w:t>
            </w:r>
            <w:r>
              <w:rPr>
                <w:rFonts w:hint="default" w:ascii="Times New Roman" w:hAnsi="Times New Roman" w:eastAsia="宋体" w:cs="Times New Roman"/>
                <w:color w:val="auto"/>
                <w:kern w:val="2"/>
                <w:sz w:val="24"/>
                <w:szCs w:val="24"/>
                <w:highlight w:val="none"/>
                <w:lang w:val="en-US" w:eastAsia="zh-CN" w:bidi="ar-SA"/>
              </w:rPr>
              <w:t>。根据福州市丝路海港城（罗源湾港城）金港片区控制性详细规划土地利用规划图</w:t>
            </w:r>
            <w:r>
              <w:rPr>
                <w:rFonts w:hint="eastAsia" w:ascii="Times New Roman" w:hAnsi="Times New Roman" w:eastAsia="宋体" w:cs="Times New Roman"/>
                <w:color w:val="auto"/>
                <w:kern w:val="2"/>
                <w:sz w:val="24"/>
                <w:szCs w:val="24"/>
                <w:highlight w:val="none"/>
                <w:lang w:val="en-US" w:eastAsia="zh-CN" w:bidi="ar-SA"/>
              </w:rPr>
              <w:t>（详见附图5）</w:t>
            </w:r>
            <w:r>
              <w:rPr>
                <w:rFonts w:hint="default" w:ascii="Times New Roman" w:hAnsi="Times New Roman" w:eastAsia="宋体" w:cs="Times New Roman"/>
                <w:color w:val="auto"/>
                <w:kern w:val="2"/>
                <w:sz w:val="24"/>
                <w:szCs w:val="24"/>
                <w:highlight w:val="none"/>
                <w:lang w:val="en-US" w:eastAsia="zh-CN" w:bidi="ar-SA"/>
              </w:rPr>
              <w:t>，项目用地类型为三类工业用地，综上，</w:t>
            </w:r>
            <w:r>
              <w:rPr>
                <w:rFonts w:hint="eastAsia" w:ascii="Times New Roman" w:hAnsi="Times New Roman" w:eastAsia="宋体" w:cs="Times New Roman"/>
                <w:color w:val="auto"/>
                <w:kern w:val="2"/>
                <w:sz w:val="24"/>
                <w:szCs w:val="24"/>
                <w:highlight w:val="none"/>
                <w:lang w:val="en-US" w:eastAsia="zh-CN" w:bidi="ar-SA"/>
              </w:rPr>
              <w:t>本</w:t>
            </w:r>
            <w:r>
              <w:rPr>
                <w:rFonts w:hint="default" w:ascii="Times New Roman" w:hAnsi="Times New Roman" w:eastAsia="宋体" w:cs="Times New Roman"/>
                <w:color w:val="auto"/>
                <w:kern w:val="2"/>
                <w:sz w:val="24"/>
                <w:szCs w:val="24"/>
                <w:highlight w:val="none"/>
                <w:lang w:val="en-US" w:eastAsia="zh-CN" w:bidi="ar-SA"/>
              </w:rPr>
              <w:t>项目符合《福州市丝路海港城（罗源湾港城）金港片区控制性详细规划》</w:t>
            </w:r>
            <w:r>
              <w:rPr>
                <w:rFonts w:hint="eastAsia" w:ascii="Times New Roman" w:hAnsi="Times New Roman" w:eastAsia="宋体" w:cs="Times New Roman"/>
                <w:color w:val="auto"/>
                <w:kern w:val="2"/>
                <w:sz w:val="24"/>
                <w:szCs w:val="24"/>
                <w:highlight w:val="none"/>
                <w:lang w:val="en-US" w:eastAsia="zh-CN" w:bidi="ar-SA"/>
              </w:rPr>
              <w:t>中的</w:t>
            </w:r>
            <w:r>
              <w:rPr>
                <w:rFonts w:hint="default" w:ascii="Times New Roman" w:hAnsi="Times New Roman" w:eastAsia="宋体" w:cs="Times New Roman"/>
                <w:color w:val="auto"/>
                <w:kern w:val="2"/>
                <w:sz w:val="24"/>
                <w:szCs w:val="24"/>
                <w:highlight w:val="none"/>
                <w:lang w:val="en-US" w:eastAsia="zh-CN" w:bidi="ar-SA"/>
              </w:rPr>
              <w:t>相关要求。</w:t>
            </w:r>
          </w:p>
          <w:p w14:paraId="5C26ACD1">
            <w:pPr>
              <w:ind w:firstLine="482"/>
              <w:rPr>
                <w:rFonts w:hint="eastAsia"/>
                <w:b/>
                <w:bCs/>
                <w:color w:val="auto"/>
                <w:kern w:val="0"/>
                <w:highlight w:val="none"/>
                <w:lang w:bidi="ar"/>
              </w:rPr>
            </w:pPr>
            <w:r>
              <w:rPr>
                <w:rFonts w:hint="eastAsia"/>
                <w:b/>
                <w:bCs/>
                <w:color w:val="auto"/>
                <w:highlight w:val="none"/>
              </w:rPr>
              <w:t>（2）</w:t>
            </w:r>
            <w:r>
              <w:rPr>
                <w:rFonts w:hint="eastAsia" w:ascii="Times New Roman" w:hAnsi="Times New Roman" w:eastAsia="宋体" w:cs="Times New Roman"/>
                <w:b/>
                <w:bCs/>
                <w:color w:val="auto"/>
                <w:kern w:val="0"/>
                <w:highlight w:val="none"/>
                <w:lang w:bidi="ar"/>
              </w:rPr>
              <w:t>与</w:t>
            </w:r>
            <w:r>
              <w:rPr>
                <w:rFonts w:hint="default" w:ascii="Times New Roman" w:hAnsi="Times New Roman" w:eastAsia="宋体" w:cs="Times New Roman"/>
                <w:b/>
                <w:bCs/>
                <w:color w:val="auto"/>
                <w:kern w:val="0"/>
                <w:highlight w:val="none"/>
                <w:lang w:val="zh-CN" w:bidi="ar"/>
              </w:rPr>
              <w:t>《环罗源湾地区工业产业布局规划（2020-2025年）</w:t>
            </w:r>
            <w:r>
              <w:rPr>
                <w:rFonts w:hint="eastAsia" w:cs="Times New Roman"/>
                <w:b/>
                <w:bCs/>
                <w:color w:val="auto"/>
                <w:kern w:val="0"/>
                <w:highlight w:val="none"/>
                <w:lang w:val="en-US" w:eastAsia="zh-CN" w:bidi="ar"/>
              </w:rPr>
              <w:t>修编</w:t>
            </w:r>
            <w:r>
              <w:rPr>
                <w:rFonts w:hint="default" w:ascii="Times New Roman" w:hAnsi="Times New Roman" w:eastAsia="宋体" w:cs="Times New Roman"/>
                <w:b/>
                <w:bCs/>
                <w:color w:val="auto"/>
                <w:kern w:val="0"/>
                <w:highlight w:val="none"/>
                <w:lang w:val="zh-CN" w:bidi="ar"/>
              </w:rPr>
              <w:t>》</w:t>
            </w:r>
            <w:r>
              <w:rPr>
                <w:rFonts w:hint="eastAsia" w:ascii="Times New Roman" w:hAnsi="Times New Roman" w:eastAsia="宋体" w:cs="Times New Roman"/>
                <w:b/>
                <w:bCs/>
                <w:color w:val="auto"/>
                <w:kern w:val="0"/>
                <w:highlight w:val="none"/>
                <w:lang w:bidi="ar"/>
              </w:rPr>
              <w:t>的符合性分析</w:t>
            </w:r>
          </w:p>
          <w:p w14:paraId="15A987E8">
            <w:pPr>
              <w:pStyle w:val="93"/>
              <w:bidi w:val="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根据《环罗源湾地区工业产业布局（2020-2025年）</w:t>
            </w:r>
            <w:r>
              <w:rPr>
                <w:rFonts w:hint="eastAsia" w:ascii="Times New Roman" w:hAnsi="Times New Roman" w:cs="Times New Roman"/>
                <w:color w:val="auto"/>
                <w:kern w:val="2"/>
                <w:sz w:val="24"/>
                <w:szCs w:val="24"/>
                <w:highlight w:val="none"/>
                <w:lang w:val="en-US" w:eastAsia="zh-CN" w:bidi="ar-SA"/>
              </w:rPr>
              <w:t>修编</w:t>
            </w:r>
            <w:r>
              <w:rPr>
                <w:rFonts w:hint="default" w:ascii="Times New Roman" w:hAnsi="Times New Roman" w:eastAsia="宋体" w:cs="Times New Roman"/>
                <w:color w:val="auto"/>
                <w:kern w:val="2"/>
                <w:sz w:val="24"/>
                <w:szCs w:val="24"/>
                <w:highlight w:val="none"/>
                <w:lang w:val="en-US" w:eastAsia="zh-CN" w:bidi="ar-SA"/>
              </w:rPr>
              <w:t>》的内容，金港组团现有产业基础主要是冶金，主要生产不锈钢和特种钢。由于金港组团距离罗源湾出海口较远，其南部水面水体交换能力较弱，且目前近海水面已有不同程度的污染。产业发展的重点应利用现有的产业优势。高起点、高技术含量的发展特种钢、船用钢板等产品，推进镍合金等有色金属行业和冷弯型钢、建筑用钢、桥梁用钢等钢结构加工和不锈钢产业链向精深加工发展，提高产品档次和附加值。未来主要推进宝钢德盛不锈钢有限公司炼铁213万吨、炼钢322万吨，福建亿鑫钢铁有限公司炼铁113万吨、炼钢115万吨，福建罗源闽光钢铁有限公司炼铁100万吨、炼钢140万吨三个项目的建设。同时重点吸引清洁型、环保型的规模化冶金企业，对入驻企业的准入标准和排污监控应有效监督，减少对周边环境的冲击。金港组团冶金产业规模控制在冶铁 1000万吨、炼钢1500万吨。</w:t>
            </w:r>
          </w:p>
          <w:p w14:paraId="3FC18570">
            <w:pPr>
              <w:pStyle w:val="93"/>
              <w:bidi w:val="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项目符合性分析：</w:t>
            </w:r>
            <w:r>
              <w:rPr>
                <w:rFonts w:hint="default" w:ascii="Times New Roman" w:hAnsi="Times New Roman" w:eastAsia="宋体" w:cs="Times New Roman"/>
                <w:color w:val="auto"/>
                <w:kern w:val="2"/>
                <w:sz w:val="24"/>
                <w:szCs w:val="24"/>
                <w:highlight w:val="none"/>
                <w:lang w:val="en-US" w:eastAsia="zh-CN" w:bidi="ar-SA"/>
              </w:rPr>
              <w:t>本项目主要</w:t>
            </w:r>
            <w:r>
              <w:rPr>
                <w:rFonts w:hint="eastAsia" w:ascii="Times New Roman" w:hAnsi="Times New Roman" w:cs="Times New Roman"/>
                <w:color w:val="auto"/>
                <w:kern w:val="2"/>
                <w:sz w:val="24"/>
                <w:szCs w:val="24"/>
                <w:highlight w:val="none"/>
                <w:lang w:val="en-US" w:eastAsia="zh-CN" w:bidi="ar-SA"/>
              </w:rPr>
              <w:t>从事</w:t>
            </w:r>
            <w:r>
              <w:rPr>
                <w:rFonts w:hint="eastAsia" w:ascii="Times New Roman" w:hAnsi="Times New Roman" w:eastAsia="宋体" w:cs="Times New Roman"/>
                <w:color w:val="auto"/>
                <w:kern w:val="2"/>
                <w:sz w:val="24"/>
                <w:szCs w:val="24"/>
                <w:highlight w:val="none"/>
                <w:lang w:val="en-US" w:eastAsia="zh-CN" w:bidi="ar-SA"/>
              </w:rPr>
              <w:t>沥青混凝土和乳化沥青的生产</w:t>
            </w:r>
            <w:r>
              <w:rPr>
                <w:rFonts w:hint="default" w:ascii="Times New Roman" w:hAnsi="Times New Roman" w:eastAsia="宋体" w:cs="Times New Roman"/>
                <w:color w:val="auto"/>
                <w:kern w:val="2"/>
                <w:sz w:val="24"/>
                <w:szCs w:val="24"/>
                <w:highlight w:val="none"/>
                <w:lang w:val="en-US" w:eastAsia="zh-CN" w:bidi="ar-SA"/>
              </w:rPr>
              <w:t>，属于</w:t>
            </w:r>
            <w:r>
              <w:rPr>
                <w:rFonts w:hint="eastAsia" w:ascii="Times New Roman" w:hAnsi="Times New Roman" w:eastAsia="宋体" w:cs="Times New Roman"/>
                <w:color w:val="auto"/>
                <w:kern w:val="2"/>
                <w:sz w:val="24"/>
                <w:szCs w:val="24"/>
                <w:highlight w:val="none"/>
                <w:lang w:val="en-US" w:eastAsia="zh-CN" w:bidi="ar-SA"/>
              </w:rPr>
              <w:t>建筑材料生产项目</w:t>
            </w:r>
            <w:r>
              <w:rPr>
                <w:rFonts w:hint="default" w:ascii="Times New Roman" w:hAnsi="Times New Roman" w:eastAsia="宋体" w:cs="Times New Roman"/>
                <w:color w:val="auto"/>
                <w:kern w:val="2"/>
                <w:sz w:val="24"/>
                <w:szCs w:val="24"/>
                <w:highlight w:val="none"/>
                <w:lang w:val="en-US" w:eastAsia="zh-CN" w:bidi="ar-SA"/>
              </w:rPr>
              <w:t>，位于金港团组工业用地内，</w:t>
            </w:r>
            <w:r>
              <w:rPr>
                <w:rFonts w:hint="eastAsia" w:ascii="Times New Roman" w:hAnsi="Times New Roman" w:eastAsia="宋体" w:cs="Times New Roman"/>
                <w:color w:val="auto"/>
                <w:kern w:val="2"/>
                <w:sz w:val="24"/>
                <w:szCs w:val="24"/>
                <w:highlight w:val="none"/>
                <w:lang w:val="en-US" w:eastAsia="zh-CN" w:bidi="ar-SA"/>
              </w:rPr>
              <w:t>项目与</w:t>
            </w:r>
            <w:r>
              <w:rPr>
                <w:rFonts w:hint="default" w:ascii="Times New Roman" w:hAnsi="Times New Roman" w:eastAsia="宋体" w:cs="Times New Roman"/>
                <w:color w:val="auto"/>
                <w:kern w:val="2"/>
                <w:sz w:val="24"/>
                <w:szCs w:val="24"/>
                <w:highlight w:val="none"/>
                <w:lang w:val="en-US" w:eastAsia="zh-CN" w:bidi="ar-SA"/>
              </w:rPr>
              <w:t>金港组团冶金产业</w:t>
            </w:r>
            <w:r>
              <w:rPr>
                <w:rFonts w:hint="eastAsia" w:ascii="Times New Roman" w:hAnsi="Times New Roman" w:eastAsia="宋体" w:cs="Times New Roman"/>
                <w:color w:val="auto"/>
                <w:kern w:val="2"/>
                <w:sz w:val="24"/>
                <w:szCs w:val="24"/>
                <w:highlight w:val="none"/>
                <w:lang w:val="en-US" w:eastAsia="zh-CN" w:bidi="ar-SA"/>
              </w:rPr>
              <w:t>发展目标不冲突。</w:t>
            </w:r>
            <w:r>
              <w:rPr>
                <w:rFonts w:hint="default" w:ascii="Times New Roman" w:hAnsi="Times New Roman" w:eastAsia="宋体" w:cs="Times New Roman"/>
                <w:color w:val="auto"/>
                <w:kern w:val="2"/>
                <w:sz w:val="24"/>
                <w:szCs w:val="24"/>
                <w:highlight w:val="none"/>
                <w:lang w:val="en-US" w:eastAsia="zh-CN" w:bidi="ar-SA"/>
              </w:rPr>
              <w:t>综上，项目</w:t>
            </w:r>
            <w:r>
              <w:rPr>
                <w:rFonts w:hint="eastAsia" w:ascii="Times New Roman" w:hAnsi="Times New Roman" w:eastAsia="宋体" w:cs="Times New Roman"/>
                <w:color w:val="auto"/>
                <w:kern w:val="2"/>
                <w:sz w:val="24"/>
                <w:szCs w:val="24"/>
                <w:highlight w:val="none"/>
                <w:lang w:val="en-US" w:eastAsia="zh-CN" w:bidi="ar-SA"/>
              </w:rPr>
              <w:t>与</w:t>
            </w:r>
            <w:r>
              <w:rPr>
                <w:rFonts w:hint="default" w:ascii="Times New Roman" w:hAnsi="Times New Roman" w:eastAsia="宋体" w:cs="Times New Roman"/>
                <w:color w:val="auto"/>
                <w:kern w:val="2"/>
                <w:sz w:val="24"/>
                <w:szCs w:val="24"/>
                <w:highlight w:val="none"/>
                <w:lang w:val="en-US" w:eastAsia="zh-CN" w:bidi="ar-SA"/>
              </w:rPr>
              <w:t>《环罗源湾地区工业产业布局规划（2020-2025 年）</w:t>
            </w:r>
            <w:r>
              <w:rPr>
                <w:rFonts w:hint="eastAsia" w:ascii="Times New Roman" w:hAnsi="Times New Roman" w:cs="Times New Roman"/>
                <w:color w:val="auto"/>
                <w:kern w:val="2"/>
                <w:sz w:val="24"/>
                <w:szCs w:val="24"/>
                <w:highlight w:val="none"/>
                <w:lang w:val="en-US" w:eastAsia="zh-CN" w:bidi="ar-SA"/>
              </w:rPr>
              <w:t>修编</w:t>
            </w:r>
            <w:r>
              <w:rPr>
                <w:rFonts w:hint="default" w:ascii="Times New Roman" w:hAnsi="Times New Roman" w:eastAsia="宋体" w:cs="Times New Roman"/>
                <w:color w:val="auto"/>
                <w:kern w:val="2"/>
                <w:sz w:val="24"/>
                <w:szCs w:val="24"/>
                <w:highlight w:val="none"/>
                <w:lang w:val="en-US" w:eastAsia="zh-CN" w:bidi="ar-SA"/>
              </w:rPr>
              <w:t>》相关要求</w:t>
            </w:r>
            <w:r>
              <w:rPr>
                <w:rFonts w:hint="eastAsia" w:ascii="Times New Roman" w:hAnsi="Times New Roman" w:eastAsia="宋体" w:cs="Times New Roman"/>
                <w:color w:val="auto"/>
                <w:kern w:val="2"/>
                <w:sz w:val="24"/>
                <w:szCs w:val="24"/>
                <w:highlight w:val="none"/>
                <w:lang w:val="en-US" w:eastAsia="zh-CN" w:bidi="ar-SA"/>
              </w:rPr>
              <w:t>不冲突</w:t>
            </w:r>
            <w:r>
              <w:rPr>
                <w:rFonts w:hint="default" w:ascii="Times New Roman" w:hAnsi="Times New Roman" w:eastAsia="宋体" w:cs="Times New Roman"/>
                <w:color w:val="auto"/>
                <w:kern w:val="2"/>
                <w:sz w:val="24"/>
                <w:szCs w:val="24"/>
                <w:highlight w:val="none"/>
                <w:lang w:val="en-US" w:eastAsia="zh-CN" w:bidi="ar-SA"/>
              </w:rPr>
              <w:t>。</w:t>
            </w:r>
          </w:p>
          <w:p w14:paraId="52EEF3BD">
            <w:pPr>
              <w:pStyle w:val="93"/>
              <w:bidi w:val="0"/>
              <w:jc w:val="both"/>
              <w:rPr>
                <w:rFonts w:hint="eastAsia"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（3）与</w:t>
            </w:r>
            <w:r>
              <w:rPr>
                <w:rFonts w:hint="default" w:ascii="Times New Roman" w:hAnsi="Times New Roman" w:eastAsia="宋体" w:cs="Times New Roman"/>
                <w:b/>
                <w:bCs/>
                <w:color w:val="auto"/>
                <w:kern w:val="2"/>
                <w:sz w:val="24"/>
                <w:szCs w:val="24"/>
                <w:highlight w:val="none"/>
                <w:lang w:val="en-US" w:eastAsia="zh-CN" w:bidi="ar-SA"/>
              </w:rPr>
              <w:t>《环罗源湾地区工业产业布局规划（2020-2025年）修编环境影响报告书》及其审查意见</w:t>
            </w:r>
            <w:r>
              <w:rPr>
                <w:rFonts w:hint="eastAsia" w:ascii="Times New Roman" w:hAnsi="Times New Roman" w:eastAsia="宋体" w:cs="Times New Roman"/>
                <w:b/>
                <w:bCs/>
                <w:color w:val="auto"/>
                <w:kern w:val="2"/>
                <w:sz w:val="24"/>
                <w:szCs w:val="24"/>
                <w:highlight w:val="none"/>
                <w:lang w:val="en-US" w:eastAsia="zh-CN" w:bidi="ar-SA"/>
              </w:rPr>
              <w:t>的符合性分析</w:t>
            </w:r>
          </w:p>
          <w:p w14:paraId="116F3AA8">
            <w:pPr>
              <w:pStyle w:val="93"/>
              <w:bidi w:val="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环罗源湾地区工业产业布局规划（2020-2025年）修编环境影响报告书》提出，在继续执行上版规划环评提出的生态环境准入要求的情况下，从空间布局约束、污染物排放管控、环境风险防控、资源开发利用要求等四个方面补充相关生态环境准入要求。</w:t>
            </w:r>
          </w:p>
          <w:p w14:paraId="28C06E48">
            <w:pPr>
              <w:pStyle w:val="93"/>
              <w:bidi w:val="0"/>
              <w:ind w:firstLine="480" w:firstLineChars="200"/>
              <w:jc w:val="both"/>
              <w:rPr>
                <w:rFonts w:hint="default" w:ascii="Times New Roman" w:hAnsi="Times New Roman" w:eastAsia="宋体" w:cs="Times New Roman"/>
                <w:color w:val="auto"/>
                <w:kern w:val="0"/>
                <w:highlight w:val="none"/>
                <w:lang w:bidi="ar"/>
              </w:rPr>
            </w:pPr>
            <w:r>
              <w:rPr>
                <w:rFonts w:hint="default" w:ascii="Times New Roman" w:hAnsi="Times New Roman" w:eastAsia="宋体" w:cs="Times New Roman"/>
                <w:color w:val="auto"/>
                <w:kern w:val="2"/>
                <w:sz w:val="24"/>
                <w:szCs w:val="24"/>
                <w:highlight w:val="none"/>
                <w:lang w:val="en-US" w:eastAsia="zh-CN" w:bidi="ar-SA"/>
              </w:rPr>
              <w:t>项目建设内容与《环罗源湾地区工业产业布局规划（2020-2025 年）修编环境影响报告书》及其审查意见中涉及“金港组团”内容的符合性分析见下表1.1-</w:t>
            </w:r>
            <w:r>
              <w:rPr>
                <w:rFonts w:hint="eastAsia" w:ascii="Times New Roman" w:hAnsi="Times New Roman" w:eastAsia="宋体" w:cs="Times New Roman"/>
                <w:color w:val="auto"/>
                <w:kern w:val="2"/>
                <w:sz w:val="24"/>
                <w:szCs w:val="24"/>
                <w:highlight w:val="none"/>
                <w:lang w:val="en-US" w:eastAsia="zh-CN" w:bidi="ar-SA"/>
              </w:rPr>
              <w:t>1</w:t>
            </w:r>
            <w:r>
              <w:rPr>
                <w:rFonts w:hint="default" w:ascii="Times New Roman" w:hAnsi="Times New Roman" w:eastAsia="宋体" w:cs="Times New Roman"/>
                <w:color w:val="auto"/>
                <w:kern w:val="2"/>
                <w:sz w:val="24"/>
                <w:szCs w:val="24"/>
                <w:highlight w:val="none"/>
                <w:lang w:val="en-US" w:eastAsia="zh-CN" w:bidi="ar-SA"/>
              </w:rPr>
              <w:t>、表1.1-</w:t>
            </w:r>
            <w:r>
              <w:rPr>
                <w:rFonts w:hint="eastAsia" w:ascii="Times New Roman" w:hAnsi="Times New Roman" w:eastAsia="宋体" w:cs="Times New Roman"/>
                <w:color w:val="auto"/>
                <w:kern w:val="2"/>
                <w:sz w:val="24"/>
                <w:szCs w:val="24"/>
                <w:highlight w:val="none"/>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w:t>
            </w:r>
          </w:p>
        </w:tc>
      </w:tr>
    </w:tbl>
    <w:p w14:paraId="456B6463">
      <w:pPr>
        <w:adjustRightInd w:val="0"/>
        <w:snapToGrid w:val="0"/>
        <w:spacing w:line="240" w:lineRule="auto"/>
        <w:ind w:firstLine="0" w:firstLineChars="0"/>
        <w:jc w:val="center"/>
        <w:rPr>
          <w:color w:val="auto"/>
          <w:highlight w:val="none"/>
        </w:rPr>
        <w:sectPr>
          <w:footerReference r:id="rId12"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tbl>
      <w:tblPr>
        <w:tblStyle w:val="27"/>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12449"/>
      </w:tblGrid>
      <w:tr w14:paraId="244E2D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439" w:type="pct"/>
            <w:noWrap w:val="0"/>
            <w:vAlign w:val="center"/>
          </w:tcPr>
          <w:p w14:paraId="7C91C7F8">
            <w:pPr>
              <w:adjustRightInd w:val="0"/>
              <w:snapToGrid w:val="0"/>
              <w:spacing w:line="240" w:lineRule="auto"/>
              <w:ind w:firstLine="0" w:firstLineChars="0"/>
              <w:jc w:val="center"/>
              <w:rPr>
                <w:color w:val="auto"/>
                <w:highlight w:val="none"/>
              </w:rPr>
            </w:pPr>
            <w:r>
              <w:rPr>
                <w:color w:val="auto"/>
                <w:highlight w:val="none"/>
              </w:rPr>
              <w:t>规划及规划环境影响评价符合性分析</w:t>
            </w:r>
          </w:p>
        </w:tc>
        <w:tc>
          <w:tcPr>
            <w:tcW w:w="4560" w:type="pct"/>
            <w:noWrap w:val="0"/>
            <w:vAlign w:val="center"/>
          </w:tcPr>
          <w:p w14:paraId="3360D55F">
            <w:pPr>
              <w:pStyle w:val="81"/>
              <w:shd w:val="clear" w:color="auto" w:fill="auto"/>
              <w:bidi w:val="0"/>
              <w:rPr>
                <w:rFonts w:hint="default" w:ascii="Times New Roman" w:hAnsi="Times New Roman" w:eastAsia="宋体"/>
                <w:color w:val="auto"/>
                <w:highlight w:val="none"/>
                <w:vertAlign w:val="baseline"/>
              </w:rPr>
            </w:pPr>
            <w:r>
              <w:rPr>
                <w:rFonts w:hint="default" w:ascii="Times New Roman" w:hAnsi="Times New Roman" w:eastAsia="宋体" w:cs="Times New Roman"/>
                <w:b/>
                <w:bCs w:val="0"/>
                <w:color w:val="auto"/>
                <w:kern w:val="2"/>
                <w:sz w:val="24"/>
                <w:szCs w:val="28"/>
                <w:highlight w:val="none"/>
                <w:u w:val="none"/>
                <w:shd w:val="clear" w:color="auto" w:fill="auto"/>
                <w:lang w:val="en-US" w:eastAsia="zh-CN" w:bidi="zh-TW"/>
              </w:rPr>
              <w:t>表1.1-</w:t>
            </w:r>
            <w:r>
              <w:rPr>
                <w:rFonts w:hint="eastAsia" w:ascii="Times New Roman" w:hAnsi="Times New Roman" w:eastAsia="宋体" w:cs="Times New Roman"/>
                <w:b/>
                <w:bCs w:val="0"/>
                <w:color w:val="auto"/>
                <w:kern w:val="2"/>
                <w:sz w:val="24"/>
                <w:szCs w:val="28"/>
                <w:highlight w:val="none"/>
                <w:u w:val="none"/>
                <w:shd w:val="clear" w:color="auto" w:fill="auto"/>
                <w:lang w:val="en-US" w:eastAsia="zh-CN" w:bidi="zh-TW"/>
              </w:rPr>
              <w:t xml:space="preserve">1  </w:t>
            </w:r>
            <w:r>
              <w:rPr>
                <w:rFonts w:hint="default" w:ascii="Times New Roman" w:hAnsi="Times New Roman" w:eastAsia="宋体" w:cs="Times New Roman"/>
                <w:b/>
                <w:bCs w:val="0"/>
                <w:color w:val="auto"/>
                <w:kern w:val="2"/>
                <w:sz w:val="24"/>
                <w:szCs w:val="28"/>
                <w:highlight w:val="none"/>
                <w:u w:val="none"/>
                <w:shd w:val="clear" w:color="auto" w:fill="auto"/>
                <w:lang w:val="en-US" w:eastAsia="zh-CN" w:bidi="zh-TW"/>
              </w:rPr>
              <w:t>项目与</w:t>
            </w:r>
            <w:r>
              <w:rPr>
                <w:rFonts w:hint="default" w:ascii="Times New Roman" w:hAnsi="Times New Roman" w:eastAsia="宋体" w:cs="Times New Roman"/>
                <w:color w:val="auto"/>
                <w:highlight w:val="none"/>
                <w:shd w:val="clear" w:color="auto" w:fill="auto"/>
                <w:lang w:val="en-US" w:eastAsia="zh-CN"/>
              </w:rPr>
              <w:t>规划</w:t>
            </w:r>
            <w:r>
              <w:rPr>
                <w:rFonts w:hint="default" w:ascii="Times New Roman" w:hAnsi="Times New Roman" w:eastAsia="宋体" w:cs="Times New Roman"/>
                <w:b/>
                <w:bCs w:val="0"/>
                <w:color w:val="auto"/>
                <w:kern w:val="2"/>
                <w:sz w:val="24"/>
                <w:szCs w:val="28"/>
                <w:highlight w:val="none"/>
                <w:u w:val="none"/>
                <w:shd w:val="clear" w:color="auto" w:fill="auto"/>
                <w:lang w:val="en-US" w:eastAsia="zh-CN" w:bidi="zh-TW"/>
              </w:rPr>
              <w:t>环评中准入要求符合性一览表</w:t>
            </w:r>
          </w:p>
          <w:tbl>
            <w:tblPr>
              <w:tblStyle w:val="28"/>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7142"/>
              <w:gridCol w:w="3683"/>
              <w:gridCol w:w="977"/>
            </w:tblGrid>
            <w:tr w14:paraId="2DFE00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68" w:type="dxa"/>
                  <w:gridSpan w:val="2"/>
                  <w:tcBorders>
                    <w:tl2br w:val="nil"/>
                    <w:tr2bl w:val="nil"/>
                  </w:tcBorders>
                  <w:noWrap w:val="0"/>
                  <w:vAlign w:val="center"/>
                </w:tcPr>
                <w:p w14:paraId="357B7E2A">
                  <w:pPr>
                    <w:pStyle w:val="132"/>
                    <w:shd w:val="clear" w:color="auto" w:fill="auto"/>
                    <w:bidi w:val="0"/>
                    <w:ind w:firstLine="0" w:firstLineChars="0"/>
                    <w:jc w:val="center"/>
                    <w:rPr>
                      <w:rFonts w:hint="default" w:ascii="Times New Roman" w:hAnsi="Times New Roman" w:eastAsia="宋体" w:cs="Times New Roman"/>
                      <w:b/>
                      <w:bCs/>
                      <w:color w:val="auto"/>
                      <w:highlight w:val="none"/>
                      <w:shd w:val="clear" w:color="auto" w:fill="auto"/>
                      <w:lang w:val="en-US" w:eastAsia="zh-CN"/>
                    </w:rPr>
                  </w:pPr>
                  <w:r>
                    <w:rPr>
                      <w:rFonts w:hint="default" w:ascii="Times New Roman" w:hAnsi="Times New Roman" w:eastAsia="宋体" w:cs="Times New Roman"/>
                      <w:b/>
                      <w:bCs/>
                      <w:color w:val="auto"/>
                      <w:highlight w:val="none"/>
                      <w:shd w:val="clear" w:color="auto" w:fill="auto"/>
                      <w:lang w:val="en-US" w:eastAsia="zh-CN"/>
                    </w:rPr>
                    <w:t>《环罗源湾地区工业产业布局规划（2020-2025年）环境影响报告书》生态环境准入要求（摘录）</w:t>
                  </w:r>
                </w:p>
              </w:tc>
              <w:tc>
                <w:tcPr>
                  <w:tcW w:w="3683" w:type="dxa"/>
                  <w:tcBorders>
                    <w:tl2br w:val="nil"/>
                    <w:tr2bl w:val="nil"/>
                  </w:tcBorders>
                  <w:noWrap w:val="0"/>
                  <w:vAlign w:val="center"/>
                </w:tcPr>
                <w:p w14:paraId="3CEB3EC9">
                  <w:pPr>
                    <w:pStyle w:val="132"/>
                    <w:shd w:val="clear" w:color="auto" w:fill="auto"/>
                    <w:bidi w:val="0"/>
                    <w:ind w:firstLine="0" w:firstLineChars="0"/>
                    <w:jc w:val="center"/>
                    <w:rPr>
                      <w:rFonts w:hint="default" w:ascii="Times New Roman" w:hAnsi="Times New Roman" w:eastAsia="宋体" w:cs="Times New Roman"/>
                      <w:b/>
                      <w:bCs/>
                      <w:color w:val="auto"/>
                      <w:highlight w:val="none"/>
                      <w:shd w:val="clear" w:color="auto" w:fill="auto"/>
                      <w:lang w:val="en-US" w:eastAsia="zh-CN"/>
                    </w:rPr>
                  </w:pPr>
                  <w:r>
                    <w:rPr>
                      <w:rFonts w:hint="eastAsia" w:ascii="Times New Roman" w:hAnsi="Times New Roman" w:eastAsia="宋体" w:cs="Times New Roman"/>
                      <w:b/>
                      <w:bCs/>
                      <w:color w:val="auto"/>
                      <w:highlight w:val="none"/>
                      <w:shd w:val="clear" w:color="auto" w:fill="auto"/>
                      <w:lang w:val="en-US" w:eastAsia="zh-CN"/>
                    </w:rPr>
                    <w:t>项目情况</w:t>
                  </w:r>
                </w:p>
              </w:tc>
              <w:tc>
                <w:tcPr>
                  <w:tcW w:w="977" w:type="dxa"/>
                  <w:tcBorders>
                    <w:tl2br w:val="nil"/>
                    <w:tr2bl w:val="nil"/>
                  </w:tcBorders>
                  <w:noWrap w:val="0"/>
                  <w:vAlign w:val="center"/>
                </w:tcPr>
                <w:p w14:paraId="51963788">
                  <w:pPr>
                    <w:pStyle w:val="132"/>
                    <w:shd w:val="clear" w:color="auto" w:fill="auto"/>
                    <w:bidi w:val="0"/>
                    <w:ind w:firstLine="0" w:firstLineChars="0"/>
                    <w:jc w:val="center"/>
                    <w:rPr>
                      <w:rFonts w:hint="default" w:ascii="Times New Roman" w:hAnsi="Times New Roman" w:eastAsia="宋体" w:cs="Times New Roman"/>
                      <w:b/>
                      <w:bCs/>
                      <w:color w:val="auto"/>
                      <w:highlight w:val="none"/>
                      <w:shd w:val="clear" w:color="auto" w:fill="auto"/>
                      <w:lang w:val="en-US" w:eastAsia="zh-CN"/>
                    </w:rPr>
                  </w:pPr>
                  <w:r>
                    <w:rPr>
                      <w:rFonts w:hint="eastAsia" w:ascii="Times New Roman" w:hAnsi="Times New Roman" w:eastAsia="宋体" w:cs="Times New Roman"/>
                      <w:b/>
                      <w:bCs/>
                      <w:color w:val="auto"/>
                      <w:highlight w:val="none"/>
                      <w:shd w:val="clear" w:color="auto" w:fill="auto"/>
                      <w:lang w:val="en-US" w:eastAsia="zh-CN"/>
                    </w:rPr>
                    <w:t>符合性</w:t>
                  </w:r>
                </w:p>
              </w:tc>
            </w:tr>
            <w:tr w14:paraId="6E5684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6" w:type="dxa"/>
                  <w:vMerge w:val="restart"/>
                  <w:tcBorders>
                    <w:tl2br w:val="nil"/>
                    <w:tr2bl w:val="nil"/>
                  </w:tcBorders>
                  <w:noWrap w:val="0"/>
                  <w:vAlign w:val="center"/>
                </w:tcPr>
                <w:p w14:paraId="0A808C7F">
                  <w:pPr>
                    <w:pStyle w:val="132"/>
                    <w:shd w:val="clear" w:color="auto" w:fill="auto"/>
                    <w:bidi w:val="0"/>
                    <w:ind w:firstLine="0" w:firstLineChars="0"/>
                    <w:jc w:val="center"/>
                    <w:rPr>
                      <w:rFonts w:hint="default" w:ascii="Times New Roman" w:hAnsi="Times New Roman" w:eastAsia="宋体" w:cs="Times New Roman"/>
                      <w:color w:val="auto"/>
                      <w:highlight w:val="none"/>
                      <w:shd w:val="clear" w:color="auto" w:fill="auto"/>
                      <w:lang w:val="en-US" w:eastAsia="zh-CN"/>
                    </w:rPr>
                  </w:pPr>
                  <w:r>
                    <w:rPr>
                      <w:rFonts w:ascii="Times New Roman" w:hAnsi="Times New Roman" w:eastAsia="宋体"/>
                      <w:color w:val="auto"/>
                      <w:sz w:val="21"/>
                      <w:highlight w:val="none"/>
                    </w:rPr>
                    <w:t>空间布局约束</w:t>
                  </w:r>
                </w:p>
              </w:tc>
              <w:tc>
                <w:tcPr>
                  <w:tcW w:w="7142" w:type="dxa"/>
                  <w:tcBorders>
                    <w:tl2br w:val="nil"/>
                    <w:tr2bl w:val="nil"/>
                  </w:tcBorders>
                  <w:noWrap w:val="0"/>
                  <w:vAlign w:val="center"/>
                </w:tcPr>
                <w:p w14:paraId="226E30B9">
                  <w:pPr>
                    <w:pStyle w:val="132"/>
                    <w:shd w:val="clear" w:color="auto" w:fill="auto"/>
                    <w:bidi w:val="0"/>
                    <w:ind w:firstLine="0" w:firstLineChars="0"/>
                    <w:jc w:val="both"/>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1、</w:t>
                  </w:r>
                  <w:r>
                    <w:rPr>
                      <w:rFonts w:hint="default" w:ascii="Times New Roman" w:hAnsi="Times New Roman" w:eastAsia="宋体" w:cs="Times New Roman"/>
                      <w:color w:val="auto"/>
                      <w:highlight w:val="none"/>
                      <w:shd w:val="clear" w:color="auto" w:fill="auto"/>
                      <w:lang w:val="en-US" w:eastAsia="zh-CN"/>
                    </w:rPr>
                    <w:t>区域应重点发展高端装备制造业，利用港口优势适量发展冶金、能源产业和污染相对较轻的石化中下游产品，不再布局石化中上游项目，除已批已建的大型煤电和热电联产项目外，规划期内原则上不再建设新的煤电项目。</w:t>
                  </w:r>
                </w:p>
                <w:p w14:paraId="20E78F1E">
                  <w:pPr>
                    <w:pStyle w:val="132"/>
                    <w:shd w:val="clear" w:color="auto" w:fill="auto"/>
                    <w:bidi w:val="0"/>
                    <w:ind w:firstLine="0" w:firstLineChars="0"/>
                    <w:jc w:val="both"/>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2、</w:t>
                  </w:r>
                  <w:r>
                    <w:rPr>
                      <w:rFonts w:hint="default" w:ascii="Times New Roman" w:hAnsi="Times New Roman" w:eastAsia="宋体" w:cs="Times New Roman"/>
                      <w:color w:val="auto"/>
                      <w:highlight w:val="none"/>
                      <w:shd w:val="clear" w:color="auto" w:fill="auto"/>
                      <w:lang w:val="en-US" w:eastAsia="zh-CN"/>
                    </w:rPr>
                    <w:t>除牛坑湾已批围填海项目外，规划期内罗源湾不再新增围填海项目。</w:t>
                  </w:r>
                </w:p>
                <w:p w14:paraId="279E0263">
                  <w:pPr>
                    <w:pStyle w:val="132"/>
                    <w:shd w:val="clear" w:color="auto" w:fill="auto"/>
                    <w:bidi w:val="0"/>
                    <w:ind w:firstLine="0" w:firstLineChars="0"/>
                    <w:jc w:val="both"/>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3、</w:t>
                  </w:r>
                  <w:r>
                    <w:rPr>
                      <w:rFonts w:hint="default" w:ascii="Times New Roman" w:hAnsi="Times New Roman" w:eastAsia="宋体" w:cs="Times New Roman"/>
                      <w:color w:val="auto"/>
                      <w:highlight w:val="none"/>
                      <w:shd w:val="clear" w:color="auto" w:fill="auto"/>
                      <w:lang w:val="en-US" w:eastAsia="zh-CN"/>
                    </w:rPr>
                    <w:t>主导产业集中布置，罗源湾北岸不设置化工产业，南岸不设置冶金产业。</w:t>
                  </w:r>
                </w:p>
                <w:p w14:paraId="177B0639">
                  <w:pPr>
                    <w:pStyle w:val="132"/>
                    <w:shd w:val="clear" w:color="auto" w:fill="auto"/>
                    <w:bidi w:val="0"/>
                    <w:ind w:firstLine="0" w:firstLineChars="0"/>
                    <w:jc w:val="both"/>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4、</w:t>
                  </w:r>
                  <w:r>
                    <w:rPr>
                      <w:rFonts w:hint="default" w:ascii="Times New Roman" w:hAnsi="Times New Roman" w:eastAsia="宋体" w:cs="Times New Roman"/>
                      <w:color w:val="auto"/>
                      <w:highlight w:val="none"/>
                      <w:shd w:val="clear" w:color="auto" w:fill="auto"/>
                      <w:lang w:val="en-US" w:eastAsia="zh-CN"/>
                    </w:rPr>
                    <w:t>产业组团外涉及西溪水库水源保护区等陆域生态保护红线的自然保护地核心保护区原则上禁止人为活动，产业组团内大官坂西侧洋尾山和可门组团猪母鼻、大湖山、大坪顶等陆域生态保护红线其他区域，应严格控制项目开发建设。</w:t>
                  </w:r>
                </w:p>
                <w:p w14:paraId="069C09F9">
                  <w:pPr>
                    <w:pStyle w:val="132"/>
                    <w:shd w:val="clear" w:color="auto" w:fill="auto"/>
                    <w:bidi w:val="0"/>
                    <w:ind w:firstLine="0" w:firstLineChars="0"/>
                    <w:jc w:val="both"/>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5、</w:t>
                  </w:r>
                  <w:r>
                    <w:rPr>
                      <w:rFonts w:hint="default" w:ascii="Times New Roman" w:hAnsi="Times New Roman" w:eastAsia="宋体" w:cs="Times New Roman"/>
                      <w:color w:val="auto"/>
                      <w:highlight w:val="none"/>
                      <w:shd w:val="clear" w:color="auto" w:fill="auto"/>
                      <w:lang w:val="en-US" w:eastAsia="zh-CN"/>
                    </w:rPr>
                    <w:t>牛坑湾梅花村、鸡笼屿、澳村、下宫乡可门村沿岸等海洋保护岸线，应严格执行海洋红线中有关自然岸线的管控要求：维持岸线自然属性，禁止实施可能改变自然岸线生态功能的开发建设活动，禁止围填海，禁止非法侵占岸线和采挖海砂，加强对受损岸线的整治和修复。</w:t>
                  </w:r>
                </w:p>
                <w:p w14:paraId="1D1BAF59">
                  <w:pPr>
                    <w:pStyle w:val="132"/>
                    <w:shd w:val="clear" w:color="auto" w:fill="auto"/>
                    <w:bidi w:val="0"/>
                    <w:ind w:firstLine="0" w:firstLineChars="0"/>
                    <w:jc w:val="both"/>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6、</w:t>
                  </w:r>
                  <w:r>
                    <w:rPr>
                      <w:rFonts w:hint="default" w:ascii="Times New Roman" w:hAnsi="Times New Roman" w:eastAsia="宋体" w:cs="Times New Roman"/>
                      <w:color w:val="auto"/>
                      <w:highlight w:val="none"/>
                      <w:shd w:val="clear" w:color="auto" w:fill="auto"/>
                      <w:lang w:val="en-US" w:eastAsia="zh-CN"/>
                    </w:rPr>
                    <w:t>环罗源湾区域港区建设应按照《福州港总体规划（修订）》及其规划环评要求实施。</w:t>
                  </w:r>
                </w:p>
              </w:tc>
              <w:tc>
                <w:tcPr>
                  <w:tcW w:w="3683" w:type="dxa"/>
                  <w:tcBorders>
                    <w:tl2br w:val="nil"/>
                    <w:tr2bl w:val="nil"/>
                  </w:tcBorders>
                  <w:noWrap w:val="0"/>
                  <w:vAlign w:val="center"/>
                </w:tcPr>
                <w:p w14:paraId="4C1A18F4">
                  <w:pPr>
                    <w:pStyle w:val="132"/>
                    <w:shd w:val="clear" w:color="auto" w:fill="auto"/>
                    <w:bidi w:val="0"/>
                    <w:ind w:firstLine="0" w:firstLineChars="0"/>
                    <w:jc w:val="both"/>
                    <w:rPr>
                      <w:rFonts w:hint="default" w:ascii="Times New Roman" w:hAnsi="Times New Roman" w:eastAsia="宋体" w:cs="Times New Roman"/>
                      <w:color w:val="auto"/>
                      <w:highlight w:val="none"/>
                      <w:shd w:val="clear" w:color="auto" w:fill="auto"/>
                      <w:lang w:val="en-US" w:eastAsia="zh-CN"/>
                    </w:rPr>
                  </w:pPr>
                  <w:r>
                    <w:rPr>
                      <w:rFonts w:hint="default" w:ascii="Times New Roman" w:hAnsi="Times New Roman" w:eastAsia="宋体" w:cs="Times New Roman"/>
                      <w:color w:val="auto"/>
                      <w:highlight w:val="none"/>
                      <w:shd w:val="clear" w:color="auto" w:fill="auto"/>
                      <w:lang w:val="en-US" w:eastAsia="zh-CN"/>
                    </w:rPr>
                    <w:t>1、项目不属于禁止新建的石化、煤电项目；</w:t>
                  </w:r>
                </w:p>
                <w:p w14:paraId="240A8E17">
                  <w:pPr>
                    <w:pStyle w:val="132"/>
                    <w:shd w:val="clear" w:color="auto" w:fill="auto"/>
                    <w:bidi w:val="0"/>
                    <w:ind w:firstLine="0" w:firstLineChars="0"/>
                    <w:jc w:val="both"/>
                    <w:rPr>
                      <w:rFonts w:hint="default" w:ascii="Times New Roman" w:hAnsi="Times New Roman" w:eastAsia="宋体" w:cs="Times New Roman"/>
                      <w:color w:val="auto"/>
                      <w:highlight w:val="none"/>
                      <w:shd w:val="clear" w:color="auto" w:fill="auto"/>
                      <w:lang w:val="en-US" w:eastAsia="zh-CN"/>
                    </w:rPr>
                  </w:pPr>
                  <w:r>
                    <w:rPr>
                      <w:rFonts w:hint="default" w:ascii="Times New Roman" w:hAnsi="Times New Roman" w:eastAsia="宋体" w:cs="Times New Roman"/>
                      <w:color w:val="auto"/>
                      <w:highlight w:val="none"/>
                      <w:shd w:val="clear" w:color="auto" w:fill="auto"/>
                      <w:lang w:val="en-US" w:eastAsia="zh-CN"/>
                    </w:rPr>
                    <w:t>2、项目不属于围填海项目；</w:t>
                  </w:r>
                </w:p>
                <w:p w14:paraId="09EE44B4">
                  <w:pPr>
                    <w:pStyle w:val="132"/>
                    <w:shd w:val="clear" w:color="auto" w:fill="auto"/>
                    <w:bidi w:val="0"/>
                    <w:ind w:firstLine="0" w:firstLineChars="0"/>
                    <w:jc w:val="both"/>
                    <w:rPr>
                      <w:rFonts w:hint="default" w:ascii="Times New Roman" w:hAnsi="Times New Roman" w:eastAsia="宋体" w:cs="Times New Roman"/>
                      <w:color w:val="auto"/>
                      <w:highlight w:val="none"/>
                      <w:shd w:val="clear" w:color="auto" w:fill="auto"/>
                      <w:lang w:val="en-US" w:eastAsia="zh-CN"/>
                    </w:rPr>
                  </w:pPr>
                  <w:r>
                    <w:rPr>
                      <w:rFonts w:hint="default" w:ascii="Times New Roman" w:hAnsi="Times New Roman" w:eastAsia="宋体" w:cs="Times New Roman"/>
                      <w:color w:val="auto"/>
                      <w:highlight w:val="none"/>
                      <w:shd w:val="clear" w:color="auto" w:fill="auto"/>
                      <w:lang w:val="en-US" w:eastAsia="zh-CN"/>
                    </w:rPr>
                    <w:t>3、项目不属于化工产业、冶金产业；</w:t>
                  </w:r>
                </w:p>
                <w:p w14:paraId="6A97E21E">
                  <w:pPr>
                    <w:pStyle w:val="132"/>
                    <w:shd w:val="clear" w:color="auto" w:fill="auto"/>
                    <w:bidi w:val="0"/>
                    <w:ind w:firstLine="0" w:firstLineChars="0"/>
                    <w:jc w:val="both"/>
                    <w:rPr>
                      <w:rFonts w:hint="default" w:ascii="Times New Roman" w:hAnsi="Times New Roman" w:eastAsia="宋体" w:cs="Times New Roman"/>
                      <w:color w:val="auto"/>
                      <w:highlight w:val="none"/>
                      <w:shd w:val="clear" w:color="auto" w:fill="auto"/>
                      <w:lang w:val="en-US" w:eastAsia="zh-CN"/>
                    </w:rPr>
                  </w:pPr>
                  <w:r>
                    <w:rPr>
                      <w:rFonts w:hint="default" w:ascii="Times New Roman" w:hAnsi="Times New Roman" w:eastAsia="宋体" w:cs="Times New Roman"/>
                      <w:color w:val="auto"/>
                      <w:highlight w:val="none"/>
                      <w:shd w:val="clear" w:color="auto" w:fill="auto"/>
                      <w:lang w:val="en-US" w:eastAsia="zh-CN"/>
                    </w:rPr>
                    <w:t>4、项目用地及评价范围内不涉及生态保护红线区域；</w:t>
                  </w:r>
                </w:p>
                <w:p w14:paraId="77B393FB">
                  <w:pPr>
                    <w:pStyle w:val="132"/>
                    <w:shd w:val="clear" w:color="auto" w:fill="auto"/>
                    <w:bidi w:val="0"/>
                    <w:ind w:firstLine="0" w:firstLineChars="0"/>
                    <w:jc w:val="both"/>
                    <w:rPr>
                      <w:rFonts w:hint="default" w:ascii="Times New Roman" w:hAnsi="Times New Roman" w:eastAsia="宋体" w:cs="Times New Roman"/>
                      <w:color w:val="auto"/>
                      <w:highlight w:val="none"/>
                      <w:shd w:val="clear" w:color="auto" w:fill="auto"/>
                      <w:lang w:val="en-US" w:eastAsia="zh-CN"/>
                    </w:rPr>
                  </w:pPr>
                  <w:r>
                    <w:rPr>
                      <w:rFonts w:hint="default" w:ascii="Times New Roman" w:hAnsi="Times New Roman" w:eastAsia="宋体" w:cs="Times New Roman"/>
                      <w:color w:val="auto"/>
                      <w:highlight w:val="none"/>
                      <w:shd w:val="clear" w:color="auto" w:fill="auto"/>
                      <w:lang w:val="en-US" w:eastAsia="zh-CN"/>
                    </w:rPr>
                    <w:t>5、项目用地及评价范围不涉及海洋保护岸线；</w:t>
                  </w:r>
                </w:p>
                <w:p w14:paraId="45039A96">
                  <w:pPr>
                    <w:pStyle w:val="132"/>
                    <w:shd w:val="clear" w:color="auto" w:fill="auto"/>
                    <w:bidi w:val="0"/>
                    <w:ind w:firstLine="0" w:firstLineChars="0"/>
                    <w:jc w:val="both"/>
                    <w:rPr>
                      <w:rFonts w:hint="default" w:ascii="Times New Roman" w:hAnsi="Times New Roman" w:eastAsia="宋体" w:cs="Times New Roman"/>
                      <w:color w:val="auto"/>
                      <w:highlight w:val="none"/>
                      <w:shd w:val="clear" w:color="auto" w:fill="auto"/>
                      <w:lang w:val="en-US" w:eastAsia="zh-CN"/>
                    </w:rPr>
                  </w:pPr>
                  <w:r>
                    <w:rPr>
                      <w:rFonts w:hint="default" w:ascii="Times New Roman" w:hAnsi="Times New Roman" w:eastAsia="宋体" w:cs="Times New Roman"/>
                      <w:color w:val="auto"/>
                      <w:highlight w:val="none"/>
                      <w:shd w:val="clear" w:color="auto" w:fill="auto"/>
                      <w:lang w:val="en-US" w:eastAsia="zh-CN"/>
                    </w:rPr>
                    <w:t>6、项目不位于环罗源湾区域港区。</w:t>
                  </w:r>
                </w:p>
              </w:tc>
              <w:tc>
                <w:tcPr>
                  <w:tcW w:w="977" w:type="dxa"/>
                  <w:tcBorders>
                    <w:tl2br w:val="nil"/>
                    <w:tr2bl w:val="nil"/>
                  </w:tcBorders>
                  <w:noWrap w:val="0"/>
                  <w:vAlign w:val="center"/>
                </w:tcPr>
                <w:p w14:paraId="659C1BB6">
                  <w:pPr>
                    <w:pStyle w:val="132"/>
                    <w:shd w:val="clear" w:color="auto" w:fill="auto"/>
                    <w:bidi w:val="0"/>
                    <w:ind w:firstLine="0" w:firstLineChars="0"/>
                    <w:jc w:val="center"/>
                    <w:rPr>
                      <w:rFonts w:hint="default" w:ascii="Times New Roman" w:hAnsi="Times New Roman" w:eastAsia="宋体" w:cs="Times New Roman"/>
                      <w:color w:val="auto"/>
                      <w:highlight w:val="none"/>
                      <w:shd w:val="clear" w:color="auto" w:fill="auto"/>
                      <w:lang w:val="en-US" w:eastAsia="zh-CN"/>
                    </w:rPr>
                  </w:pPr>
                  <w:r>
                    <w:rPr>
                      <w:rFonts w:hint="default" w:ascii="Times New Roman" w:hAnsi="Times New Roman" w:eastAsia="宋体" w:cs="Times New Roman"/>
                      <w:color w:val="auto"/>
                      <w:highlight w:val="none"/>
                      <w:shd w:val="clear" w:color="auto" w:fill="auto"/>
                      <w:lang w:val="en-US" w:eastAsia="zh-CN"/>
                    </w:rPr>
                    <w:t xml:space="preserve">符合 </w:t>
                  </w:r>
                  <w:r>
                    <w:rPr>
                      <w:rFonts w:hint="default" w:ascii="Times New Roman" w:hAnsi="Times New Roman" w:eastAsia="宋体" w:cs="Times New Roman"/>
                      <w:color w:val="auto"/>
                      <w:highlight w:val="none"/>
                      <w:shd w:val="clear" w:color="auto" w:fill="auto"/>
                      <w:lang w:val="en-US" w:eastAsia="zh-CN"/>
                    </w:rPr>
                    <w:drawing>
                      <wp:inline distT="0" distB="0" distL="114300" distR="114300">
                        <wp:extent cx="5715" cy="223520"/>
                        <wp:effectExtent l="0" t="0" r="13335" b="0"/>
                        <wp:docPr id="10"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3.png"/>
                                <pic:cNvPicPr>
                                  <a:picLocks noChangeAspect="1"/>
                                </pic:cNvPicPr>
                              </pic:nvPicPr>
                              <pic:blipFill>
                                <a:blip r:embed="rId14"/>
                                <a:stretch>
                                  <a:fillRect/>
                                </a:stretch>
                              </pic:blipFill>
                              <pic:spPr>
                                <a:xfrm>
                                  <a:off x="0" y="0"/>
                                  <a:ext cx="5715" cy="223520"/>
                                </a:xfrm>
                                <a:prstGeom prst="rect">
                                  <a:avLst/>
                                </a:prstGeom>
                                <a:noFill/>
                                <a:ln>
                                  <a:noFill/>
                                </a:ln>
                              </pic:spPr>
                            </pic:pic>
                          </a:graphicData>
                        </a:graphic>
                      </wp:inline>
                    </w:drawing>
                  </w:r>
                </w:p>
              </w:tc>
            </w:tr>
            <w:tr w14:paraId="4D767A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6" w:type="dxa"/>
                  <w:vMerge w:val="continue"/>
                  <w:tcBorders>
                    <w:tl2br w:val="nil"/>
                    <w:tr2bl w:val="nil"/>
                  </w:tcBorders>
                  <w:noWrap w:val="0"/>
                  <w:vAlign w:val="center"/>
                </w:tcPr>
                <w:p w14:paraId="2B2C02DB">
                  <w:pPr>
                    <w:pStyle w:val="132"/>
                    <w:shd w:val="clear" w:color="auto" w:fill="auto"/>
                    <w:bidi w:val="0"/>
                    <w:ind w:firstLine="0" w:firstLineChars="0"/>
                    <w:jc w:val="center"/>
                    <w:rPr>
                      <w:rFonts w:hint="default" w:ascii="Times New Roman" w:hAnsi="Times New Roman" w:eastAsia="宋体" w:cs="Times New Roman"/>
                      <w:color w:val="auto"/>
                      <w:highlight w:val="none"/>
                      <w:shd w:val="clear" w:color="auto" w:fill="auto"/>
                      <w:lang w:val="en-US" w:eastAsia="zh-CN"/>
                    </w:rPr>
                  </w:pPr>
                </w:p>
              </w:tc>
              <w:tc>
                <w:tcPr>
                  <w:tcW w:w="7142" w:type="dxa"/>
                  <w:tcBorders>
                    <w:tl2br w:val="nil"/>
                    <w:tr2bl w:val="nil"/>
                  </w:tcBorders>
                  <w:noWrap w:val="0"/>
                  <w:vAlign w:val="center"/>
                </w:tcPr>
                <w:p w14:paraId="3BFDBAAB">
                  <w:pPr>
                    <w:pStyle w:val="132"/>
                    <w:shd w:val="clear" w:color="auto" w:fill="auto"/>
                    <w:bidi w:val="0"/>
                    <w:ind w:firstLine="0" w:firstLineChars="0"/>
                    <w:jc w:val="both"/>
                    <w:rPr>
                      <w:rFonts w:hint="default" w:ascii="Times New Roman" w:hAnsi="Times New Roman" w:eastAsia="宋体" w:cs="Times New Roman"/>
                      <w:color w:val="auto"/>
                      <w:highlight w:val="none"/>
                      <w:shd w:val="clear" w:color="auto" w:fill="auto"/>
                      <w:lang w:val="en-US" w:eastAsia="zh-CN"/>
                    </w:rPr>
                  </w:pPr>
                  <w:r>
                    <w:rPr>
                      <w:rFonts w:hint="default" w:ascii="Times New Roman" w:hAnsi="Times New Roman" w:eastAsia="宋体" w:cs="Times New Roman"/>
                      <w:color w:val="auto"/>
                      <w:highlight w:val="none"/>
                      <w:shd w:val="clear" w:color="auto" w:fill="auto"/>
                      <w:lang w:val="en-US" w:eastAsia="zh-CN"/>
                    </w:rPr>
                    <w:t>1、金港组团迹头片区不宜发展冶金，组团内其他片区进一步优化产品结构；</w:t>
                  </w:r>
                </w:p>
                <w:p w14:paraId="7640EA12">
                  <w:pPr>
                    <w:pStyle w:val="132"/>
                    <w:shd w:val="clear" w:color="auto" w:fill="auto"/>
                    <w:bidi w:val="0"/>
                    <w:ind w:firstLine="0" w:firstLineChars="0"/>
                    <w:jc w:val="both"/>
                    <w:rPr>
                      <w:rFonts w:hint="default" w:ascii="Times New Roman" w:hAnsi="Times New Roman" w:eastAsia="宋体" w:cs="Times New Roman"/>
                      <w:color w:val="auto"/>
                      <w:highlight w:val="none"/>
                      <w:shd w:val="clear" w:color="auto" w:fill="auto"/>
                      <w:lang w:val="en-US" w:eastAsia="zh-CN"/>
                    </w:rPr>
                  </w:pPr>
                  <w:r>
                    <w:rPr>
                      <w:rFonts w:hint="default" w:ascii="Times New Roman" w:hAnsi="Times New Roman" w:eastAsia="宋体" w:cs="Times New Roman"/>
                      <w:color w:val="auto"/>
                      <w:highlight w:val="none"/>
                      <w:shd w:val="clear" w:color="auto" w:fill="auto"/>
                      <w:lang w:val="en-US" w:eastAsia="zh-CN"/>
                    </w:rPr>
                    <w:t>2、禁止建设《产业转移指导目录》、《产业结构调整指导目录》以及福建省有关产业政策中明确列入淘汰或限制的项目；</w:t>
                  </w:r>
                </w:p>
                <w:p w14:paraId="7514DDE3">
                  <w:pPr>
                    <w:pStyle w:val="132"/>
                    <w:shd w:val="clear" w:color="auto" w:fill="auto"/>
                    <w:bidi w:val="0"/>
                    <w:ind w:firstLine="0" w:firstLineChars="0"/>
                    <w:jc w:val="both"/>
                    <w:rPr>
                      <w:rFonts w:hint="default" w:ascii="Times New Roman" w:hAnsi="Times New Roman" w:eastAsia="宋体" w:cs="Times New Roman"/>
                      <w:color w:val="auto"/>
                      <w:highlight w:val="none"/>
                      <w:shd w:val="clear" w:color="auto" w:fill="auto"/>
                      <w:lang w:val="en-US" w:eastAsia="zh-CN"/>
                    </w:rPr>
                  </w:pPr>
                  <w:r>
                    <w:rPr>
                      <w:rFonts w:hint="default" w:ascii="Times New Roman" w:hAnsi="Times New Roman" w:eastAsia="宋体" w:cs="Times New Roman"/>
                      <w:color w:val="auto"/>
                      <w:highlight w:val="none"/>
                      <w:shd w:val="clear" w:color="auto" w:fill="auto"/>
                      <w:lang w:val="en-US" w:eastAsia="zh-CN"/>
                    </w:rPr>
                    <w:t>3、引进的项目必须符合国家的产业政策，积极引进鼓励类项目，优先引进可形成生态工业链的项目；</w:t>
                  </w:r>
                </w:p>
                <w:p w14:paraId="5F277F34">
                  <w:pPr>
                    <w:pStyle w:val="132"/>
                    <w:shd w:val="clear" w:color="auto" w:fill="auto"/>
                    <w:bidi w:val="0"/>
                    <w:ind w:firstLine="0" w:firstLineChars="0"/>
                    <w:jc w:val="both"/>
                    <w:rPr>
                      <w:rFonts w:hint="default" w:ascii="Times New Roman" w:hAnsi="Times New Roman" w:eastAsia="宋体" w:cs="Times New Roman"/>
                      <w:color w:val="auto"/>
                      <w:highlight w:val="none"/>
                      <w:shd w:val="clear" w:color="auto" w:fill="auto"/>
                      <w:lang w:val="en-US" w:eastAsia="zh-CN"/>
                    </w:rPr>
                  </w:pPr>
                  <w:r>
                    <w:rPr>
                      <w:rFonts w:hint="default" w:ascii="Times New Roman" w:hAnsi="Times New Roman" w:eastAsia="宋体" w:cs="Times New Roman"/>
                      <w:color w:val="auto"/>
                      <w:highlight w:val="none"/>
                      <w:shd w:val="clear" w:color="auto" w:fill="auto"/>
                      <w:lang w:val="en-US" w:eastAsia="zh-CN"/>
                    </w:rPr>
                    <w:t>4、钢铁冶金、化工企业周边设置1000m以上的环保控制带，应严格控制环保控制带内的用地规划功能和村镇发展规模，不得新增居民住宅、学校、医院、种植使用农产品等。</w:t>
                  </w:r>
                </w:p>
              </w:tc>
              <w:tc>
                <w:tcPr>
                  <w:tcW w:w="3683" w:type="dxa"/>
                  <w:tcBorders>
                    <w:tl2br w:val="nil"/>
                    <w:tr2bl w:val="nil"/>
                  </w:tcBorders>
                  <w:noWrap w:val="0"/>
                  <w:vAlign w:val="center"/>
                </w:tcPr>
                <w:p w14:paraId="7E45D347">
                  <w:pPr>
                    <w:pStyle w:val="132"/>
                    <w:shd w:val="clear" w:color="auto" w:fill="auto"/>
                    <w:bidi w:val="0"/>
                    <w:ind w:firstLine="0" w:firstLineChars="0"/>
                    <w:jc w:val="both"/>
                    <w:rPr>
                      <w:rFonts w:hint="default" w:ascii="Times New Roman" w:hAnsi="Times New Roman" w:eastAsia="宋体" w:cs="Times New Roman"/>
                      <w:color w:val="auto"/>
                      <w:highlight w:val="none"/>
                      <w:shd w:val="clear" w:color="auto" w:fill="auto"/>
                      <w:lang w:val="en-US" w:eastAsia="zh-CN"/>
                    </w:rPr>
                  </w:pPr>
                  <w:r>
                    <w:rPr>
                      <w:rFonts w:hint="default" w:ascii="Times New Roman" w:hAnsi="Times New Roman" w:eastAsia="宋体" w:cs="Times New Roman"/>
                      <w:color w:val="auto"/>
                      <w:highlight w:val="none"/>
                      <w:shd w:val="clear" w:color="auto" w:fill="auto"/>
                      <w:lang w:val="en-US" w:eastAsia="zh-CN"/>
                    </w:rPr>
                    <w:t>1、项目不涉及冶金，不位于迹头片区，</w:t>
                  </w:r>
                  <w:r>
                    <w:rPr>
                      <w:rFonts w:hint="eastAsia" w:ascii="Times New Roman" w:hAnsi="Times New Roman" w:eastAsia="宋体" w:cs="Times New Roman"/>
                      <w:color w:val="auto"/>
                      <w:highlight w:val="none"/>
                      <w:shd w:val="clear" w:color="auto" w:fill="auto"/>
                      <w:lang w:val="en-US" w:eastAsia="zh-CN"/>
                    </w:rPr>
                    <w:t>本</w:t>
                  </w:r>
                  <w:r>
                    <w:rPr>
                      <w:rFonts w:hint="default" w:ascii="Times New Roman" w:hAnsi="Times New Roman" w:eastAsia="宋体" w:cs="Times New Roman"/>
                      <w:color w:val="auto"/>
                      <w:highlight w:val="none"/>
                      <w:shd w:val="clear" w:color="auto" w:fill="auto"/>
                      <w:lang w:val="en-US" w:eastAsia="zh-CN"/>
                    </w:rPr>
                    <w:t>项目属于</w:t>
                  </w:r>
                  <w:r>
                    <w:rPr>
                      <w:rFonts w:hint="eastAsia" w:ascii="Times New Roman" w:hAnsi="Times New Roman" w:eastAsia="宋体" w:cs="Times New Roman"/>
                      <w:color w:val="auto"/>
                      <w:highlight w:val="none"/>
                      <w:shd w:val="clear" w:color="auto" w:fill="auto"/>
                      <w:lang w:val="en-US" w:eastAsia="zh-CN"/>
                    </w:rPr>
                    <w:t>建筑材料生产项目</w:t>
                  </w:r>
                  <w:r>
                    <w:rPr>
                      <w:rFonts w:hint="default" w:ascii="Times New Roman" w:hAnsi="Times New Roman" w:eastAsia="宋体" w:cs="Times New Roman"/>
                      <w:color w:val="auto"/>
                      <w:highlight w:val="none"/>
                      <w:shd w:val="clear" w:color="auto" w:fill="auto"/>
                      <w:lang w:val="en-US" w:eastAsia="zh-CN"/>
                    </w:rPr>
                    <w:t>；</w:t>
                  </w:r>
                </w:p>
                <w:p w14:paraId="7E5789F1">
                  <w:pPr>
                    <w:pStyle w:val="132"/>
                    <w:shd w:val="clear" w:color="auto" w:fill="auto"/>
                    <w:bidi w:val="0"/>
                    <w:ind w:firstLine="0" w:firstLineChars="0"/>
                    <w:jc w:val="both"/>
                    <w:rPr>
                      <w:rFonts w:hint="default" w:ascii="Times New Roman" w:hAnsi="Times New Roman" w:eastAsia="宋体" w:cs="Times New Roman"/>
                      <w:color w:val="auto"/>
                      <w:highlight w:val="none"/>
                      <w:shd w:val="clear" w:color="auto" w:fill="auto"/>
                      <w:lang w:val="en-US" w:eastAsia="zh-CN"/>
                    </w:rPr>
                  </w:pPr>
                  <w:r>
                    <w:rPr>
                      <w:rFonts w:hint="default" w:ascii="Times New Roman" w:hAnsi="Times New Roman" w:eastAsia="宋体" w:cs="Times New Roman"/>
                      <w:color w:val="auto"/>
                      <w:highlight w:val="none"/>
                      <w:shd w:val="clear" w:color="auto" w:fill="auto"/>
                      <w:lang w:val="en-US" w:eastAsia="zh-CN"/>
                    </w:rPr>
                    <w:t>2、项目符合现行的《产业转移指导目录》、《产业结构调整指导目录》以及福建省相关产业政策，不属于淘汰、限制类项目；</w:t>
                  </w:r>
                </w:p>
                <w:p w14:paraId="1634EBB8">
                  <w:pPr>
                    <w:pStyle w:val="132"/>
                    <w:shd w:val="clear" w:color="auto" w:fill="auto"/>
                    <w:bidi w:val="0"/>
                    <w:ind w:firstLine="0" w:firstLineChars="0"/>
                    <w:jc w:val="both"/>
                    <w:rPr>
                      <w:rFonts w:hint="default" w:ascii="Times New Roman" w:hAnsi="Times New Roman" w:eastAsia="宋体" w:cs="Times New Roman"/>
                      <w:color w:val="auto"/>
                      <w:highlight w:val="none"/>
                      <w:shd w:val="clear" w:color="auto" w:fill="auto"/>
                      <w:lang w:val="en-US" w:eastAsia="zh-CN"/>
                    </w:rPr>
                  </w:pPr>
                  <w:r>
                    <w:rPr>
                      <w:rFonts w:hint="default" w:ascii="Times New Roman" w:hAnsi="Times New Roman" w:eastAsia="宋体" w:cs="Times New Roman"/>
                      <w:color w:val="auto"/>
                      <w:highlight w:val="none"/>
                      <w:shd w:val="clear" w:color="auto" w:fill="auto"/>
                      <w:lang w:val="en-US" w:eastAsia="zh-CN"/>
                    </w:rPr>
                    <w:t>3、</w:t>
                  </w:r>
                  <w:r>
                    <w:rPr>
                      <w:rFonts w:hint="eastAsia" w:ascii="Times New Roman" w:hAnsi="Times New Roman" w:eastAsia="宋体" w:cs="Times New Roman"/>
                      <w:color w:val="auto"/>
                      <w:highlight w:val="none"/>
                      <w:shd w:val="clear" w:color="auto" w:fill="auto"/>
                      <w:lang w:val="en-US" w:eastAsia="zh-CN"/>
                    </w:rPr>
                    <w:t>本</w:t>
                  </w:r>
                  <w:r>
                    <w:rPr>
                      <w:rFonts w:hint="default" w:ascii="Times New Roman" w:hAnsi="Times New Roman" w:eastAsia="宋体" w:cs="Times New Roman"/>
                      <w:color w:val="auto"/>
                      <w:highlight w:val="none"/>
                      <w:shd w:val="clear" w:color="auto" w:fill="auto"/>
                      <w:lang w:val="en-US" w:eastAsia="zh-CN"/>
                    </w:rPr>
                    <w:t>项目属于</w:t>
                  </w:r>
                  <w:r>
                    <w:rPr>
                      <w:rFonts w:hint="eastAsia" w:ascii="Times New Roman" w:hAnsi="Times New Roman" w:eastAsia="宋体" w:cs="Times New Roman"/>
                      <w:color w:val="auto"/>
                      <w:highlight w:val="none"/>
                      <w:shd w:val="clear" w:color="auto" w:fill="auto"/>
                      <w:lang w:val="en-US" w:eastAsia="zh-CN"/>
                    </w:rPr>
                    <w:t>建筑材料生产项目</w:t>
                  </w:r>
                  <w:r>
                    <w:rPr>
                      <w:rFonts w:hint="default" w:ascii="Times New Roman" w:hAnsi="Times New Roman" w:eastAsia="宋体" w:cs="Times New Roman"/>
                      <w:color w:val="auto"/>
                      <w:highlight w:val="none"/>
                      <w:shd w:val="clear" w:color="auto" w:fill="auto"/>
                      <w:lang w:val="en-US" w:eastAsia="zh-CN"/>
                    </w:rPr>
                    <w:t>，符合国家产业政策；</w:t>
                  </w:r>
                </w:p>
                <w:p w14:paraId="037F280A">
                  <w:pPr>
                    <w:pStyle w:val="132"/>
                    <w:shd w:val="clear" w:color="auto" w:fill="auto"/>
                    <w:bidi w:val="0"/>
                    <w:ind w:firstLine="0" w:firstLineChars="0"/>
                    <w:jc w:val="both"/>
                    <w:rPr>
                      <w:rFonts w:hint="default" w:ascii="Times New Roman" w:hAnsi="Times New Roman" w:eastAsia="宋体" w:cs="Times New Roman"/>
                      <w:color w:val="auto"/>
                      <w:highlight w:val="none"/>
                      <w:shd w:val="clear" w:color="auto" w:fill="auto"/>
                      <w:lang w:val="en-US" w:eastAsia="zh-CN"/>
                    </w:rPr>
                  </w:pPr>
                  <w:r>
                    <w:rPr>
                      <w:rFonts w:hint="default" w:ascii="Times New Roman" w:hAnsi="Times New Roman" w:eastAsia="宋体" w:cs="Times New Roman"/>
                      <w:color w:val="auto"/>
                      <w:highlight w:val="none"/>
                      <w:shd w:val="clear" w:color="auto" w:fill="auto"/>
                      <w:lang w:val="en-US" w:eastAsia="zh-CN"/>
                    </w:rPr>
                    <w:t>4、项目不属于钢铁冶金、化工企业。</w:t>
                  </w:r>
                </w:p>
              </w:tc>
              <w:tc>
                <w:tcPr>
                  <w:tcW w:w="977" w:type="dxa"/>
                  <w:tcBorders>
                    <w:tl2br w:val="nil"/>
                    <w:tr2bl w:val="nil"/>
                  </w:tcBorders>
                  <w:noWrap w:val="0"/>
                  <w:vAlign w:val="center"/>
                </w:tcPr>
                <w:p w14:paraId="5C973813">
                  <w:pPr>
                    <w:pStyle w:val="132"/>
                    <w:shd w:val="clear" w:color="auto" w:fill="auto"/>
                    <w:bidi w:val="0"/>
                    <w:ind w:firstLine="0" w:firstLineChars="0"/>
                    <w:jc w:val="center"/>
                    <w:rPr>
                      <w:rFonts w:hint="default" w:ascii="Times New Roman" w:hAnsi="Times New Roman" w:eastAsia="宋体" w:cs="Times New Roman"/>
                      <w:color w:val="auto"/>
                      <w:highlight w:val="none"/>
                      <w:shd w:val="clear" w:color="auto" w:fill="auto"/>
                      <w:lang w:val="en-US" w:eastAsia="zh-CN"/>
                    </w:rPr>
                  </w:pPr>
                  <w:r>
                    <w:rPr>
                      <w:rFonts w:hint="default" w:ascii="Times New Roman" w:hAnsi="Times New Roman" w:eastAsia="宋体" w:cs="Times New Roman"/>
                      <w:color w:val="auto"/>
                      <w:highlight w:val="none"/>
                      <w:shd w:val="clear" w:color="auto" w:fill="auto"/>
                      <w:lang w:val="en-US" w:eastAsia="zh-CN"/>
                    </w:rPr>
                    <w:t xml:space="preserve">符合 </w:t>
                  </w:r>
                  <w:r>
                    <w:rPr>
                      <w:rFonts w:hint="default" w:ascii="Times New Roman" w:hAnsi="Times New Roman" w:eastAsia="宋体" w:cs="Times New Roman"/>
                      <w:color w:val="auto"/>
                      <w:highlight w:val="none"/>
                      <w:shd w:val="clear" w:color="auto" w:fill="auto"/>
                      <w:lang w:val="en-US" w:eastAsia="zh-CN"/>
                    </w:rPr>
                    <w:drawing>
                      <wp:inline distT="0" distB="0" distL="114300" distR="114300">
                        <wp:extent cx="5715" cy="223520"/>
                        <wp:effectExtent l="0" t="0" r="13335" b="3175"/>
                        <wp:docPr id="1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4.png"/>
                                <pic:cNvPicPr>
                                  <a:picLocks noChangeAspect="1"/>
                                </pic:cNvPicPr>
                              </pic:nvPicPr>
                              <pic:blipFill>
                                <a:blip r:embed="rId15"/>
                                <a:stretch>
                                  <a:fillRect/>
                                </a:stretch>
                              </pic:blipFill>
                              <pic:spPr>
                                <a:xfrm>
                                  <a:off x="0" y="0"/>
                                  <a:ext cx="5715" cy="223520"/>
                                </a:xfrm>
                                <a:prstGeom prst="rect">
                                  <a:avLst/>
                                </a:prstGeom>
                                <a:noFill/>
                                <a:ln>
                                  <a:noFill/>
                                </a:ln>
                              </pic:spPr>
                            </pic:pic>
                          </a:graphicData>
                        </a:graphic>
                      </wp:inline>
                    </w:drawing>
                  </w:r>
                </w:p>
              </w:tc>
            </w:tr>
            <w:tr w14:paraId="7A7A63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6" w:type="dxa"/>
                  <w:vMerge w:val="restart"/>
                  <w:tcBorders>
                    <w:tl2br w:val="nil"/>
                    <w:tr2bl w:val="nil"/>
                  </w:tcBorders>
                  <w:noWrap w:val="0"/>
                  <w:vAlign w:val="center"/>
                </w:tcPr>
                <w:p w14:paraId="2A1714B3">
                  <w:pPr>
                    <w:pStyle w:val="132"/>
                    <w:shd w:val="clear" w:color="auto" w:fill="auto"/>
                    <w:bidi w:val="0"/>
                    <w:ind w:firstLine="0" w:firstLineChars="0"/>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污染排放管控</w:t>
                  </w:r>
                </w:p>
              </w:tc>
              <w:tc>
                <w:tcPr>
                  <w:tcW w:w="7142" w:type="dxa"/>
                  <w:tcBorders>
                    <w:tl2br w:val="nil"/>
                    <w:tr2bl w:val="nil"/>
                  </w:tcBorders>
                  <w:noWrap w:val="0"/>
                  <w:vAlign w:val="top"/>
                </w:tcPr>
                <w:p w14:paraId="4AA2829C">
                  <w:pPr>
                    <w:pStyle w:val="132"/>
                    <w:shd w:val="clear" w:color="auto" w:fill="auto"/>
                    <w:bidi w:val="0"/>
                    <w:ind w:firstLine="0" w:firstLineChars="0"/>
                    <w:jc w:val="both"/>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1、</w:t>
                  </w:r>
                  <w:r>
                    <w:rPr>
                      <w:rFonts w:hint="default" w:ascii="Times New Roman" w:hAnsi="Times New Roman" w:eastAsia="宋体" w:cs="Times New Roman"/>
                      <w:color w:val="auto"/>
                      <w:highlight w:val="none"/>
                      <w:shd w:val="clear" w:color="auto" w:fill="auto"/>
                      <w:lang w:val="en-US" w:eastAsia="zh-CN"/>
                    </w:rPr>
                    <w:t>新建印染、合成氨建设项目，应实行化学需氧量不低于1.2倍、氨氮不低于1.5倍的削减替代。</w:t>
                  </w:r>
                </w:p>
                <w:p w14:paraId="4CD0FC58">
                  <w:pPr>
                    <w:pStyle w:val="132"/>
                    <w:shd w:val="clear" w:color="auto" w:fill="auto"/>
                    <w:bidi w:val="0"/>
                    <w:ind w:firstLine="0" w:firstLineChars="0"/>
                    <w:jc w:val="both"/>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2、</w:t>
                  </w:r>
                  <w:r>
                    <w:rPr>
                      <w:rFonts w:hint="default" w:ascii="Times New Roman" w:hAnsi="Times New Roman" w:eastAsia="宋体" w:cs="Times New Roman"/>
                      <w:color w:val="auto"/>
                      <w:highlight w:val="none"/>
                      <w:shd w:val="clear" w:color="auto" w:fill="auto"/>
                      <w:lang w:val="en-US" w:eastAsia="zh-CN"/>
                    </w:rPr>
                    <w:t>新建钢铁冶炼项目，应实行二氧化硫不低于1.2倍的削减替代；新建火力发电项目，应实行氮氧化物不低于1.5倍的削减替代。</w:t>
                  </w:r>
                </w:p>
                <w:p w14:paraId="5452A825">
                  <w:pPr>
                    <w:pStyle w:val="132"/>
                    <w:shd w:val="clear" w:color="auto" w:fill="auto"/>
                    <w:bidi w:val="0"/>
                    <w:ind w:firstLine="0" w:firstLineChars="0"/>
                    <w:jc w:val="both"/>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3、</w:t>
                  </w:r>
                  <w:r>
                    <w:rPr>
                      <w:rFonts w:hint="default" w:ascii="Times New Roman" w:hAnsi="Times New Roman" w:eastAsia="宋体" w:cs="Times New Roman"/>
                      <w:color w:val="auto"/>
                      <w:highlight w:val="none"/>
                      <w:shd w:val="clear" w:color="auto" w:fill="auto"/>
                      <w:lang w:val="en-US" w:eastAsia="zh-CN"/>
                    </w:rPr>
                    <w:t>其他未作明确规定的行业新增排放量，实行不低于1倍的削减替代。</w:t>
                  </w:r>
                </w:p>
              </w:tc>
              <w:tc>
                <w:tcPr>
                  <w:tcW w:w="3683" w:type="dxa"/>
                  <w:tcBorders>
                    <w:tl2br w:val="nil"/>
                    <w:tr2bl w:val="nil"/>
                  </w:tcBorders>
                  <w:noWrap w:val="0"/>
                  <w:vAlign w:val="top"/>
                </w:tcPr>
                <w:p w14:paraId="762EC61A">
                  <w:pPr>
                    <w:pStyle w:val="132"/>
                    <w:shd w:val="clear" w:color="auto" w:fill="auto"/>
                    <w:bidi w:val="0"/>
                    <w:ind w:firstLine="0" w:firstLineChars="0"/>
                    <w:jc w:val="both"/>
                    <w:rPr>
                      <w:rFonts w:hint="default" w:ascii="Times New Roman" w:hAnsi="Times New Roman" w:eastAsia="宋体" w:cs="Times New Roman"/>
                      <w:color w:val="auto"/>
                      <w:highlight w:val="none"/>
                      <w:shd w:val="clear" w:color="auto" w:fill="auto"/>
                      <w:lang w:val="en-US" w:eastAsia="zh-CN"/>
                    </w:rPr>
                  </w:pPr>
                  <w:r>
                    <w:rPr>
                      <w:rFonts w:hint="default" w:ascii="Times New Roman" w:hAnsi="Times New Roman" w:eastAsia="宋体" w:cs="Times New Roman"/>
                      <w:color w:val="auto"/>
                      <w:highlight w:val="none"/>
                      <w:shd w:val="clear" w:color="auto" w:fill="auto"/>
                      <w:lang w:val="en-US" w:eastAsia="zh-CN"/>
                    </w:rPr>
                    <w:t>1、项目不属于印染、合成氨建设项目；</w:t>
                  </w:r>
                </w:p>
                <w:p w14:paraId="3DC000F5">
                  <w:pPr>
                    <w:pStyle w:val="132"/>
                    <w:shd w:val="clear" w:color="auto" w:fill="auto"/>
                    <w:bidi w:val="0"/>
                    <w:ind w:firstLine="0" w:firstLineChars="0"/>
                    <w:jc w:val="both"/>
                    <w:rPr>
                      <w:rFonts w:hint="default" w:ascii="Times New Roman" w:hAnsi="Times New Roman" w:eastAsia="宋体" w:cs="Times New Roman"/>
                      <w:color w:val="auto"/>
                      <w:highlight w:val="none"/>
                      <w:shd w:val="clear" w:color="auto" w:fill="auto"/>
                      <w:lang w:val="en-US" w:eastAsia="zh-CN"/>
                    </w:rPr>
                  </w:pPr>
                  <w:r>
                    <w:rPr>
                      <w:rFonts w:hint="default" w:ascii="Times New Roman" w:hAnsi="Times New Roman" w:eastAsia="宋体" w:cs="Times New Roman"/>
                      <w:color w:val="auto"/>
                      <w:highlight w:val="none"/>
                      <w:shd w:val="clear" w:color="auto" w:fill="auto"/>
                      <w:lang w:val="en-US" w:eastAsia="zh-CN"/>
                    </w:rPr>
                    <w:t>2、项目不属于钢铁冶炼项目；</w:t>
                  </w:r>
                </w:p>
                <w:p w14:paraId="6C91DF67">
                  <w:pPr>
                    <w:pStyle w:val="132"/>
                    <w:shd w:val="clear" w:color="auto" w:fill="auto"/>
                    <w:bidi w:val="0"/>
                    <w:ind w:firstLine="0" w:firstLineChars="0"/>
                    <w:jc w:val="both"/>
                    <w:rPr>
                      <w:rFonts w:hint="default" w:ascii="Times New Roman" w:hAnsi="Times New Roman" w:eastAsia="宋体" w:cs="Times New Roman"/>
                      <w:color w:val="auto"/>
                      <w:highlight w:val="none"/>
                      <w:shd w:val="clear" w:color="auto" w:fill="auto"/>
                      <w:lang w:val="en-US" w:eastAsia="zh-CN"/>
                    </w:rPr>
                  </w:pPr>
                  <w:r>
                    <w:rPr>
                      <w:rFonts w:hint="default" w:ascii="Times New Roman" w:hAnsi="Times New Roman" w:eastAsia="宋体" w:cs="Times New Roman"/>
                      <w:color w:val="auto"/>
                      <w:highlight w:val="none"/>
                      <w:shd w:val="clear" w:color="auto" w:fill="auto"/>
                      <w:lang w:val="en-US" w:eastAsia="zh-CN"/>
                    </w:rPr>
                    <w:t>3、项目污染物排放量将根据主管部门要求，实行不低于1倍的削减替代。</w:t>
                  </w:r>
                </w:p>
              </w:tc>
              <w:tc>
                <w:tcPr>
                  <w:tcW w:w="977" w:type="dxa"/>
                  <w:tcBorders>
                    <w:tl2br w:val="nil"/>
                    <w:tr2bl w:val="nil"/>
                  </w:tcBorders>
                  <w:noWrap w:val="0"/>
                  <w:vAlign w:val="center"/>
                </w:tcPr>
                <w:p w14:paraId="1F1BC6FF">
                  <w:pPr>
                    <w:pStyle w:val="132"/>
                    <w:shd w:val="clear" w:color="auto" w:fill="auto"/>
                    <w:bidi w:val="0"/>
                    <w:ind w:firstLine="0" w:firstLineChars="0"/>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符合</w:t>
                  </w:r>
                </w:p>
              </w:tc>
            </w:tr>
            <w:tr w14:paraId="2C3713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6" w:type="dxa"/>
                  <w:vMerge w:val="continue"/>
                  <w:tcBorders>
                    <w:tl2br w:val="nil"/>
                    <w:tr2bl w:val="nil"/>
                  </w:tcBorders>
                  <w:noWrap w:val="0"/>
                  <w:vAlign w:val="center"/>
                </w:tcPr>
                <w:p w14:paraId="5CA42BBB">
                  <w:pPr>
                    <w:pStyle w:val="132"/>
                    <w:shd w:val="clear" w:color="auto" w:fill="auto"/>
                    <w:bidi w:val="0"/>
                    <w:ind w:firstLine="0" w:firstLineChars="0"/>
                    <w:jc w:val="both"/>
                    <w:rPr>
                      <w:rFonts w:hint="default" w:ascii="Times New Roman" w:hAnsi="Times New Roman" w:eastAsia="宋体" w:cs="Times New Roman"/>
                      <w:color w:val="auto"/>
                      <w:highlight w:val="none"/>
                      <w:shd w:val="clear" w:color="auto" w:fill="auto"/>
                      <w:lang w:val="en-US" w:eastAsia="zh-CN"/>
                    </w:rPr>
                  </w:pPr>
                </w:p>
              </w:tc>
              <w:tc>
                <w:tcPr>
                  <w:tcW w:w="7142" w:type="dxa"/>
                  <w:tcBorders>
                    <w:tl2br w:val="nil"/>
                    <w:tr2bl w:val="nil"/>
                  </w:tcBorders>
                  <w:noWrap w:val="0"/>
                  <w:vAlign w:val="top"/>
                </w:tcPr>
                <w:p w14:paraId="187ADDDF">
                  <w:pPr>
                    <w:pStyle w:val="132"/>
                    <w:shd w:val="clear" w:color="auto" w:fill="auto"/>
                    <w:bidi w:val="0"/>
                    <w:ind w:firstLine="0" w:firstLineChars="0"/>
                    <w:jc w:val="both"/>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4、</w:t>
                  </w:r>
                  <w:r>
                    <w:rPr>
                      <w:rFonts w:hint="default" w:ascii="Times New Roman" w:hAnsi="Times New Roman" w:eastAsia="宋体" w:cs="Times New Roman"/>
                      <w:color w:val="auto"/>
                      <w:highlight w:val="none"/>
                      <w:shd w:val="clear" w:color="auto" w:fill="auto"/>
                      <w:lang w:val="en-US" w:eastAsia="zh-CN"/>
                    </w:rPr>
                    <w:t>钢铁行业执行超低排放：烧结机机头、球团烧结烟气颗粒物、二氧化硫、氮氧化物排放浓度小时均值分别不高于10、35、50 mg/m</w:t>
                  </w:r>
                  <w:r>
                    <w:rPr>
                      <w:rFonts w:hint="eastAsia" w:ascii="Times New Roman" w:hAnsi="Times New Roman" w:eastAsia="宋体" w:cs="Times New Roman"/>
                      <w:color w:val="auto"/>
                      <w:highlight w:val="none"/>
                      <w:shd w:val="clear" w:color="auto" w:fill="auto"/>
                      <w:vertAlign w:val="superscript"/>
                      <w:lang w:val="en-US" w:eastAsia="zh-CN"/>
                    </w:rPr>
                    <w:t>3</w:t>
                  </w:r>
                  <w:r>
                    <w:rPr>
                      <w:rFonts w:hint="default" w:ascii="Times New Roman" w:hAnsi="Times New Roman" w:eastAsia="宋体" w:cs="Times New Roman"/>
                      <w:color w:val="auto"/>
                      <w:highlight w:val="none"/>
                      <w:shd w:val="clear" w:color="auto" w:fill="auto"/>
                      <w:lang w:val="en-US" w:eastAsia="zh-CN"/>
                    </w:rPr>
                    <w:t>；其他主要污染源颗粒物、二氧化硫、氮氧化物排放浓度小时均值原则上分别不高于10、50、200 mg/m</w:t>
                  </w:r>
                  <w:r>
                    <w:rPr>
                      <w:rFonts w:hint="default" w:ascii="Times New Roman" w:hAnsi="Times New Roman" w:eastAsia="宋体" w:cs="Times New Roman"/>
                      <w:color w:val="auto"/>
                      <w:highlight w:val="none"/>
                      <w:shd w:val="clear" w:color="auto" w:fill="auto"/>
                      <w:vertAlign w:val="superscript"/>
                      <w:lang w:val="en-US" w:eastAsia="zh-CN"/>
                    </w:rPr>
                    <w:t>3</w:t>
                  </w:r>
                  <w:r>
                    <w:rPr>
                      <w:rFonts w:hint="default" w:ascii="Times New Roman" w:hAnsi="Times New Roman" w:eastAsia="宋体" w:cs="Times New Roman"/>
                      <w:color w:val="auto"/>
                      <w:highlight w:val="none"/>
                      <w:shd w:val="clear" w:color="auto" w:fill="auto"/>
                      <w:lang w:val="en-US" w:eastAsia="zh-CN"/>
                    </w:rPr>
                    <w:t>。</w:t>
                  </w:r>
                </w:p>
                <w:p w14:paraId="5C7AE5F2">
                  <w:pPr>
                    <w:pStyle w:val="132"/>
                    <w:shd w:val="clear" w:color="auto" w:fill="auto"/>
                    <w:bidi w:val="0"/>
                    <w:ind w:firstLine="0" w:firstLineChars="0"/>
                    <w:jc w:val="both"/>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5、</w:t>
                  </w:r>
                  <w:r>
                    <w:rPr>
                      <w:rFonts w:hint="default" w:ascii="Times New Roman" w:hAnsi="Times New Roman" w:eastAsia="宋体" w:cs="Times New Roman"/>
                      <w:color w:val="auto"/>
                      <w:highlight w:val="none"/>
                      <w:shd w:val="clear" w:color="auto" w:fill="auto"/>
                      <w:lang w:val="en-US" w:eastAsia="zh-CN"/>
                    </w:rPr>
                    <w:t>火电行业执行超低排放：烟尘、二氧化硫、氮氧化物排放浓度（基准含氧量 6%）分别不超过5 mg/m</w:t>
                  </w:r>
                  <w:r>
                    <w:rPr>
                      <w:rFonts w:hint="default" w:ascii="Times New Roman" w:hAnsi="Times New Roman" w:eastAsia="宋体" w:cs="Times New Roman"/>
                      <w:color w:val="auto"/>
                      <w:highlight w:val="none"/>
                      <w:shd w:val="clear" w:color="auto" w:fill="auto"/>
                      <w:vertAlign w:val="superscript"/>
                      <w:lang w:val="en-US" w:eastAsia="zh-CN"/>
                    </w:rPr>
                    <w:t>3</w:t>
                  </w:r>
                  <w:r>
                    <w:rPr>
                      <w:rFonts w:hint="default" w:ascii="Times New Roman" w:hAnsi="Times New Roman" w:eastAsia="宋体" w:cs="Times New Roman"/>
                      <w:color w:val="auto"/>
                      <w:highlight w:val="none"/>
                      <w:shd w:val="clear" w:color="auto" w:fill="auto"/>
                      <w:lang w:val="en-US" w:eastAsia="zh-CN"/>
                    </w:rPr>
                    <w:t>、35 mg/m</w:t>
                  </w:r>
                  <w:r>
                    <w:rPr>
                      <w:rFonts w:hint="default" w:ascii="Times New Roman" w:hAnsi="Times New Roman" w:eastAsia="宋体" w:cs="Times New Roman"/>
                      <w:color w:val="auto"/>
                      <w:highlight w:val="none"/>
                      <w:shd w:val="clear" w:color="auto" w:fill="auto"/>
                      <w:vertAlign w:val="superscript"/>
                      <w:lang w:val="en-US" w:eastAsia="zh-CN"/>
                    </w:rPr>
                    <w:t>3</w:t>
                  </w:r>
                  <w:r>
                    <w:rPr>
                      <w:rFonts w:hint="default" w:ascii="Times New Roman" w:hAnsi="Times New Roman" w:eastAsia="宋体" w:cs="Times New Roman"/>
                      <w:color w:val="auto"/>
                      <w:highlight w:val="none"/>
                      <w:shd w:val="clear" w:color="auto" w:fill="auto"/>
                      <w:lang w:val="en-US" w:eastAsia="zh-CN"/>
                    </w:rPr>
                    <w:t>、50 mg/m</w:t>
                  </w:r>
                  <w:r>
                    <w:rPr>
                      <w:rFonts w:hint="default" w:ascii="Times New Roman" w:hAnsi="Times New Roman" w:eastAsia="宋体" w:cs="Times New Roman"/>
                      <w:color w:val="auto"/>
                      <w:highlight w:val="none"/>
                      <w:shd w:val="clear" w:color="auto" w:fill="auto"/>
                      <w:vertAlign w:val="superscript"/>
                      <w:lang w:val="en-US" w:eastAsia="zh-CN"/>
                    </w:rPr>
                    <w:t>3</w:t>
                  </w:r>
                  <w:r>
                    <w:rPr>
                      <w:rFonts w:hint="default" w:ascii="Times New Roman" w:hAnsi="Times New Roman" w:eastAsia="宋体" w:cs="Times New Roman"/>
                      <w:color w:val="auto"/>
                      <w:highlight w:val="none"/>
                      <w:shd w:val="clear" w:color="auto" w:fill="auto"/>
                      <w:lang w:val="en-US" w:eastAsia="zh-CN"/>
                    </w:rPr>
                    <w:t>。</w:t>
                  </w:r>
                </w:p>
              </w:tc>
              <w:tc>
                <w:tcPr>
                  <w:tcW w:w="3683" w:type="dxa"/>
                  <w:tcBorders>
                    <w:tl2br w:val="nil"/>
                    <w:tr2bl w:val="nil"/>
                  </w:tcBorders>
                  <w:noWrap w:val="0"/>
                  <w:vAlign w:val="top"/>
                </w:tcPr>
                <w:p w14:paraId="67D5BC33">
                  <w:pPr>
                    <w:pStyle w:val="132"/>
                    <w:shd w:val="clear" w:color="auto" w:fill="auto"/>
                    <w:bidi w:val="0"/>
                    <w:ind w:firstLine="0" w:firstLineChars="0"/>
                    <w:jc w:val="center"/>
                    <w:rPr>
                      <w:rFonts w:hint="default" w:ascii="Times New Roman" w:hAnsi="Times New Roman" w:eastAsia="宋体" w:cs="Times New Roman"/>
                      <w:color w:val="auto"/>
                      <w:highlight w:val="none"/>
                      <w:shd w:val="clear" w:color="auto" w:fill="auto"/>
                      <w:lang w:val="en-US" w:eastAsia="zh-CN"/>
                    </w:rPr>
                  </w:pPr>
                </w:p>
                <w:p w14:paraId="56CE95ED">
                  <w:pPr>
                    <w:pStyle w:val="132"/>
                    <w:shd w:val="clear" w:color="auto" w:fill="auto"/>
                    <w:bidi w:val="0"/>
                    <w:ind w:firstLine="0" w:firstLineChars="0"/>
                    <w:jc w:val="center"/>
                    <w:rPr>
                      <w:rFonts w:hint="default" w:ascii="Times New Roman" w:hAnsi="Times New Roman" w:eastAsia="宋体" w:cs="Times New Roman"/>
                      <w:color w:val="auto"/>
                      <w:highlight w:val="none"/>
                      <w:shd w:val="clear" w:color="auto" w:fill="auto"/>
                      <w:lang w:val="en-US" w:eastAsia="zh-CN"/>
                    </w:rPr>
                  </w:pPr>
                </w:p>
                <w:p w14:paraId="2E2927B9">
                  <w:pPr>
                    <w:pStyle w:val="132"/>
                    <w:shd w:val="clear" w:color="auto" w:fill="auto"/>
                    <w:bidi w:val="0"/>
                    <w:ind w:firstLine="0" w:firstLineChars="0"/>
                    <w:jc w:val="center"/>
                    <w:rPr>
                      <w:rFonts w:hint="default" w:ascii="Times New Roman" w:hAnsi="Times New Roman" w:eastAsia="宋体" w:cs="Times New Roman"/>
                      <w:color w:val="auto"/>
                      <w:highlight w:val="none"/>
                      <w:shd w:val="clear" w:color="auto" w:fill="auto"/>
                      <w:lang w:val="en-US" w:eastAsia="zh-CN"/>
                    </w:rPr>
                  </w:pPr>
                </w:p>
                <w:p w14:paraId="3BA37F39">
                  <w:pPr>
                    <w:pStyle w:val="132"/>
                    <w:shd w:val="clear" w:color="auto" w:fill="auto"/>
                    <w:bidi w:val="0"/>
                    <w:ind w:firstLine="0" w:firstLineChars="0"/>
                    <w:jc w:val="center"/>
                    <w:rPr>
                      <w:rFonts w:hint="default" w:ascii="Times New Roman" w:hAnsi="Times New Roman" w:eastAsia="宋体" w:cs="Times New Roman"/>
                      <w:color w:val="auto"/>
                      <w:highlight w:val="none"/>
                      <w:shd w:val="clear" w:color="auto" w:fill="auto"/>
                      <w:lang w:val="en-US" w:eastAsia="zh-CN"/>
                    </w:rPr>
                  </w:pPr>
                  <w:r>
                    <w:rPr>
                      <w:rFonts w:hint="default" w:ascii="Times New Roman" w:hAnsi="Times New Roman" w:eastAsia="宋体" w:cs="Times New Roman"/>
                      <w:color w:val="auto"/>
                      <w:highlight w:val="none"/>
                      <w:shd w:val="clear" w:color="auto" w:fill="auto"/>
                      <w:lang w:val="en-US" w:eastAsia="zh-CN"/>
                    </w:rPr>
                    <w:t>项目</w:t>
                  </w:r>
                  <w:r>
                    <w:rPr>
                      <w:rFonts w:hint="eastAsia" w:ascii="Times New Roman" w:hAnsi="Times New Roman" w:eastAsia="宋体" w:cs="Times New Roman"/>
                      <w:color w:val="auto"/>
                      <w:highlight w:val="none"/>
                      <w:shd w:val="clear" w:color="auto" w:fill="auto"/>
                      <w:lang w:val="en-US" w:eastAsia="zh-CN"/>
                    </w:rPr>
                    <w:t>不属于</w:t>
                  </w:r>
                  <w:r>
                    <w:rPr>
                      <w:rFonts w:hint="default" w:ascii="Times New Roman" w:hAnsi="Times New Roman" w:eastAsia="宋体" w:cs="Times New Roman"/>
                      <w:color w:val="auto"/>
                      <w:highlight w:val="none"/>
                      <w:shd w:val="clear" w:color="auto" w:fill="auto"/>
                      <w:lang w:val="en-US" w:eastAsia="zh-CN"/>
                    </w:rPr>
                    <w:t>钢铁行业</w:t>
                  </w:r>
                  <w:r>
                    <w:rPr>
                      <w:rFonts w:hint="eastAsia" w:ascii="Times New Roman" w:hAnsi="Times New Roman" w:eastAsia="宋体" w:cs="Times New Roman"/>
                      <w:color w:val="auto"/>
                      <w:highlight w:val="none"/>
                      <w:shd w:val="clear" w:color="auto" w:fill="auto"/>
                      <w:lang w:val="en-US" w:eastAsia="zh-CN"/>
                    </w:rPr>
                    <w:t>和</w:t>
                  </w:r>
                  <w:r>
                    <w:rPr>
                      <w:rFonts w:hint="default" w:ascii="Times New Roman" w:hAnsi="Times New Roman" w:eastAsia="宋体" w:cs="Times New Roman"/>
                      <w:color w:val="auto"/>
                      <w:highlight w:val="none"/>
                      <w:shd w:val="clear" w:color="auto" w:fill="auto"/>
                      <w:lang w:val="en-US" w:eastAsia="zh-CN"/>
                    </w:rPr>
                    <w:t>火电行业。</w:t>
                  </w:r>
                </w:p>
              </w:tc>
              <w:tc>
                <w:tcPr>
                  <w:tcW w:w="977" w:type="dxa"/>
                  <w:tcBorders>
                    <w:tl2br w:val="nil"/>
                    <w:tr2bl w:val="nil"/>
                  </w:tcBorders>
                  <w:noWrap w:val="0"/>
                  <w:vAlign w:val="center"/>
                </w:tcPr>
                <w:p w14:paraId="0A1DAA3F">
                  <w:pPr>
                    <w:pStyle w:val="132"/>
                    <w:shd w:val="clear" w:color="auto" w:fill="auto"/>
                    <w:bidi w:val="0"/>
                    <w:ind w:firstLine="0" w:firstLineChars="0"/>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符合</w:t>
                  </w:r>
                </w:p>
              </w:tc>
            </w:tr>
            <w:tr w14:paraId="1C6ECD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6" w:type="dxa"/>
                  <w:vMerge w:val="continue"/>
                  <w:tcBorders>
                    <w:tl2br w:val="nil"/>
                    <w:tr2bl w:val="nil"/>
                  </w:tcBorders>
                  <w:noWrap w:val="0"/>
                  <w:vAlign w:val="center"/>
                </w:tcPr>
                <w:p w14:paraId="56EEA077">
                  <w:pPr>
                    <w:pStyle w:val="132"/>
                    <w:shd w:val="clear" w:color="auto" w:fill="auto"/>
                    <w:bidi w:val="0"/>
                    <w:ind w:firstLine="0" w:firstLineChars="0"/>
                    <w:jc w:val="both"/>
                    <w:rPr>
                      <w:rFonts w:hint="default" w:ascii="Times New Roman" w:hAnsi="Times New Roman" w:eastAsia="宋体" w:cs="Times New Roman"/>
                      <w:color w:val="auto"/>
                      <w:highlight w:val="none"/>
                      <w:shd w:val="clear" w:color="auto" w:fill="auto"/>
                      <w:lang w:val="en-US" w:eastAsia="zh-CN"/>
                    </w:rPr>
                  </w:pPr>
                </w:p>
              </w:tc>
              <w:tc>
                <w:tcPr>
                  <w:tcW w:w="7142" w:type="dxa"/>
                  <w:tcBorders>
                    <w:tl2br w:val="nil"/>
                    <w:tr2bl w:val="nil"/>
                  </w:tcBorders>
                  <w:noWrap w:val="0"/>
                  <w:vAlign w:val="top"/>
                </w:tcPr>
                <w:p w14:paraId="5EAC7F30">
                  <w:pPr>
                    <w:pStyle w:val="132"/>
                    <w:shd w:val="clear" w:color="auto" w:fill="auto"/>
                    <w:bidi w:val="0"/>
                    <w:ind w:firstLine="0" w:firstLineChars="0"/>
                    <w:jc w:val="both"/>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6、</w:t>
                  </w:r>
                  <w:r>
                    <w:rPr>
                      <w:rFonts w:hint="default" w:ascii="Times New Roman" w:hAnsi="Times New Roman" w:eastAsia="宋体" w:cs="Times New Roman"/>
                      <w:color w:val="auto"/>
                      <w:highlight w:val="none"/>
                      <w:shd w:val="clear" w:color="auto" w:fill="auto"/>
                      <w:lang w:val="en-US" w:eastAsia="zh-CN"/>
                    </w:rPr>
                    <w:t>污水处理厂尾水执行《城镇污水处理厂污染物排放标准》中一级A标准乃至更严格的标准要求。</w:t>
                  </w:r>
                </w:p>
                <w:p w14:paraId="5E05A25E">
                  <w:pPr>
                    <w:pStyle w:val="132"/>
                    <w:shd w:val="clear" w:color="auto" w:fill="auto"/>
                    <w:bidi w:val="0"/>
                    <w:ind w:firstLine="0" w:firstLineChars="0"/>
                    <w:jc w:val="both"/>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7、</w:t>
                  </w:r>
                  <w:r>
                    <w:rPr>
                      <w:rFonts w:hint="default" w:ascii="Times New Roman" w:hAnsi="Times New Roman" w:eastAsia="宋体" w:cs="Times New Roman"/>
                      <w:color w:val="auto"/>
                      <w:highlight w:val="none"/>
                      <w:shd w:val="clear" w:color="auto" w:fill="auto"/>
                      <w:lang w:val="en-US" w:eastAsia="zh-CN"/>
                    </w:rPr>
                    <w:t>金港污水处理厂和牛坑湾污水处理厂尾水排放口应设置在将军帽深海排放。</w:t>
                  </w:r>
                </w:p>
                <w:p w14:paraId="252966F5">
                  <w:pPr>
                    <w:pStyle w:val="132"/>
                    <w:shd w:val="clear" w:color="auto" w:fill="auto"/>
                    <w:bidi w:val="0"/>
                    <w:ind w:firstLine="0" w:firstLineChars="0"/>
                    <w:jc w:val="both"/>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8、</w:t>
                  </w:r>
                  <w:r>
                    <w:rPr>
                      <w:rFonts w:hint="default" w:ascii="Times New Roman" w:hAnsi="Times New Roman" w:eastAsia="宋体" w:cs="Times New Roman"/>
                      <w:color w:val="auto"/>
                      <w:highlight w:val="none"/>
                      <w:shd w:val="clear" w:color="auto" w:fill="auto"/>
                      <w:lang w:val="en-US" w:eastAsia="zh-CN"/>
                    </w:rPr>
                    <w:t>加快完成可门污水处理厂湾外排海工程，在湾外排海工程建成前，不得新建投产化工、印染及其他产生工业废水排放的建设项目。</w:t>
                  </w:r>
                </w:p>
              </w:tc>
              <w:tc>
                <w:tcPr>
                  <w:tcW w:w="3683" w:type="dxa"/>
                  <w:tcBorders>
                    <w:tl2br w:val="nil"/>
                    <w:tr2bl w:val="nil"/>
                  </w:tcBorders>
                  <w:noWrap w:val="0"/>
                  <w:vAlign w:val="center"/>
                </w:tcPr>
                <w:p w14:paraId="13D3ADAD">
                  <w:pPr>
                    <w:pStyle w:val="132"/>
                    <w:shd w:val="clear" w:color="auto" w:fill="auto"/>
                    <w:bidi w:val="0"/>
                    <w:ind w:firstLine="0" w:firstLineChars="0"/>
                    <w:jc w:val="center"/>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本项目</w:t>
                  </w:r>
                  <w:r>
                    <w:rPr>
                      <w:rFonts w:hint="eastAsia" w:ascii="Times New Roman" w:hAnsi="Times New Roman" w:eastAsia="宋体" w:cs="Times New Roman"/>
                      <w:iCs/>
                      <w:color w:val="auto"/>
                      <w:kern w:val="0"/>
                      <w:sz w:val="21"/>
                      <w:szCs w:val="21"/>
                      <w:highlight w:val="none"/>
                      <w:lang w:val="en-US" w:eastAsia="zh-CN"/>
                    </w:rPr>
                    <w:t>食堂废水经隔油池预处理后与</w:t>
                  </w:r>
                  <w:r>
                    <w:rPr>
                      <w:rFonts w:hint="eastAsia" w:ascii="Times New Roman" w:hAnsi="Times New Roman" w:eastAsia="宋体" w:cs="Times New Roman"/>
                      <w:iCs/>
                      <w:color w:val="auto"/>
                      <w:kern w:val="0"/>
                      <w:sz w:val="21"/>
                      <w:szCs w:val="21"/>
                      <w:highlight w:val="none"/>
                    </w:rPr>
                    <w:t>生活废水一起经</w:t>
                  </w:r>
                  <w:r>
                    <w:rPr>
                      <w:rFonts w:hint="eastAsia" w:ascii="Times New Roman" w:hAnsi="Times New Roman" w:eastAsia="宋体" w:cs="Times New Roman"/>
                      <w:iCs/>
                      <w:color w:val="auto"/>
                      <w:kern w:val="0"/>
                      <w:sz w:val="21"/>
                      <w:szCs w:val="21"/>
                      <w:highlight w:val="none"/>
                      <w:lang w:val="en-US" w:eastAsia="zh-CN"/>
                    </w:rPr>
                    <w:t>厂区</w:t>
                  </w:r>
                  <w:r>
                    <w:rPr>
                      <w:rFonts w:hint="eastAsia" w:ascii="Times New Roman" w:hAnsi="Times New Roman" w:eastAsia="宋体" w:cs="Times New Roman"/>
                      <w:iCs/>
                      <w:color w:val="auto"/>
                      <w:kern w:val="0"/>
                      <w:sz w:val="21"/>
                      <w:szCs w:val="21"/>
                      <w:highlight w:val="none"/>
                    </w:rPr>
                    <w:t>化粪池处理达</w:t>
                  </w:r>
                  <w:r>
                    <w:rPr>
                      <w:rFonts w:hint="eastAsia" w:ascii="Times New Roman" w:hAnsi="Times New Roman" w:eastAsia="宋体" w:cs="Times New Roman"/>
                      <w:iCs/>
                      <w:color w:val="auto"/>
                      <w:kern w:val="0"/>
                      <w:sz w:val="21"/>
                      <w:szCs w:val="21"/>
                      <w:highlight w:val="none"/>
                      <w:lang w:val="en-US" w:eastAsia="zh-CN"/>
                    </w:rPr>
                    <w:t>标</w:t>
                  </w:r>
                  <w:r>
                    <w:rPr>
                      <w:rFonts w:hint="eastAsia" w:ascii="Times New Roman" w:hAnsi="Times New Roman" w:eastAsia="宋体" w:cs="Times New Roman"/>
                      <w:iCs/>
                      <w:color w:val="auto"/>
                      <w:kern w:val="0"/>
                      <w:sz w:val="21"/>
                      <w:szCs w:val="21"/>
                      <w:highlight w:val="none"/>
                    </w:rPr>
                    <w:t>后排入市政污水管网。</w:t>
                  </w:r>
                </w:p>
              </w:tc>
              <w:tc>
                <w:tcPr>
                  <w:tcW w:w="977" w:type="dxa"/>
                  <w:tcBorders>
                    <w:tl2br w:val="nil"/>
                    <w:tr2bl w:val="nil"/>
                  </w:tcBorders>
                  <w:noWrap w:val="0"/>
                  <w:vAlign w:val="center"/>
                </w:tcPr>
                <w:p w14:paraId="5A56386A">
                  <w:pPr>
                    <w:pStyle w:val="132"/>
                    <w:shd w:val="clear" w:color="auto" w:fill="auto"/>
                    <w:bidi w:val="0"/>
                    <w:ind w:firstLine="0" w:firstLineChars="0"/>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符合</w:t>
                  </w:r>
                </w:p>
              </w:tc>
            </w:tr>
            <w:tr w14:paraId="03CA1B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6" w:type="dxa"/>
                  <w:tcBorders>
                    <w:tl2br w:val="nil"/>
                    <w:tr2bl w:val="nil"/>
                  </w:tcBorders>
                  <w:noWrap w:val="0"/>
                  <w:vAlign w:val="center"/>
                </w:tcPr>
                <w:p w14:paraId="510C8770">
                  <w:pPr>
                    <w:pStyle w:val="132"/>
                    <w:shd w:val="clear" w:color="auto" w:fill="auto"/>
                    <w:bidi w:val="0"/>
                    <w:ind w:firstLine="0" w:firstLineChars="0"/>
                    <w:jc w:val="center"/>
                    <w:rPr>
                      <w:rFonts w:hint="default" w:ascii="Times New Roman" w:hAnsi="Times New Roman" w:eastAsia="宋体" w:cs="Times New Roman"/>
                      <w:color w:val="auto"/>
                      <w:highlight w:val="none"/>
                      <w:shd w:val="clear" w:color="auto" w:fill="auto"/>
                      <w:lang w:val="en-US" w:eastAsia="zh-CN"/>
                    </w:rPr>
                  </w:pPr>
                  <w:r>
                    <w:rPr>
                      <w:rFonts w:hint="default" w:ascii="Times New Roman" w:hAnsi="Times New Roman" w:eastAsia="宋体" w:cs="Times New Roman"/>
                      <w:color w:val="auto"/>
                      <w:highlight w:val="none"/>
                      <w:shd w:val="clear" w:color="auto" w:fill="auto"/>
                      <w:lang w:val="en-US" w:eastAsia="zh-CN"/>
                    </w:rPr>
                    <w:t>环境风险防控</w:t>
                  </w:r>
                </w:p>
              </w:tc>
              <w:tc>
                <w:tcPr>
                  <w:tcW w:w="7142" w:type="dxa"/>
                  <w:tcBorders>
                    <w:tl2br w:val="nil"/>
                    <w:tr2bl w:val="nil"/>
                  </w:tcBorders>
                  <w:noWrap w:val="0"/>
                  <w:vAlign w:val="center"/>
                </w:tcPr>
                <w:p w14:paraId="7BCAB336">
                  <w:pPr>
                    <w:pStyle w:val="132"/>
                    <w:shd w:val="clear" w:color="auto" w:fill="auto"/>
                    <w:bidi w:val="0"/>
                    <w:ind w:firstLine="0" w:firstLineChars="0"/>
                    <w:jc w:val="both"/>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1、</w:t>
                  </w:r>
                  <w:r>
                    <w:rPr>
                      <w:rFonts w:hint="default" w:ascii="Times New Roman" w:hAnsi="Times New Roman" w:eastAsia="宋体" w:cs="Times New Roman"/>
                      <w:color w:val="auto"/>
                      <w:highlight w:val="none"/>
                      <w:shd w:val="clear" w:color="auto" w:fill="auto"/>
                      <w:lang w:val="en-US" w:eastAsia="zh-CN"/>
                    </w:rPr>
                    <w:t>建设涉及有毒有害物质的生产装置、储罐和管道，或者建设污水处理池、应急池、固体废物处置设施等存在土壤污染风险的设施，应当按照国家有关标准和规范的要求，设计、建设和安装有关防腐蚀、防泄漏设施和泄漏监测装置，防止有毒有害物质污染土壤和地下水。</w:t>
                  </w:r>
                </w:p>
                <w:p w14:paraId="56DC6CAE">
                  <w:pPr>
                    <w:pStyle w:val="132"/>
                    <w:shd w:val="clear" w:color="auto" w:fill="auto"/>
                    <w:bidi w:val="0"/>
                    <w:ind w:firstLine="0" w:firstLineChars="0"/>
                    <w:jc w:val="both"/>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2、</w:t>
                  </w:r>
                  <w:r>
                    <w:rPr>
                      <w:rFonts w:hint="default" w:ascii="Times New Roman" w:hAnsi="Times New Roman" w:eastAsia="宋体" w:cs="Times New Roman"/>
                      <w:color w:val="auto"/>
                      <w:highlight w:val="none"/>
                      <w:shd w:val="clear" w:color="auto" w:fill="auto"/>
                      <w:lang w:val="en-US" w:eastAsia="zh-CN"/>
                    </w:rPr>
                    <w:t>在各企业设置环境风险事故应急池的基地上，大官坂化工园区应健全环境风险防控工程，建设公共环境应急池系统，完善事故废水导流措施，建设功率足够的双向动力提升设施，形成企业应急池、企业间应急池共用和园区公共应急池三级应急池体系，提升园区应对环境风险能力。</w:t>
                  </w:r>
                </w:p>
                <w:p w14:paraId="4093500D">
                  <w:pPr>
                    <w:pStyle w:val="132"/>
                    <w:shd w:val="clear" w:color="auto" w:fill="auto"/>
                    <w:bidi w:val="0"/>
                    <w:ind w:firstLine="0" w:firstLineChars="0"/>
                    <w:jc w:val="both"/>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3、</w:t>
                  </w:r>
                  <w:r>
                    <w:rPr>
                      <w:rFonts w:hint="default" w:ascii="Times New Roman" w:hAnsi="Times New Roman" w:eastAsia="宋体" w:cs="Times New Roman"/>
                      <w:color w:val="auto"/>
                      <w:highlight w:val="none"/>
                      <w:shd w:val="clear" w:color="auto" w:fill="auto"/>
                      <w:lang w:val="en-US" w:eastAsia="zh-CN"/>
                    </w:rPr>
                    <w:t>加强区域应急物资储备与调配管理，构建区域环境风险联控机制，全面提升区域环境风险防控和应急响应能力。</w:t>
                  </w:r>
                </w:p>
                <w:p w14:paraId="30658BD7">
                  <w:pPr>
                    <w:pStyle w:val="132"/>
                    <w:shd w:val="clear" w:color="auto" w:fill="auto"/>
                    <w:bidi w:val="0"/>
                    <w:ind w:firstLine="0" w:firstLineChars="0"/>
                    <w:jc w:val="both"/>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4、</w:t>
                  </w:r>
                  <w:r>
                    <w:rPr>
                      <w:rFonts w:hint="default" w:ascii="Times New Roman" w:hAnsi="Times New Roman" w:eastAsia="宋体" w:cs="Times New Roman"/>
                      <w:color w:val="auto"/>
                      <w:highlight w:val="none"/>
                      <w:shd w:val="clear" w:color="auto" w:fill="auto"/>
                      <w:lang w:val="en-US" w:eastAsia="zh-CN"/>
                    </w:rPr>
                    <w:t>建立污染天气、重点断面监测预警系统，建立市、县联动应急响应体系，实行联防联控。</w:t>
                  </w:r>
                </w:p>
              </w:tc>
              <w:tc>
                <w:tcPr>
                  <w:tcW w:w="3683" w:type="dxa"/>
                  <w:tcBorders>
                    <w:tl2br w:val="nil"/>
                    <w:tr2bl w:val="nil"/>
                  </w:tcBorders>
                  <w:noWrap w:val="0"/>
                  <w:vAlign w:val="center"/>
                </w:tcPr>
                <w:p w14:paraId="74BAA63C">
                  <w:pPr>
                    <w:pStyle w:val="132"/>
                    <w:shd w:val="clear" w:color="auto" w:fill="auto"/>
                    <w:bidi w:val="0"/>
                    <w:ind w:firstLine="0" w:firstLineChars="0"/>
                    <w:jc w:val="both"/>
                    <w:rPr>
                      <w:rFonts w:hint="default" w:ascii="Times New Roman" w:hAnsi="Times New Roman" w:eastAsia="宋体" w:cs="Times New Roman"/>
                      <w:color w:val="auto"/>
                      <w:highlight w:val="none"/>
                      <w:shd w:val="clear" w:color="auto" w:fill="auto"/>
                      <w:lang w:val="en-US" w:eastAsia="zh-CN"/>
                    </w:rPr>
                  </w:pPr>
                  <w:r>
                    <w:rPr>
                      <w:rFonts w:hint="default" w:ascii="Times New Roman" w:hAnsi="Times New Roman" w:eastAsia="宋体" w:cs="Times New Roman"/>
                      <w:color w:val="auto"/>
                      <w:highlight w:val="none"/>
                      <w:shd w:val="clear" w:color="auto" w:fill="auto"/>
                      <w:lang w:val="en-US" w:eastAsia="zh-CN"/>
                    </w:rPr>
                    <w:t>1、项目将按规范设置危废</w:t>
                  </w:r>
                  <w:r>
                    <w:rPr>
                      <w:rFonts w:hint="eastAsia" w:ascii="Times New Roman" w:hAnsi="Times New Roman" w:cs="Times New Roman"/>
                      <w:color w:val="auto"/>
                      <w:highlight w:val="none"/>
                      <w:shd w:val="clear" w:color="auto" w:fill="auto"/>
                      <w:lang w:val="en-US" w:eastAsia="zh-CN"/>
                    </w:rPr>
                    <w:t>贮存间</w:t>
                  </w:r>
                  <w:r>
                    <w:rPr>
                      <w:rFonts w:hint="default" w:ascii="Times New Roman" w:hAnsi="Times New Roman" w:eastAsia="宋体" w:cs="Times New Roman"/>
                      <w:color w:val="auto"/>
                      <w:highlight w:val="none"/>
                      <w:shd w:val="clear" w:color="auto" w:fill="auto"/>
                      <w:lang w:val="en-US" w:eastAsia="zh-CN"/>
                    </w:rPr>
                    <w:t>。</w:t>
                  </w:r>
                </w:p>
                <w:p w14:paraId="3390BDC3">
                  <w:pPr>
                    <w:pStyle w:val="132"/>
                    <w:shd w:val="clear" w:color="auto" w:fill="auto"/>
                    <w:bidi w:val="0"/>
                    <w:ind w:firstLine="0" w:firstLineChars="0"/>
                    <w:jc w:val="both"/>
                    <w:rPr>
                      <w:rFonts w:hint="default" w:ascii="Times New Roman" w:hAnsi="Times New Roman" w:eastAsia="宋体" w:cs="Times New Roman"/>
                      <w:color w:val="auto"/>
                      <w:highlight w:val="none"/>
                      <w:shd w:val="clear" w:color="auto" w:fill="auto"/>
                      <w:lang w:val="en-US" w:eastAsia="zh-CN"/>
                    </w:rPr>
                  </w:pPr>
                  <w:r>
                    <w:rPr>
                      <w:rFonts w:hint="default" w:ascii="Times New Roman" w:hAnsi="Times New Roman" w:eastAsia="宋体" w:cs="Times New Roman"/>
                      <w:color w:val="auto"/>
                      <w:highlight w:val="none"/>
                      <w:shd w:val="clear" w:color="auto" w:fill="auto"/>
                      <w:lang w:val="en-US" w:eastAsia="zh-CN"/>
                    </w:rPr>
                    <w:t>2、项目</w:t>
                  </w:r>
                  <w:r>
                    <w:rPr>
                      <w:rFonts w:hint="eastAsia" w:ascii="Times New Roman" w:hAnsi="Times New Roman" w:eastAsia="宋体" w:cs="Times New Roman"/>
                      <w:color w:val="auto"/>
                      <w:highlight w:val="none"/>
                      <w:shd w:val="clear" w:color="auto" w:fill="auto"/>
                      <w:lang w:val="en-US" w:eastAsia="zh-CN"/>
                    </w:rPr>
                    <w:t>后续将建设</w:t>
                  </w:r>
                  <w:r>
                    <w:rPr>
                      <w:rFonts w:hint="default" w:ascii="Times New Roman" w:hAnsi="Times New Roman" w:eastAsia="宋体" w:cs="Times New Roman"/>
                      <w:color w:val="auto"/>
                      <w:highlight w:val="none"/>
                      <w:shd w:val="clear" w:color="auto" w:fill="auto"/>
                      <w:lang w:val="en-US" w:eastAsia="zh-CN"/>
                    </w:rPr>
                    <w:t>事故应急池。</w:t>
                  </w:r>
                </w:p>
                <w:p w14:paraId="4E92E92D">
                  <w:pPr>
                    <w:pStyle w:val="132"/>
                    <w:shd w:val="clear" w:color="auto" w:fill="auto"/>
                    <w:bidi w:val="0"/>
                    <w:ind w:firstLine="0" w:firstLineChars="0"/>
                    <w:jc w:val="both"/>
                    <w:rPr>
                      <w:rFonts w:hint="default" w:ascii="Times New Roman" w:hAnsi="Times New Roman" w:eastAsia="宋体" w:cs="Times New Roman"/>
                      <w:color w:val="auto"/>
                      <w:highlight w:val="none"/>
                      <w:shd w:val="clear" w:color="auto" w:fill="auto"/>
                      <w:lang w:val="en-US" w:eastAsia="zh-CN"/>
                    </w:rPr>
                  </w:pPr>
                  <w:r>
                    <w:rPr>
                      <w:rFonts w:hint="default" w:ascii="Times New Roman" w:hAnsi="Times New Roman" w:eastAsia="宋体" w:cs="Times New Roman"/>
                      <w:color w:val="auto"/>
                      <w:highlight w:val="none"/>
                      <w:shd w:val="clear" w:color="auto" w:fill="auto"/>
                      <w:lang w:val="en-US" w:eastAsia="zh-CN"/>
                    </w:rPr>
                    <w:t>3、项目建成后将加强与园区、周边企业的应急联动；</w:t>
                  </w:r>
                </w:p>
                <w:p w14:paraId="19448269">
                  <w:pPr>
                    <w:pStyle w:val="132"/>
                    <w:shd w:val="clear" w:color="auto" w:fill="auto"/>
                    <w:bidi w:val="0"/>
                    <w:ind w:firstLine="0" w:firstLineChars="0"/>
                    <w:jc w:val="both"/>
                    <w:rPr>
                      <w:rFonts w:hint="default" w:ascii="Times New Roman" w:hAnsi="Times New Roman" w:eastAsia="宋体" w:cs="Times New Roman"/>
                      <w:color w:val="auto"/>
                      <w:highlight w:val="none"/>
                      <w:shd w:val="clear" w:color="auto" w:fill="auto"/>
                      <w:lang w:val="en-US" w:eastAsia="zh-CN"/>
                    </w:rPr>
                  </w:pPr>
                  <w:r>
                    <w:rPr>
                      <w:rFonts w:hint="default" w:ascii="Times New Roman" w:hAnsi="Times New Roman" w:eastAsia="宋体" w:cs="Times New Roman"/>
                      <w:color w:val="auto"/>
                      <w:highlight w:val="none"/>
                      <w:shd w:val="clear" w:color="auto" w:fill="auto"/>
                      <w:lang w:val="en-US" w:eastAsia="zh-CN"/>
                    </w:rPr>
                    <w:t>4、项目建成后将实行联防联控。</w:t>
                  </w:r>
                </w:p>
              </w:tc>
              <w:tc>
                <w:tcPr>
                  <w:tcW w:w="977" w:type="dxa"/>
                  <w:tcBorders>
                    <w:tl2br w:val="nil"/>
                    <w:tr2bl w:val="nil"/>
                  </w:tcBorders>
                  <w:noWrap w:val="0"/>
                  <w:vAlign w:val="center"/>
                </w:tcPr>
                <w:p w14:paraId="65CA59D0">
                  <w:pPr>
                    <w:pStyle w:val="132"/>
                    <w:shd w:val="clear" w:color="auto" w:fill="auto"/>
                    <w:bidi w:val="0"/>
                    <w:ind w:firstLine="0" w:firstLineChars="0"/>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符合</w:t>
                  </w:r>
                </w:p>
              </w:tc>
            </w:tr>
            <w:tr w14:paraId="1179FA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6" w:type="dxa"/>
                  <w:vMerge w:val="restart"/>
                  <w:tcBorders>
                    <w:tl2br w:val="nil"/>
                    <w:tr2bl w:val="nil"/>
                  </w:tcBorders>
                  <w:noWrap w:val="0"/>
                  <w:vAlign w:val="center"/>
                </w:tcPr>
                <w:p w14:paraId="5FAF72FA">
                  <w:pPr>
                    <w:pStyle w:val="132"/>
                    <w:shd w:val="clear" w:color="auto" w:fill="auto"/>
                    <w:bidi w:val="0"/>
                    <w:ind w:firstLine="0" w:firstLineChars="0"/>
                    <w:jc w:val="center"/>
                    <w:rPr>
                      <w:rFonts w:hint="default" w:ascii="Times New Roman" w:hAnsi="Times New Roman" w:eastAsia="宋体" w:cs="Times New Roman"/>
                      <w:color w:val="auto"/>
                      <w:highlight w:val="none"/>
                      <w:shd w:val="clear" w:color="auto" w:fill="auto"/>
                      <w:lang w:val="en-US" w:eastAsia="zh-CN"/>
                    </w:rPr>
                  </w:pPr>
                  <w:r>
                    <w:rPr>
                      <w:rFonts w:hint="default" w:ascii="Times New Roman" w:hAnsi="Times New Roman" w:eastAsia="宋体" w:cs="Times New Roman"/>
                      <w:color w:val="auto"/>
                      <w:highlight w:val="none"/>
                      <w:shd w:val="clear" w:color="auto" w:fill="auto"/>
                      <w:lang w:val="en-US" w:eastAsia="zh-CN"/>
                    </w:rPr>
                    <w:t>资源开发利用</w:t>
                  </w:r>
                </w:p>
              </w:tc>
              <w:tc>
                <w:tcPr>
                  <w:tcW w:w="7142" w:type="dxa"/>
                  <w:tcBorders>
                    <w:tl2br w:val="nil"/>
                    <w:tr2bl w:val="nil"/>
                  </w:tcBorders>
                  <w:noWrap w:val="0"/>
                  <w:vAlign w:val="center"/>
                </w:tcPr>
                <w:p w14:paraId="1E770651">
                  <w:pPr>
                    <w:pStyle w:val="132"/>
                    <w:numPr>
                      <w:ilvl w:val="0"/>
                      <w:numId w:val="1"/>
                    </w:numPr>
                    <w:shd w:val="clear" w:color="auto" w:fill="auto"/>
                    <w:bidi w:val="0"/>
                    <w:ind w:firstLine="0" w:firstLineChars="0"/>
                    <w:jc w:val="both"/>
                    <w:rPr>
                      <w:rFonts w:hint="default" w:ascii="Times New Roman" w:hAnsi="Times New Roman" w:eastAsia="宋体" w:cs="Times New Roman"/>
                      <w:color w:val="auto"/>
                      <w:highlight w:val="none"/>
                      <w:shd w:val="clear" w:color="auto" w:fill="auto"/>
                      <w:lang w:val="en-US" w:eastAsia="zh-CN"/>
                    </w:rPr>
                  </w:pPr>
                  <w:r>
                    <w:rPr>
                      <w:rFonts w:hint="default" w:ascii="Times New Roman" w:hAnsi="Times New Roman" w:eastAsia="宋体" w:cs="Times New Roman"/>
                      <w:color w:val="auto"/>
                      <w:highlight w:val="none"/>
                      <w:shd w:val="clear" w:color="auto" w:fill="auto"/>
                      <w:lang w:val="en-US" w:eastAsia="zh-CN"/>
                    </w:rPr>
                    <w:t>引进的各类项目，其生产工艺、设备、污染治理技术，以及单位产品能耗、物耗、污染物排放和资源利用效率应至少达到国内同行业先进水平。</w:t>
                  </w:r>
                </w:p>
                <w:p w14:paraId="6B1D8685">
                  <w:pPr>
                    <w:pStyle w:val="132"/>
                    <w:numPr>
                      <w:ilvl w:val="0"/>
                      <w:numId w:val="0"/>
                    </w:numPr>
                    <w:shd w:val="clear" w:color="auto" w:fill="auto"/>
                    <w:bidi w:val="0"/>
                    <w:jc w:val="both"/>
                    <w:rPr>
                      <w:rFonts w:hint="default" w:ascii="Times New Roman" w:hAnsi="Times New Roman" w:eastAsia="宋体" w:cs="Times New Roman"/>
                      <w:color w:val="auto"/>
                      <w:highlight w:val="none"/>
                      <w:shd w:val="clear" w:color="auto" w:fill="auto"/>
                      <w:lang w:val="en-US" w:eastAsia="zh-CN"/>
                    </w:rPr>
                  </w:pPr>
                  <w:r>
                    <w:rPr>
                      <w:rFonts w:hint="default" w:ascii="Times New Roman" w:hAnsi="Times New Roman" w:eastAsia="宋体" w:cs="Times New Roman"/>
                      <w:color w:val="auto"/>
                      <w:highlight w:val="none"/>
                      <w:shd w:val="clear" w:color="auto" w:fill="auto"/>
                      <w:lang w:val="en-US" w:eastAsia="zh-CN"/>
                    </w:rPr>
                    <w:t>其中黑色金属冶炼及压延加工业吨钢综合能耗：≤560千克标煤、钢铁冶炼渣综合利用率：≥90%、吨钢耗新水量：≤3.15 m</w:t>
                  </w:r>
                  <w:r>
                    <w:rPr>
                      <w:rFonts w:hint="default" w:ascii="Times New Roman" w:hAnsi="Times New Roman" w:eastAsia="宋体" w:cs="Times New Roman"/>
                      <w:color w:val="auto"/>
                      <w:highlight w:val="none"/>
                      <w:shd w:val="clear" w:color="auto" w:fill="auto"/>
                      <w:vertAlign w:val="superscript"/>
                      <w:lang w:val="en-US" w:eastAsia="zh-CN"/>
                    </w:rPr>
                    <w:t>3</w:t>
                  </w:r>
                  <w:r>
                    <w:rPr>
                      <w:rFonts w:hint="default" w:ascii="Times New Roman" w:hAnsi="Times New Roman" w:eastAsia="宋体" w:cs="Times New Roman"/>
                      <w:color w:val="auto"/>
                      <w:highlight w:val="none"/>
                      <w:shd w:val="clear" w:color="auto" w:fill="auto"/>
                      <w:lang w:val="en-US" w:eastAsia="zh-CN"/>
                    </w:rPr>
                    <w:t>。</w:t>
                  </w:r>
                </w:p>
                <w:p w14:paraId="66EF86D0">
                  <w:pPr>
                    <w:pStyle w:val="132"/>
                    <w:shd w:val="clear" w:color="auto" w:fill="auto"/>
                    <w:bidi w:val="0"/>
                    <w:ind w:firstLine="0" w:firstLineChars="0"/>
                    <w:jc w:val="both"/>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2、</w:t>
                  </w:r>
                  <w:r>
                    <w:rPr>
                      <w:rFonts w:hint="default" w:ascii="Times New Roman" w:hAnsi="Times New Roman" w:eastAsia="宋体" w:cs="Times New Roman"/>
                      <w:color w:val="auto"/>
                      <w:highlight w:val="none"/>
                      <w:shd w:val="clear" w:color="auto" w:fill="auto"/>
                      <w:lang w:val="en-US" w:eastAsia="zh-CN"/>
                    </w:rPr>
                    <w:t>台商投资区引进项目的生产工艺、装备水平、污染治理技术，一级单位产品能耗、物耗、污染物排放和资源利用率应达到同行业国际先进水平。</w:t>
                  </w:r>
                </w:p>
              </w:tc>
              <w:tc>
                <w:tcPr>
                  <w:tcW w:w="3683" w:type="dxa"/>
                  <w:tcBorders>
                    <w:tl2br w:val="nil"/>
                    <w:tr2bl w:val="nil"/>
                  </w:tcBorders>
                  <w:noWrap w:val="0"/>
                  <w:vAlign w:val="center"/>
                </w:tcPr>
                <w:p w14:paraId="115D919C">
                  <w:pPr>
                    <w:pStyle w:val="132"/>
                    <w:shd w:val="clear" w:color="auto" w:fill="auto"/>
                    <w:bidi w:val="0"/>
                    <w:ind w:firstLine="0" w:firstLineChars="0"/>
                    <w:jc w:val="both"/>
                    <w:rPr>
                      <w:rFonts w:hint="default" w:ascii="Times New Roman" w:hAnsi="Times New Roman" w:eastAsia="宋体" w:cs="Times New Roman"/>
                      <w:color w:val="auto"/>
                      <w:highlight w:val="none"/>
                      <w:shd w:val="clear" w:color="auto" w:fill="auto"/>
                      <w:lang w:val="en-US" w:eastAsia="zh-CN"/>
                    </w:rPr>
                  </w:pPr>
                  <w:r>
                    <w:rPr>
                      <w:rFonts w:hint="default" w:ascii="Times New Roman" w:hAnsi="Times New Roman" w:eastAsia="宋体" w:cs="Times New Roman"/>
                      <w:color w:val="auto"/>
                      <w:highlight w:val="none"/>
                      <w:shd w:val="clear" w:color="auto" w:fill="auto"/>
                      <w:lang w:val="en-US" w:eastAsia="zh-CN"/>
                    </w:rPr>
                    <w:t>1、项目单位产品能耗、物耗、污染物排放和资源利用效率可达国内同行业先进水平。</w:t>
                  </w:r>
                </w:p>
                <w:p w14:paraId="7CCA02B8">
                  <w:pPr>
                    <w:pStyle w:val="132"/>
                    <w:shd w:val="clear" w:color="auto" w:fill="auto"/>
                    <w:bidi w:val="0"/>
                    <w:ind w:firstLine="0" w:firstLineChars="0"/>
                    <w:jc w:val="both"/>
                    <w:rPr>
                      <w:rFonts w:hint="default" w:ascii="Times New Roman" w:hAnsi="Times New Roman" w:eastAsia="宋体" w:cs="Times New Roman"/>
                      <w:color w:val="auto"/>
                      <w:highlight w:val="none"/>
                      <w:shd w:val="clear" w:color="auto" w:fill="auto"/>
                      <w:lang w:val="en-US" w:eastAsia="zh-CN"/>
                    </w:rPr>
                  </w:pPr>
                  <w:r>
                    <w:rPr>
                      <w:rFonts w:hint="default" w:ascii="Times New Roman" w:hAnsi="Times New Roman" w:eastAsia="宋体" w:cs="Times New Roman"/>
                      <w:color w:val="auto"/>
                      <w:highlight w:val="none"/>
                      <w:shd w:val="clear" w:color="auto" w:fill="auto"/>
                      <w:lang w:val="en-US" w:eastAsia="zh-CN"/>
                    </w:rPr>
                    <w:t>2、项目不位于台商投资区内。</w:t>
                  </w:r>
                </w:p>
              </w:tc>
              <w:tc>
                <w:tcPr>
                  <w:tcW w:w="977" w:type="dxa"/>
                  <w:tcBorders>
                    <w:tl2br w:val="nil"/>
                    <w:tr2bl w:val="nil"/>
                  </w:tcBorders>
                  <w:noWrap w:val="0"/>
                  <w:vAlign w:val="center"/>
                </w:tcPr>
                <w:p w14:paraId="4FF34A4E">
                  <w:pPr>
                    <w:pStyle w:val="132"/>
                    <w:shd w:val="clear" w:color="auto" w:fill="auto"/>
                    <w:bidi w:val="0"/>
                    <w:ind w:firstLine="0" w:firstLineChars="0"/>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符合</w:t>
                  </w:r>
                </w:p>
              </w:tc>
            </w:tr>
            <w:tr w14:paraId="245ECF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6" w:type="dxa"/>
                  <w:vMerge w:val="continue"/>
                  <w:tcBorders>
                    <w:tl2br w:val="nil"/>
                    <w:tr2bl w:val="nil"/>
                  </w:tcBorders>
                  <w:noWrap w:val="0"/>
                  <w:vAlign w:val="center"/>
                </w:tcPr>
                <w:p w14:paraId="6CA41126">
                  <w:pPr>
                    <w:pStyle w:val="132"/>
                    <w:shd w:val="clear" w:color="auto" w:fill="auto"/>
                    <w:bidi w:val="0"/>
                    <w:ind w:firstLine="0" w:firstLineChars="0"/>
                    <w:jc w:val="both"/>
                    <w:rPr>
                      <w:rFonts w:hint="default" w:ascii="Times New Roman" w:hAnsi="Times New Roman" w:eastAsia="宋体" w:cs="Times New Roman"/>
                      <w:color w:val="auto"/>
                      <w:highlight w:val="none"/>
                      <w:shd w:val="clear" w:color="auto" w:fill="auto"/>
                      <w:lang w:val="en-US" w:eastAsia="zh-CN"/>
                    </w:rPr>
                  </w:pPr>
                </w:p>
              </w:tc>
              <w:tc>
                <w:tcPr>
                  <w:tcW w:w="7142" w:type="dxa"/>
                  <w:tcBorders>
                    <w:tl2br w:val="nil"/>
                    <w:tr2bl w:val="nil"/>
                  </w:tcBorders>
                  <w:noWrap w:val="0"/>
                  <w:vAlign w:val="center"/>
                </w:tcPr>
                <w:p w14:paraId="7E1836A5">
                  <w:pPr>
                    <w:pStyle w:val="132"/>
                    <w:shd w:val="clear" w:color="auto" w:fill="auto"/>
                    <w:bidi w:val="0"/>
                    <w:ind w:firstLine="0" w:firstLineChars="0"/>
                    <w:jc w:val="both"/>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3、</w:t>
                  </w:r>
                  <w:r>
                    <w:rPr>
                      <w:rFonts w:hint="default" w:ascii="Times New Roman" w:hAnsi="Times New Roman" w:eastAsia="宋体" w:cs="Times New Roman"/>
                      <w:color w:val="auto"/>
                      <w:highlight w:val="none"/>
                      <w:shd w:val="clear" w:color="auto" w:fill="auto"/>
                      <w:lang w:val="en-US" w:eastAsia="zh-CN"/>
                    </w:rPr>
                    <w:t>水资源利用要求：</w:t>
                  </w:r>
                </w:p>
                <w:p w14:paraId="0DB182E6">
                  <w:pPr>
                    <w:pStyle w:val="132"/>
                    <w:shd w:val="clear" w:color="auto" w:fill="auto"/>
                    <w:bidi w:val="0"/>
                    <w:ind w:firstLine="0" w:firstLineChars="0"/>
                    <w:jc w:val="both"/>
                    <w:rPr>
                      <w:rFonts w:hint="default" w:ascii="Times New Roman" w:hAnsi="Times New Roman" w:eastAsia="宋体" w:cs="Times New Roman"/>
                      <w:color w:val="auto"/>
                      <w:highlight w:val="none"/>
                      <w:shd w:val="clear" w:color="auto" w:fill="auto"/>
                      <w:lang w:val="en-US" w:eastAsia="zh-CN"/>
                    </w:rPr>
                  </w:pPr>
                  <w:r>
                    <w:rPr>
                      <w:rFonts w:hint="default" w:ascii="Times New Roman" w:hAnsi="Times New Roman" w:eastAsia="宋体" w:cs="Times New Roman"/>
                      <w:color w:val="auto"/>
                      <w:highlight w:val="none"/>
                      <w:shd w:val="clear" w:color="auto" w:fill="auto"/>
                      <w:lang w:val="en-US" w:eastAsia="zh-CN"/>
                    </w:rPr>
                    <w:t>①加强水资源再生利用、梯级分质利用，持续提高水资源利用率。</w:t>
                  </w:r>
                </w:p>
                <w:p w14:paraId="06043F93">
                  <w:pPr>
                    <w:pStyle w:val="132"/>
                    <w:shd w:val="clear" w:color="auto" w:fill="auto"/>
                    <w:bidi w:val="0"/>
                    <w:ind w:firstLine="0" w:firstLineChars="0"/>
                    <w:jc w:val="both"/>
                    <w:rPr>
                      <w:rFonts w:hint="default" w:ascii="Times New Roman" w:hAnsi="Times New Roman" w:eastAsia="宋体" w:cs="Times New Roman"/>
                      <w:color w:val="auto"/>
                      <w:highlight w:val="none"/>
                      <w:shd w:val="clear" w:color="auto" w:fill="auto"/>
                      <w:lang w:val="en-US" w:eastAsia="zh-CN"/>
                    </w:rPr>
                  </w:pPr>
                  <w:r>
                    <w:rPr>
                      <w:rFonts w:hint="default" w:ascii="Times New Roman" w:hAnsi="Times New Roman" w:eastAsia="宋体" w:cs="Times New Roman"/>
                      <w:color w:val="auto"/>
                      <w:highlight w:val="none"/>
                      <w:shd w:val="clear" w:color="auto" w:fill="auto"/>
                      <w:lang w:val="en-US" w:eastAsia="zh-CN"/>
                    </w:rPr>
                    <w:t>②钢铁行业工业用水重复利用率≥90%，再生水（中水）回用率：100%，印染行业工业用水重复利用率≥40%。</w:t>
                  </w:r>
                </w:p>
                <w:p w14:paraId="64DBF23C">
                  <w:pPr>
                    <w:pStyle w:val="132"/>
                    <w:shd w:val="clear" w:color="auto" w:fill="auto"/>
                    <w:bidi w:val="0"/>
                    <w:ind w:firstLine="0" w:firstLineChars="0"/>
                    <w:jc w:val="both"/>
                    <w:rPr>
                      <w:rFonts w:hint="eastAsia" w:ascii="Times New Roman" w:hAnsi="Times New Roman" w:eastAsia="宋体" w:cs="Times New Roman"/>
                      <w:color w:val="auto"/>
                      <w:highlight w:val="none"/>
                      <w:shd w:val="clear" w:color="auto" w:fill="auto"/>
                      <w:lang w:val="en-US" w:eastAsia="zh-CN"/>
                    </w:rPr>
                  </w:pPr>
                  <w:r>
                    <w:rPr>
                      <w:rFonts w:hint="default" w:ascii="Times New Roman" w:hAnsi="Times New Roman" w:eastAsia="宋体" w:cs="Times New Roman"/>
                      <w:color w:val="auto"/>
                      <w:highlight w:val="none"/>
                      <w:shd w:val="clear" w:color="auto" w:fill="auto"/>
                      <w:lang w:val="en-US" w:eastAsia="zh-CN"/>
                    </w:rPr>
                    <w:t>③具备使用再生水条件但未充分利用的钢铁、火电、化工、印染等项目，不得批准其新增取水许可。</w:t>
                  </w:r>
                </w:p>
              </w:tc>
              <w:tc>
                <w:tcPr>
                  <w:tcW w:w="3683" w:type="dxa"/>
                  <w:tcBorders>
                    <w:tl2br w:val="nil"/>
                    <w:tr2bl w:val="nil"/>
                  </w:tcBorders>
                  <w:noWrap w:val="0"/>
                  <w:vAlign w:val="center"/>
                </w:tcPr>
                <w:p w14:paraId="3153413D">
                  <w:pPr>
                    <w:pStyle w:val="132"/>
                    <w:shd w:val="clear" w:color="auto" w:fill="auto"/>
                    <w:bidi w:val="0"/>
                    <w:ind w:firstLine="0" w:firstLineChars="0"/>
                    <w:jc w:val="center"/>
                    <w:rPr>
                      <w:rFonts w:hint="default" w:ascii="Times New Roman" w:hAnsi="Times New Roman" w:eastAsia="宋体" w:cs="Times New Roman"/>
                      <w:color w:val="auto"/>
                      <w:highlight w:val="none"/>
                      <w:shd w:val="clear" w:color="auto" w:fill="auto"/>
                      <w:lang w:val="en-US" w:eastAsia="zh-CN"/>
                    </w:rPr>
                  </w:pPr>
                  <w:r>
                    <w:rPr>
                      <w:rFonts w:hint="default" w:ascii="Times New Roman" w:hAnsi="Times New Roman" w:eastAsia="宋体" w:cs="Times New Roman"/>
                      <w:color w:val="auto"/>
                      <w:highlight w:val="none"/>
                      <w:shd w:val="clear" w:color="auto" w:fill="auto"/>
                      <w:lang w:val="en-US" w:eastAsia="zh-CN"/>
                    </w:rPr>
                    <w:t>本项目</w:t>
                  </w:r>
                  <w:r>
                    <w:rPr>
                      <w:rFonts w:hint="eastAsia" w:ascii="Times New Roman" w:hAnsi="Times New Roman" w:eastAsia="宋体" w:cs="Times New Roman"/>
                      <w:color w:val="auto"/>
                      <w:highlight w:val="none"/>
                      <w:shd w:val="clear" w:color="auto" w:fill="auto"/>
                      <w:lang w:val="en-US" w:eastAsia="zh-CN"/>
                    </w:rPr>
                    <w:t>不涉及</w:t>
                  </w:r>
                  <w:r>
                    <w:rPr>
                      <w:rFonts w:hint="default" w:ascii="Times New Roman" w:hAnsi="Times New Roman" w:eastAsia="宋体" w:cs="Times New Roman"/>
                      <w:color w:val="auto"/>
                      <w:highlight w:val="none"/>
                      <w:shd w:val="clear" w:color="auto" w:fill="auto"/>
                      <w:lang w:val="en-US" w:eastAsia="zh-CN"/>
                    </w:rPr>
                    <w:t>钢铁、火电、化工、印染等项目</w:t>
                  </w:r>
                  <w:r>
                    <w:rPr>
                      <w:rFonts w:hint="eastAsia" w:ascii="Times New Roman" w:hAnsi="Times New Roman" w:eastAsia="宋体" w:cs="Times New Roman"/>
                      <w:color w:val="auto"/>
                      <w:highlight w:val="none"/>
                      <w:shd w:val="clear" w:color="auto" w:fill="auto"/>
                      <w:lang w:val="en-US" w:eastAsia="zh-CN"/>
                    </w:rPr>
                    <w:t>。</w:t>
                  </w:r>
                </w:p>
              </w:tc>
              <w:tc>
                <w:tcPr>
                  <w:tcW w:w="977" w:type="dxa"/>
                  <w:tcBorders>
                    <w:tl2br w:val="nil"/>
                    <w:tr2bl w:val="nil"/>
                  </w:tcBorders>
                  <w:noWrap w:val="0"/>
                  <w:vAlign w:val="center"/>
                </w:tcPr>
                <w:p w14:paraId="7D0FC1F4">
                  <w:pPr>
                    <w:pStyle w:val="132"/>
                    <w:shd w:val="clear" w:color="auto" w:fill="auto"/>
                    <w:bidi w:val="0"/>
                    <w:ind w:firstLine="0" w:firstLineChars="0"/>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符合</w:t>
                  </w:r>
                </w:p>
              </w:tc>
            </w:tr>
            <w:tr w14:paraId="42354F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6" w:type="dxa"/>
                  <w:vMerge w:val="continue"/>
                  <w:tcBorders>
                    <w:tl2br w:val="nil"/>
                    <w:tr2bl w:val="nil"/>
                  </w:tcBorders>
                  <w:noWrap w:val="0"/>
                  <w:vAlign w:val="center"/>
                </w:tcPr>
                <w:p w14:paraId="4313DE8D">
                  <w:pPr>
                    <w:pStyle w:val="132"/>
                    <w:shd w:val="clear" w:color="auto" w:fill="auto"/>
                    <w:bidi w:val="0"/>
                    <w:ind w:firstLine="0" w:firstLineChars="0"/>
                    <w:jc w:val="both"/>
                    <w:rPr>
                      <w:rFonts w:hint="default" w:ascii="Times New Roman" w:hAnsi="Times New Roman" w:eastAsia="宋体" w:cs="Times New Roman"/>
                      <w:color w:val="auto"/>
                      <w:highlight w:val="none"/>
                      <w:shd w:val="clear" w:color="auto" w:fill="auto"/>
                      <w:lang w:val="en-US" w:eastAsia="zh-CN"/>
                    </w:rPr>
                  </w:pPr>
                </w:p>
              </w:tc>
              <w:tc>
                <w:tcPr>
                  <w:tcW w:w="7142" w:type="dxa"/>
                  <w:tcBorders>
                    <w:tl2br w:val="nil"/>
                    <w:tr2bl w:val="nil"/>
                  </w:tcBorders>
                  <w:noWrap w:val="0"/>
                  <w:vAlign w:val="center"/>
                </w:tcPr>
                <w:p w14:paraId="242BA1BC">
                  <w:pPr>
                    <w:pStyle w:val="132"/>
                    <w:shd w:val="clear" w:color="auto" w:fill="auto"/>
                    <w:bidi w:val="0"/>
                    <w:ind w:firstLine="0" w:firstLineChars="0"/>
                    <w:jc w:val="both"/>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4、</w:t>
                  </w:r>
                  <w:r>
                    <w:rPr>
                      <w:rFonts w:hint="default" w:ascii="Times New Roman" w:hAnsi="Times New Roman" w:eastAsia="宋体" w:cs="Times New Roman"/>
                      <w:color w:val="auto"/>
                      <w:highlight w:val="none"/>
                      <w:shd w:val="clear" w:color="auto" w:fill="auto"/>
                      <w:lang w:val="en-US" w:eastAsia="zh-CN"/>
                    </w:rPr>
                    <w:t>能源利用要求：</w:t>
                  </w:r>
                </w:p>
                <w:p w14:paraId="07DE86B6">
                  <w:pPr>
                    <w:pStyle w:val="132"/>
                    <w:shd w:val="clear" w:color="auto" w:fill="auto"/>
                    <w:bidi w:val="0"/>
                    <w:ind w:firstLine="0" w:firstLineChars="0"/>
                    <w:jc w:val="both"/>
                    <w:rPr>
                      <w:rFonts w:hint="default" w:ascii="Times New Roman" w:hAnsi="Times New Roman" w:eastAsia="宋体" w:cs="Times New Roman"/>
                      <w:color w:val="auto"/>
                      <w:highlight w:val="none"/>
                      <w:shd w:val="clear" w:color="auto" w:fill="auto"/>
                      <w:lang w:val="en-US" w:eastAsia="zh-CN"/>
                    </w:rPr>
                  </w:pPr>
                  <w:r>
                    <w:rPr>
                      <w:rFonts w:hint="default" w:ascii="Times New Roman" w:hAnsi="Times New Roman" w:eastAsia="宋体" w:cs="Times New Roman"/>
                      <w:color w:val="auto"/>
                      <w:highlight w:val="none"/>
                      <w:shd w:val="clear" w:color="auto" w:fill="auto"/>
                      <w:lang w:val="en-US" w:eastAsia="zh-CN"/>
                    </w:rPr>
                    <w:t>①禁止工艺加热炉及导热油炉等工业窑炉使用燃煤、重油及渣油等高污染燃料，已建成的限期改用炼化自产脱硫干气、石油液化气或天然气等清洁能源。</w:t>
                  </w:r>
                </w:p>
                <w:p w14:paraId="47B24A42">
                  <w:pPr>
                    <w:pStyle w:val="132"/>
                    <w:shd w:val="clear" w:color="auto" w:fill="auto"/>
                    <w:bidi w:val="0"/>
                    <w:ind w:firstLine="0" w:firstLineChars="0"/>
                    <w:jc w:val="both"/>
                    <w:rPr>
                      <w:rFonts w:hint="default" w:ascii="Times New Roman" w:hAnsi="Times New Roman" w:eastAsia="宋体" w:cs="Times New Roman"/>
                      <w:color w:val="auto"/>
                      <w:highlight w:val="none"/>
                      <w:shd w:val="clear" w:color="auto" w:fill="auto"/>
                      <w:lang w:val="en-US" w:eastAsia="zh-CN"/>
                    </w:rPr>
                  </w:pPr>
                  <w:r>
                    <w:rPr>
                      <w:rFonts w:hint="default" w:ascii="Times New Roman" w:hAnsi="Times New Roman" w:eastAsia="宋体" w:cs="Times New Roman"/>
                      <w:color w:val="auto"/>
                      <w:highlight w:val="none"/>
                      <w:shd w:val="clear" w:color="auto" w:fill="auto"/>
                      <w:lang w:val="en-US" w:eastAsia="zh-CN"/>
                    </w:rPr>
                    <w:t>②实施集中供热、热电联产。根据《热电联产管理办法》要求，规划热源点优先采用高压及以上参数背压热电联产机组，限制新建抽凝燃煤热电联产机组。</w:t>
                  </w:r>
                </w:p>
                <w:p w14:paraId="68D7E652">
                  <w:pPr>
                    <w:pStyle w:val="132"/>
                    <w:shd w:val="clear" w:color="auto" w:fill="auto"/>
                    <w:bidi w:val="0"/>
                    <w:ind w:firstLine="0" w:firstLineChars="0"/>
                    <w:jc w:val="both"/>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5、</w:t>
                  </w:r>
                  <w:r>
                    <w:rPr>
                      <w:rFonts w:hint="default" w:ascii="Times New Roman" w:hAnsi="Times New Roman" w:eastAsia="宋体" w:cs="Times New Roman"/>
                      <w:color w:val="auto"/>
                      <w:highlight w:val="none"/>
                      <w:shd w:val="clear" w:color="auto" w:fill="auto"/>
                      <w:lang w:val="en-US" w:eastAsia="zh-CN"/>
                    </w:rPr>
                    <w:t>土地资源利用要求：节约集约利用土地，提高土地资源开发利用率，严格按照《土地管理法》的有关规定，编制耕地</w:t>
                  </w:r>
                  <w:r>
                    <w:rPr>
                      <w:rFonts w:hint="eastAsia" w:ascii="Times New Roman" w:hAnsi="Times New Roman" w:eastAsia="宋体" w:cs="Times New Roman"/>
                      <w:color w:val="auto"/>
                      <w:highlight w:val="none"/>
                      <w:shd w:val="clear" w:color="auto" w:fill="auto"/>
                      <w:lang w:val="en-US" w:eastAsia="zh-CN"/>
                    </w:rPr>
                    <w:t>“</w:t>
                  </w:r>
                  <w:r>
                    <w:rPr>
                      <w:rFonts w:hint="default" w:ascii="Times New Roman" w:hAnsi="Times New Roman" w:eastAsia="宋体" w:cs="Times New Roman"/>
                      <w:color w:val="auto"/>
                      <w:highlight w:val="none"/>
                      <w:shd w:val="clear" w:color="auto" w:fill="auto"/>
                      <w:lang w:val="en-US" w:eastAsia="zh-CN"/>
                    </w:rPr>
                    <w:t>占补平衡</w:t>
                  </w:r>
                  <w:r>
                    <w:rPr>
                      <w:rFonts w:hint="eastAsia" w:ascii="Times New Roman" w:hAnsi="Times New Roman" w:eastAsia="宋体" w:cs="Times New Roman"/>
                      <w:color w:val="auto"/>
                      <w:highlight w:val="none"/>
                      <w:shd w:val="clear" w:color="auto" w:fill="auto"/>
                      <w:lang w:val="en-US" w:eastAsia="zh-CN"/>
                    </w:rPr>
                    <w:t>”</w:t>
                  </w:r>
                  <w:r>
                    <w:rPr>
                      <w:rFonts w:hint="default" w:ascii="Times New Roman" w:hAnsi="Times New Roman" w:eastAsia="宋体" w:cs="Times New Roman"/>
                      <w:color w:val="auto"/>
                      <w:highlight w:val="none"/>
                      <w:shd w:val="clear" w:color="auto" w:fill="auto"/>
                      <w:lang w:val="en-US" w:eastAsia="zh-CN"/>
                    </w:rPr>
                    <w:t>方案。</w:t>
                  </w:r>
                </w:p>
                <w:p w14:paraId="6DC92783">
                  <w:pPr>
                    <w:pStyle w:val="132"/>
                    <w:shd w:val="clear" w:color="auto" w:fill="auto"/>
                    <w:bidi w:val="0"/>
                    <w:ind w:firstLine="0" w:firstLineChars="0"/>
                    <w:jc w:val="both"/>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6、</w:t>
                  </w:r>
                  <w:r>
                    <w:rPr>
                      <w:rFonts w:hint="default" w:ascii="Times New Roman" w:hAnsi="Times New Roman" w:eastAsia="宋体" w:cs="Times New Roman"/>
                      <w:color w:val="auto"/>
                      <w:highlight w:val="none"/>
                      <w:shd w:val="clear" w:color="auto" w:fill="auto"/>
                      <w:lang w:val="en-US" w:eastAsia="zh-CN"/>
                    </w:rPr>
                    <w:t>规划区内大自然岸线应维持岸线自然属性，禁止改变岸线形态，保护岸线原有生态功能，加强对受损自然岸线的整治与修复。</w:t>
                  </w:r>
                </w:p>
                <w:p w14:paraId="5EDE6856">
                  <w:pPr>
                    <w:pStyle w:val="132"/>
                    <w:shd w:val="clear" w:color="auto" w:fill="auto"/>
                    <w:bidi w:val="0"/>
                    <w:ind w:firstLine="0" w:firstLineChars="0"/>
                    <w:jc w:val="both"/>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7、</w:t>
                  </w:r>
                  <w:r>
                    <w:rPr>
                      <w:rFonts w:hint="default" w:ascii="Times New Roman" w:hAnsi="Times New Roman" w:eastAsia="宋体" w:cs="Times New Roman"/>
                      <w:color w:val="auto"/>
                      <w:highlight w:val="none"/>
                      <w:shd w:val="clear" w:color="auto" w:fill="auto"/>
                      <w:lang w:val="en-US" w:eastAsia="zh-CN"/>
                    </w:rPr>
                    <w:t>严控新增围填海造地。严格落实《国务院关于加强滨海湿地保护严格管控围填海的通知》（国发〔2018〕24号）要求，新增围填海项目按程序报国务院审批。</w:t>
                  </w:r>
                </w:p>
              </w:tc>
              <w:tc>
                <w:tcPr>
                  <w:tcW w:w="3683" w:type="dxa"/>
                  <w:tcBorders>
                    <w:tl2br w:val="nil"/>
                    <w:tr2bl w:val="nil"/>
                  </w:tcBorders>
                  <w:noWrap w:val="0"/>
                  <w:vAlign w:val="center"/>
                </w:tcPr>
                <w:p w14:paraId="70110B70">
                  <w:pPr>
                    <w:pStyle w:val="132"/>
                    <w:shd w:val="clear" w:color="auto" w:fill="auto"/>
                    <w:bidi w:val="0"/>
                    <w:ind w:firstLine="0" w:firstLineChars="0"/>
                    <w:jc w:val="both"/>
                    <w:rPr>
                      <w:rFonts w:hint="default" w:ascii="Times New Roman" w:hAnsi="Times New Roman" w:eastAsia="宋体" w:cs="Times New Roman"/>
                      <w:color w:val="auto"/>
                      <w:highlight w:val="none"/>
                      <w:shd w:val="clear" w:color="auto" w:fill="auto"/>
                      <w:lang w:val="en-US" w:eastAsia="zh-CN"/>
                    </w:rPr>
                  </w:pPr>
                  <w:r>
                    <w:rPr>
                      <w:rFonts w:hint="default" w:ascii="Times New Roman" w:hAnsi="Times New Roman" w:eastAsia="宋体" w:cs="Times New Roman"/>
                      <w:color w:val="auto"/>
                      <w:highlight w:val="none"/>
                      <w:shd w:val="clear" w:color="auto" w:fill="auto"/>
                      <w:lang w:val="en-US" w:eastAsia="zh-CN"/>
                    </w:rPr>
                    <w:t>4、项目使用清洁能源天然气、电；</w:t>
                  </w:r>
                </w:p>
                <w:p w14:paraId="54D4CB60">
                  <w:pPr>
                    <w:pStyle w:val="132"/>
                    <w:shd w:val="clear" w:color="auto" w:fill="auto"/>
                    <w:bidi w:val="0"/>
                    <w:ind w:firstLine="0" w:firstLineChars="0"/>
                    <w:jc w:val="both"/>
                    <w:rPr>
                      <w:rFonts w:hint="default" w:ascii="Times New Roman" w:hAnsi="Times New Roman" w:eastAsia="宋体" w:cs="Times New Roman"/>
                      <w:color w:val="auto"/>
                      <w:highlight w:val="none"/>
                      <w:shd w:val="clear" w:color="auto" w:fill="auto"/>
                      <w:lang w:val="en-US" w:eastAsia="zh-CN"/>
                    </w:rPr>
                  </w:pPr>
                  <w:r>
                    <w:rPr>
                      <w:rFonts w:hint="default" w:ascii="Times New Roman" w:hAnsi="Times New Roman" w:eastAsia="宋体" w:cs="Times New Roman"/>
                      <w:color w:val="auto"/>
                      <w:highlight w:val="none"/>
                      <w:shd w:val="clear" w:color="auto" w:fill="auto"/>
                      <w:lang w:val="en-US" w:eastAsia="zh-CN"/>
                    </w:rPr>
                    <w:t>5、项目使用工业用地进行建设，不涉及耕地的占用；</w:t>
                  </w:r>
                </w:p>
                <w:p w14:paraId="79F0E4EE">
                  <w:pPr>
                    <w:pStyle w:val="132"/>
                    <w:shd w:val="clear" w:color="auto" w:fill="auto"/>
                    <w:bidi w:val="0"/>
                    <w:ind w:firstLine="0" w:firstLineChars="0"/>
                    <w:jc w:val="both"/>
                    <w:rPr>
                      <w:rFonts w:hint="default" w:ascii="Times New Roman" w:hAnsi="Times New Roman" w:eastAsia="宋体" w:cs="Times New Roman"/>
                      <w:color w:val="auto"/>
                      <w:highlight w:val="none"/>
                      <w:shd w:val="clear" w:color="auto" w:fill="auto"/>
                      <w:lang w:val="en-US" w:eastAsia="zh-CN"/>
                    </w:rPr>
                  </w:pPr>
                  <w:r>
                    <w:rPr>
                      <w:rFonts w:hint="default" w:ascii="Times New Roman" w:hAnsi="Times New Roman" w:eastAsia="宋体" w:cs="Times New Roman"/>
                      <w:color w:val="auto"/>
                      <w:highlight w:val="none"/>
                      <w:shd w:val="clear" w:color="auto" w:fill="auto"/>
                      <w:lang w:val="en-US" w:eastAsia="zh-CN"/>
                    </w:rPr>
                    <w:t>6、7、项目不涉及岸线、围填海造地。</w:t>
                  </w:r>
                </w:p>
              </w:tc>
              <w:tc>
                <w:tcPr>
                  <w:tcW w:w="977" w:type="dxa"/>
                  <w:tcBorders>
                    <w:tl2br w:val="nil"/>
                    <w:tr2bl w:val="nil"/>
                  </w:tcBorders>
                  <w:noWrap w:val="0"/>
                  <w:vAlign w:val="center"/>
                </w:tcPr>
                <w:p w14:paraId="1E299116">
                  <w:pPr>
                    <w:pStyle w:val="132"/>
                    <w:shd w:val="clear" w:color="auto" w:fill="auto"/>
                    <w:bidi w:val="0"/>
                    <w:ind w:firstLine="0" w:firstLineChars="0"/>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符合</w:t>
                  </w:r>
                </w:p>
              </w:tc>
            </w:tr>
            <w:tr w14:paraId="765FDC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68" w:type="dxa"/>
                  <w:gridSpan w:val="2"/>
                  <w:tcBorders>
                    <w:tl2br w:val="nil"/>
                    <w:tr2bl w:val="nil"/>
                  </w:tcBorders>
                  <w:noWrap w:val="0"/>
                  <w:vAlign w:val="center"/>
                </w:tcPr>
                <w:p w14:paraId="2F0125DF">
                  <w:pPr>
                    <w:pStyle w:val="132"/>
                    <w:shd w:val="clear" w:color="auto" w:fill="auto"/>
                    <w:bidi w:val="0"/>
                    <w:ind w:firstLine="0" w:firstLineChars="0"/>
                    <w:jc w:val="center"/>
                    <w:rPr>
                      <w:rFonts w:hint="eastAsia" w:ascii="Times New Roman" w:hAnsi="Times New Roman" w:eastAsia="宋体" w:cs="Times New Roman"/>
                      <w:b/>
                      <w:bCs/>
                      <w:color w:val="auto"/>
                      <w:kern w:val="2"/>
                      <w:sz w:val="21"/>
                      <w:szCs w:val="22"/>
                      <w:highlight w:val="none"/>
                      <w:u w:val="none"/>
                      <w:shd w:val="clear" w:color="auto" w:fill="auto"/>
                      <w:lang w:val="en-US" w:eastAsia="zh-CN" w:bidi="zh-TW"/>
                    </w:rPr>
                  </w:pPr>
                  <w:r>
                    <w:rPr>
                      <w:rFonts w:hint="default" w:ascii="Times New Roman" w:hAnsi="Times New Roman" w:eastAsia="宋体" w:cs="Times New Roman"/>
                      <w:b/>
                      <w:bCs/>
                      <w:color w:val="auto"/>
                      <w:highlight w:val="none"/>
                      <w:shd w:val="clear" w:color="auto" w:fill="auto"/>
                      <w:lang w:val="en-US" w:eastAsia="zh-CN"/>
                    </w:rPr>
                    <w:t>《环罗源湾地区工业产业布局规划（2020-2025 年）修编环境影响报告书》生态环境准入补充要求（摘录）</w:t>
                  </w:r>
                </w:p>
              </w:tc>
              <w:tc>
                <w:tcPr>
                  <w:tcW w:w="3683" w:type="dxa"/>
                  <w:tcBorders>
                    <w:tl2br w:val="nil"/>
                    <w:tr2bl w:val="nil"/>
                  </w:tcBorders>
                  <w:noWrap w:val="0"/>
                  <w:vAlign w:val="center"/>
                </w:tcPr>
                <w:p w14:paraId="53D943DA">
                  <w:pPr>
                    <w:pStyle w:val="132"/>
                    <w:shd w:val="clear" w:color="auto" w:fill="auto"/>
                    <w:bidi w:val="0"/>
                    <w:ind w:firstLine="0" w:firstLineChars="0"/>
                    <w:jc w:val="center"/>
                    <w:rPr>
                      <w:rFonts w:hint="default" w:ascii="Times New Roman" w:hAnsi="Times New Roman" w:eastAsia="宋体" w:cs="Times New Roman"/>
                      <w:b/>
                      <w:bCs/>
                      <w:color w:val="auto"/>
                      <w:kern w:val="2"/>
                      <w:sz w:val="21"/>
                      <w:szCs w:val="22"/>
                      <w:highlight w:val="none"/>
                      <w:u w:val="none"/>
                      <w:shd w:val="clear" w:color="auto" w:fill="auto"/>
                      <w:lang w:val="en-US" w:eastAsia="zh-CN" w:bidi="zh-TW"/>
                    </w:rPr>
                  </w:pPr>
                  <w:r>
                    <w:rPr>
                      <w:rFonts w:hint="eastAsia" w:ascii="Times New Roman" w:hAnsi="Times New Roman" w:eastAsia="宋体" w:cs="Times New Roman"/>
                      <w:b/>
                      <w:bCs/>
                      <w:color w:val="auto"/>
                      <w:highlight w:val="none"/>
                      <w:shd w:val="clear" w:color="auto" w:fill="auto"/>
                      <w:lang w:val="en-US" w:eastAsia="zh-CN"/>
                    </w:rPr>
                    <w:t>项目情况</w:t>
                  </w:r>
                </w:p>
              </w:tc>
              <w:tc>
                <w:tcPr>
                  <w:tcW w:w="977" w:type="dxa"/>
                  <w:tcBorders>
                    <w:tl2br w:val="nil"/>
                    <w:tr2bl w:val="nil"/>
                  </w:tcBorders>
                  <w:noWrap w:val="0"/>
                  <w:vAlign w:val="center"/>
                </w:tcPr>
                <w:p w14:paraId="0C879684">
                  <w:pPr>
                    <w:pStyle w:val="132"/>
                    <w:shd w:val="clear" w:color="auto" w:fill="auto"/>
                    <w:bidi w:val="0"/>
                    <w:ind w:firstLine="0" w:firstLineChars="0"/>
                    <w:jc w:val="center"/>
                    <w:rPr>
                      <w:rFonts w:hint="eastAsia" w:ascii="Times New Roman" w:hAnsi="Times New Roman" w:eastAsia="宋体" w:cs="Times New Roman"/>
                      <w:b/>
                      <w:bCs/>
                      <w:color w:val="auto"/>
                      <w:kern w:val="2"/>
                      <w:sz w:val="21"/>
                      <w:szCs w:val="22"/>
                      <w:highlight w:val="none"/>
                      <w:u w:val="none"/>
                      <w:shd w:val="clear" w:color="auto" w:fill="auto"/>
                      <w:lang w:val="en-US" w:eastAsia="zh-CN" w:bidi="zh-TW"/>
                    </w:rPr>
                  </w:pPr>
                  <w:r>
                    <w:rPr>
                      <w:rFonts w:hint="eastAsia" w:ascii="Times New Roman" w:hAnsi="Times New Roman" w:eastAsia="宋体" w:cs="Times New Roman"/>
                      <w:b/>
                      <w:bCs/>
                      <w:color w:val="auto"/>
                      <w:highlight w:val="none"/>
                      <w:shd w:val="clear" w:color="auto" w:fill="auto"/>
                      <w:lang w:val="en-US" w:eastAsia="zh-CN"/>
                    </w:rPr>
                    <w:t>符合性</w:t>
                  </w:r>
                </w:p>
              </w:tc>
            </w:tr>
            <w:tr w14:paraId="30DE57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6" w:type="dxa"/>
                  <w:tcBorders>
                    <w:tl2br w:val="nil"/>
                    <w:tr2bl w:val="nil"/>
                  </w:tcBorders>
                  <w:noWrap w:val="0"/>
                  <w:vAlign w:val="center"/>
                </w:tcPr>
                <w:p w14:paraId="25ED8478">
                  <w:pPr>
                    <w:pStyle w:val="132"/>
                    <w:shd w:val="clear" w:color="auto" w:fill="auto"/>
                    <w:bidi w:val="0"/>
                    <w:ind w:firstLine="0" w:firstLineChars="0"/>
                    <w:jc w:val="both"/>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空间布局约束</w:t>
                  </w:r>
                </w:p>
              </w:tc>
              <w:tc>
                <w:tcPr>
                  <w:tcW w:w="7142" w:type="dxa"/>
                  <w:tcBorders>
                    <w:tl2br w:val="nil"/>
                    <w:tr2bl w:val="nil"/>
                  </w:tcBorders>
                  <w:noWrap w:val="0"/>
                  <w:vAlign w:val="center"/>
                </w:tcPr>
                <w:p w14:paraId="2EDE22B2">
                  <w:pPr>
                    <w:pStyle w:val="132"/>
                    <w:shd w:val="clear" w:color="auto" w:fill="auto"/>
                    <w:bidi w:val="0"/>
                    <w:ind w:firstLine="0" w:firstLineChars="0"/>
                    <w:jc w:val="both"/>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1、为减缓大气污染对邻近居民区的人居环境影响，松山组团应限制布局大气污染物排放量大的项目。</w:t>
                  </w:r>
                </w:p>
                <w:p w14:paraId="4BFA4BAF">
                  <w:pPr>
                    <w:pStyle w:val="132"/>
                    <w:shd w:val="clear" w:color="auto" w:fill="auto"/>
                    <w:bidi w:val="0"/>
                    <w:ind w:firstLine="0" w:firstLineChars="0"/>
                    <w:jc w:val="both"/>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2、邻近沿海基干林、生态公益林、永久基本农田和生态保护红线的项目应优化调整用地边界，避让和保护林地、基本农田和生态保护红线。</w:t>
                  </w:r>
                </w:p>
                <w:p w14:paraId="582FD89F">
                  <w:pPr>
                    <w:pStyle w:val="132"/>
                    <w:shd w:val="clear" w:color="auto" w:fill="auto"/>
                    <w:bidi w:val="0"/>
                    <w:ind w:firstLine="0" w:firstLineChars="0"/>
                    <w:jc w:val="both"/>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3、禁止建设《产业转移指导目录》、《产业结构调整指导目录》以及福建省、福州市产业政策中明确列入淘汰或限制的项目。</w:t>
                  </w:r>
                </w:p>
                <w:p w14:paraId="5566FCAB">
                  <w:pPr>
                    <w:pStyle w:val="132"/>
                    <w:shd w:val="clear" w:color="auto" w:fill="auto"/>
                    <w:bidi w:val="0"/>
                    <w:ind w:firstLine="0" w:firstLineChars="0"/>
                    <w:jc w:val="both"/>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4、禁止建设《环境保护综合名录》等负面清单中“高污染、高环境风险”产品相关生产项目。</w:t>
                  </w:r>
                </w:p>
                <w:p w14:paraId="310DC52D">
                  <w:pPr>
                    <w:pStyle w:val="132"/>
                    <w:shd w:val="clear" w:color="auto" w:fill="auto"/>
                    <w:bidi w:val="0"/>
                    <w:ind w:firstLine="0" w:firstLineChars="0"/>
                    <w:jc w:val="both"/>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5、牛坑湾/将军帽组团不布局冶金项目，不引进锰矿加工项目，金属精深加工产业和钢铁绿色产业加工基地均不引进冶金项目，合理控制金属精深加工等钢铁加工相关产业规模。</w:t>
                  </w:r>
                </w:p>
                <w:p w14:paraId="38D09BEF">
                  <w:pPr>
                    <w:pStyle w:val="132"/>
                    <w:shd w:val="clear" w:color="auto" w:fill="auto"/>
                    <w:bidi w:val="0"/>
                    <w:ind w:firstLine="0" w:firstLineChars="0"/>
                    <w:jc w:val="both"/>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6、金属精深加工产业、钢铁循环经济产业和钢铁绿色产业加工基地项目应设置300 m环保控制带。</w:t>
                  </w:r>
                </w:p>
                <w:p w14:paraId="1E1A618E">
                  <w:pPr>
                    <w:pStyle w:val="132"/>
                    <w:shd w:val="clear" w:color="auto" w:fill="auto"/>
                    <w:bidi w:val="0"/>
                    <w:ind w:firstLine="0" w:firstLineChars="0"/>
                    <w:jc w:val="both"/>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7、可门港区组团不引进石化项目。</w:t>
                  </w:r>
                </w:p>
                <w:p w14:paraId="6236577D">
                  <w:pPr>
                    <w:pStyle w:val="132"/>
                    <w:shd w:val="clear" w:color="auto" w:fill="auto"/>
                    <w:bidi w:val="0"/>
                    <w:ind w:firstLine="0" w:firstLineChars="0"/>
                    <w:jc w:val="both"/>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8、大官坂组团不引进冶金项目。</w:t>
                  </w:r>
                </w:p>
              </w:tc>
              <w:tc>
                <w:tcPr>
                  <w:tcW w:w="3683" w:type="dxa"/>
                  <w:tcBorders>
                    <w:tl2br w:val="nil"/>
                    <w:tr2bl w:val="nil"/>
                  </w:tcBorders>
                  <w:noWrap w:val="0"/>
                  <w:vAlign w:val="center"/>
                </w:tcPr>
                <w:p w14:paraId="678B9142">
                  <w:pPr>
                    <w:pStyle w:val="132"/>
                    <w:shd w:val="clear" w:color="auto" w:fill="auto"/>
                    <w:bidi w:val="0"/>
                    <w:ind w:firstLine="0" w:firstLineChars="0"/>
                    <w:jc w:val="both"/>
                    <w:rPr>
                      <w:rFonts w:hint="default" w:ascii="Times New Roman" w:hAnsi="Times New Roman" w:eastAsia="宋体" w:cs="Times New Roman"/>
                      <w:color w:val="auto"/>
                      <w:highlight w:val="none"/>
                      <w:shd w:val="clear" w:color="auto" w:fill="auto"/>
                      <w:lang w:val="en-US" w:eastAsia="zh-CN"/>
                    </w:rPr>
                  </w:pPr>
                  <w:r>
                    <w:rPr>
                      <w:rFonts w:hint="default" w:ascii="Times New Roman" w:hAnsi="Times New Roman" w:eastAsia="宋体" w:cs="Times New Roman"/>
                      <w:color w:val="auto"/>
                      <w:highlight w:val="none"/>
                      <w:shd w:val="clear" w:color="auto" w:fill="auto"/>
                      <w:lang w:val="en-US" w:eastAsia="zh-CN"/>
                    </w:rPr>
                    <w:t>1、项目不位于松山组团；</w:t>
                  </w:r>
                </w:p>
                <w:p w14:paraId="279E18AA">
                  <w:pPr>
                    <w:pStyle w:val="132"/>
                    <w:shd w:val="clear" w:color="auto" w:fill="auto"/>
                    <w:bidi w:val="0"/>
                    <w:ind w:firstLine="0" w:firstLineChars="0"/>
                    <w:jc w:val="both"/>
                    <w:rPr>
                      <w:rFonts w:hint="default" w:ascii="Times New Roman" w:hAnsi="Times New Roman" w:eastAsia="宋体" w:cs="Times New Roman"/>
                      <w:color w:val="auto"/>
                      <w:highlight w:val="none"/>
                      <w:shd w:val="clear" w:color="auto" w:fill="auto"/>
                      <w:lang w:val="en-US" w:eastAsia="zh-CN"/>
                    </w:rPr>
                  </w:pPr>
                  <w:r>
                    <w:rPr>
                      <w:rFonts w:hint="default" w:ascii="Times New Roman" w:hAnsi="Times New Roman" w:eastAsia="宋体" w:cs="Times New Roman"/>
                      <w:color w:val="auto"/>
                      <w:highlight w:val="none"/>
                      <w:shd w:val="clear" w:color="auto" w:fill="auto"/>
                      <w:lang w:val="en-US" w:eastAsia="zh-CN"/>
                    </w:rPr>
                    <w:t>2、项目用地不涉及保护林地、基本农田和生态保护红线；</w:t>
                  </w:r>
                </w:p>
                <w:p w14:paraId="30BC4101">
                  <w:pPr>
                    <w:pStyle w:val="132"/>
                    <w:shd w:val="clear" w:color="auto" w:fill="auto"/>
                    <w:bidi w:val="0"/>
                    <w:ind w:firstLine="0" w:firstLineChars="0"/>
                    <w:jc w:val="both"/>
                    <w:rPr>
                      <w:rFonts w:hint="default" w:ascii="Times New Roman" w:hAnsi="Times New Roman" w:eastAsia="宋体" w:cs="Times New Roman"/>
                      <w:color w:val="auto"/>
                      <w:highlight w:val="none"/>
                      <w:shd w:val="clear" w:color="auto" w:fill="auto"/>
                      <w:lang w:val="en-US" w:eastAsia="zh-CN"/>
                    </w:rPr>
                  </w:pPr>
                  <w:r>
                    <w:rPr>
                      <w:rFonts w:hint="default" w:ascii="Times New Roman" w:hAnsi="Times New Roman" w:eastAsia="宋体" w:cs="Times New Roman"/>
                      <w:color w:val="auto"/>
                      <w:highlight w:val="none"/>
                      <w:shd w:val="clear" w:color="auto" w:fill="auto"/>
                      <w:lang w:val="en-US" w:eastAsia="zh-CN"/>
                    </w:rPr>
                    <w:t>3、项目建设内容不属于《产业转移指导目录》、《产业结构调整指导目录》以及福建省、福州市产业政策中明确列入淘汰或限制的项目。</w:t>
                  </w:r>
                </w:p>
                <w:p w14:paraId="35E38919">
                  <w:pPr>
                    <w:pStyle w:val="132"/>
                    <w:shd w:val="clear" w:color="auto" w:fill="auto"/>
                    <w:bidi w:val="0"/>
                    <w:ind w:firstLine="0" w:firstLineChars="0"/>
                    <w:jc w:val="both"/>
                    <w:rPr>
                      <w:rFonts w:hint="default" w:ascii="Times New Roman" w:hAnsi="Times New Roman" w:eastAsia="宋体" w:cs="Times New Roman"/>
                      <w:color w:val="auto"/>
                      <w:highlight w:val="none"/>
                      <w:shd w:val="clear" w:color="auto" w:fill="auto"/>
                      <w:lang w:val="en-US" w:eastAsia="zh-CN"/>
                    </w:rPr>
                  </w:pPr>
                  <w:r>
                    <w:rPr>
                      <w:rFonts w:hint="default" w:ascii="Times New Roman" w:hAnsi="Times New Roman" w:eastAsia="宋体" w:cs="Times New Roman"/>
                      <w:color w:val="auto"/>
                      <w:highlight w:val="none"/>
                      <w:shd w:val="clear" w:color="auto" w:fill="auto"/>
                      <w:lang w:val="en-US" w:eastAsia="zh-CN"/>
                    </w:rPr>
                    <w:t>4、项目产品不属于《环境保护综合名录》等负面清单中</w:t>
                  </w:r>
                  <w:r>
                    <w:rPr>
                      <w:rFonts w:hint="eastAsia" w:ascii="Times New Roman" w:hAnsi="Times New Roman" w:eastAsia="宋体" w:cs="Times New Roman"/>
                      <w:color w:val="auto"/>
                      <w:highlight w:val="none"/>
                      <w:shd w:val="clear" w:color="auto" w:fill="auto"/>
                      <w:lang w:val="en-US" w:eastAsia="zh-CN"/>
                    </w:rPr>
                    <w:t>“</w:t>
                  </w:r>
                  <w:r>
                    <w:rPr>
                      <w:rFonts w:hint="default" w:ascii="Times New Roman" w:hAnsi="Times New Roman" w:eastAsia="宋体" w:cs="Times New Roman"/>
                      <w:color w:val="auto"/>
                      <w:highlight w:val="none"/>
                      <w:shd w:val="clear" w:color="auto" w:fill="auto"/>
                      <w:lang w:val="en-US" w:eastAsia="zh-CN"/>
                    </w:rPr>
                    <w:t>高污染、高环境风险</w:t>
                  </w:r>
                  <w:r>
                    <w:rPr>
                      <w:rFonts w:hint="eastAsia" w:ascii="Times New Roman" w:hAnsi="Times New Roman" w:eastAsia="宋体" w:cs="Times New Roman"/>
                      <w:color w:val="auto"/>
                      <w:highlight w:val="none"/>
                      <w:shd w:val="clear" w:color="auto" w:fill="auto"/>
                      <w:lang w:val="en-US" w:eastAsia="zh-CN"/>
                    </w:rPr>
                    <w:t>”</w:t>
                  </w:r>
                  <w:r>
                    <w:rPr>
                      <w:rFonts w:hint="default" w:ascii="Times New Roman" w:hAnsi="Times New Roman" w:eastAsia="宋体" w:cs="Times New Roman"/>
                      <w:color w:val="auto"/>
                      <w:highlight w:val="none"/>
                      <w:shd w:val="clear" w:color="auto" w:fill="auto"/>
                      <w:lang w:val="en-US" w:eastAsia="zh-CN"/>
                    </w:rPr>
                    <w:t>产品；</w:t>
                  </w:r>
                </w:p>
                <w:p w14:paraId="2434E8EF">
                  <w:pPr>
                    <w:pStyle w:val="132"/>
                    <w:shd w:val="clear" w:color="auto" w:fill="auto"/>
                    <w:bidi w:val="0"/>
                    <w:ind w:firstLine="0" w:firstLineChars="0"/>
                    <w:jc w:val="both"/>
                    <w:rPr>
                      <w:rFonts w:hint="default" w:ascii="Times New Roman" w:hAnsi="Times New Roman" w:eastAsia="宋体" w:cs="Times New Roman"/>
                      <w:color w:val="auto"/>
                      <w:highlight w:val="none"/>
                      <w:shd w:val="clear" w:color="auto" w:fill="auto"/>
                      <w:lang w:val="en-US" w:eastAsia="zh-CN"/>
                    </w:rPr>
                  </w:pPr>
                  <w:r>
                    <w:rPr>
                      <w:rFonts w:hint="default" w:ascii="Times New Roman" w:hAnsi="Times New Roman" w:eastAsia="宋体" w:cs="Times New Roman"/>
                      <w:color w:val="auto"/>
                      <w:highlight w:val="none"/>
                      <w:shd w:val="clear" w:color="auto" w:fill="auto"/>
                      <w:lang w:val="en-US" w:eastAsia="zh-CN"/>
                    </w:rPr>
                    <w:t>5、项目不位于牛坑湾/将军帽组团；</w:t>
                  </w:r>
                </w:p>
                <w:p w14:paraId="52169D57">
                  <w:pPr>
                    <w:pStyle w:val="132"/>
                    <w:shd w:val="clear" w:color="auto" w:fill="auto"/>
                    <w:bidi w:val="0"/>
                    <w:ind w:firstLine="0" w:firstLineChars="0"/>
                    <w:jc w:val="both"/>
                    <w:rPr>
                      <w:rFonts w:hint="default" w:ascii="Times New Roman" w:hAnsi="Times New Roman" w:eastAsia="宋体" w:cs="Times New Roman"/>
                      <w:color w:val="auto"/>
                      <w:highlight w:val="none"/>
                      <w:shd w:val="clear" w:color="auto" w:fill="auto"/>
                      <w:lang w:val="en-US" w:eastAsia="zh-CN"/>
                    </w:rPr>
                  </w:pPr>
                  <w:r>
                    <w:rPr>
                      <w:rFonts w:hint="default" w:ascii="Times New Roman" w:hAnsi="Times New Roman" w:eastAsia="宋体" w:cs="Times New Roman"/>
                      <w:color w:val="auto"/>
                      <w:highlight w:val="none"/>
                      <w:shd w:val="clear" w:color="auto" w:fill="auto"/>
                      <w:lang w:val="en-US" w:eastAsia="zh-CN"/>
                    </w:rPr>
                    <w:t>6、项目</w:t>
                  </w:r>
                  <w:r>
                    <w:rPr>
                      <w:rFonts w:hint="eastAsia" w:ascii="Times New Roman" w:hAnsi="Times New Roman" w:eastAsia="宋体" w:cs="Times New Roman"/>
                      <w:color w:val="auto"/>
                      <w:highlight w:val="none"/>
                      <w:shd w:val="clear" w:color="auto" w:fill="auto"/>
                      <w:lang w:val="en-US" w:eastAsia="zh-CN"/>
                    </w:rPr>
                    <w:t>不位于金属精深加工产业、钢铁循环经济产业和钢铁绿色产业加工基地内</w:t>
                  </w:r>
                  <w:r>
                    <w:rPr>
                      <w:rFonts w:hint="default" w:ascii="Times New Roman" w:hAnsi="Times New Roman" w:eastAsia="宋体" w:cs="Times New Roman"/>
                      <w:color w:val="auto"/>
                      <w:highlight w:val="none"/>
                      <w:shd w:val="clear" w:color="auto" w:fill="auto"/>
                      <w:lang w:val="en-US" w:eastAsia="zh-CN"/>
                    </w:rPr>
                    <w:t>；</w:t>
                  </w:r>
                </w:p>
                <w:p w14:paraId="7BFDBA18">
                  <w:pPr>
                    <w:pStyle w:val="132"/>
                    <w:shd w:val="clear" w:color="auto" w:fill="auto"/>
                    <w:bidi w:val="0"/>
                    <w:ind w:firstLine="0" w:firstLineChars="0"/>
                    <w:jc w:val="both"/>
                    <w:rPr>
                      <w:rFonts w:hint="default" w:ascii="Times New Roman" w:hAnsi="Times New Roman" w:eastAsia="宋体" w:cs="Times New Roman"/>
                      <w:color w:val="auto"/>
                      <w:highlight w:val="none"/>
                      <w:shd w:val="clear" w:color="auto" w:fill="auto"/>
                      <w:lang w:val="en-US" w:eastAsia="zh-CN"/>
                    </w:rPr>
                  </w:pPr>
                  <w:r>
                    <w:rPr>
                      <w:rFonts w:hint="default" w:ascii="Times New Roman" w:hAnsi="Times New Roman" w:eastAsia="宋体" w:cs="Times New Roman"/>
                      <w:color w:val="auto"/>
                      <w:highlight w:val="none"/>
                      <w:shd w:val="clear" w:color="auto" w:fill="auto"/>
                      <w:lang w:val="en-US" w:eastAsia="zh-CN"/>
                    </w:rPr>
                    <w:t>7、项目不位于可门港区组团；</w:t>
                  </w:r>
                </w:p>
                <w:p w14:paraId="288FEB2D">
                  <w:pPr>
                    <w:pStyle w:val="132"/>
                    <w:shd w:val="clear" w:color="auto" w:fill="auto"/>
                    <w:bidi w:val="0"/>
                    <w:ind w:firstLine="0" w:firstLineChars="0"/>
                    <w:jc w:val="both"/>
                    <w:rPr>
                      <w:rFonts w:hint="default" w:ascii="Times New Roman" w:hAnsi="Times New Roman" w:eastAsia="宋体" w:cs="Times New Roman"/>
                      <w:color w:val="auto"/>
                      <w:highlight w:val="none"/>
                      <w:shd w:val="clear" w:color="auto" w:fill="auto"/>
                      <w:lang w:val="en-US" w:eastAsia="zh-CN"/>
                    </w:rPr>
                  </w:pPr>
                  <w:r>
                    <w:rPr>
                      <w:rFonts w:hint="default" w:ascii="Times New Roman" w:hAnsi="Times New Roman" w:eastAsia="宋体" w:cs="Times New Roman"/>
                      <w:color w:val="auto"/>
                      <w:highlight w:val="none"/>
                      <w:shd w:val="clear" w:color="auto" w:fill="auto"/>
                      <w:lang w:val="en-US" w:eastAsia="zh-CN"/>
                    </w:rPr>
                    <w:t>8、项目不位于大官坂组团。</w:t>
                  </w:r>
                </w:p>
              </w:tc>
              <w:tc>
                <w:tcPr>
                  <w:tcW w:w="977" w:type="dxa"/>
                  <w:tcBorders>
                    <w:tl2br w:val="nil"/>
                    <w:tr2bl w:val="nil"/>
                  </w:tcBorders>
                  <w:noWrap w:val="0"/>
                  <w:vAlign w:val="center"/>
                </w:tcPr>
                <w:p w14:paraId="47F2018E">
                  <w:pPr>
                    <w:pStyle w:val="132"/>
                    <w:shd w:val="clear" w:color="auto" w:fill="auto"/>
                    <w:bidi w:val="0"/>
                    <w:ind w:firstLine="0" w:firstLineChars="0"/>
                    <w:jc w:val="center"/>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符合</w:t>
                  </w:r>
                </w:p>
              </w:tc>
            </w:tr>
            <w:tr w14:paraId="444CC3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36" w:hRule="atLeast"/>
              </w:trPr>
              <w:tc>
                <w:tcPr>
                  <w:tcW w:w="426" w:type="dxa"/>
                  <w:tcBorders>
                    <w:tl2br w:val="nil"/>
                    <w:tr2bl w:val="nil"/>
                  </w:tcBorders>
                  <w:noWrap w:val="0"/>
                  <w:vAlign w:val="center"/>
                </w:tcPr>
                <w:p w14:paraId="6741C34C">
                  <w:pPr>
                    <w:pStyle w:val="132"/>
                    <w:shd w:val="clear" w:color="auto" w:fill="auto"/>
                    <w:bidi w:val="0"/>
                    <w:ind w:firstLine="0" w:firstLineChars="0"/>
                    <w:jc w:val="both"/>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污染物排放管控</w:t>
                  </w:r>
                </w:p>
              </w:tc>
              <w:tc>
                <w:tcPr>
                  <w:tcW w:w="7142" w:type="dxa"/>
                  <w:tcBorders>
                    <w:tl2br w:val="nil"/>
                    <w:tr2bl w:val="nil"/>
                  </w:tcBorders>
                  <w:noWrap w:val="0"/>
                  <w:vAlign w:val="center"/>
                </w:tcPr>
                <w:p w14:paraId="4F20093E">
                  <w:pPr>
                    <w:pStyle w:val="132"/>
                    <w:shd w:val="clear" w:color="auto" w:fill="auto"/>
                    <w:bidi w:val="0"/>
                    <w:ind w:firstLine="0" w:firstLineChars="0"/>
                    <w:jc w:val="both"/>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1、原油地下水封洞库项目应做好VOCs 排放倍量替代，并加强无组织排放管理。</w:t>
                  </w:r>
                </w:p>
                <w:p w14:paraId="2217A4EB">
                  <w:pPr>
                    <w:pStyle w:val="132"/>
                    <w:shd w:val="clear" w:color="auto" w:fill="auto"/>
                    <w:bidi w:val="0"/>
                    <w:ind w:firstLine="0" w:firstLineChars="0"/>
                    <w:jc w:val="both"/>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2、加强涉重产业项目的污染防治和总量控制，定期开展土壤和地下水监测。</w:t>
                  </w:r>
                </w:p>
                <w:p w14:paraId="29D0242F">
                  <w:pPr>
                    <w:pStyle w:val="132"/>
                    <w:shd w:val="clear" w:color="auto" w:fill="auto"/>
                    <w:bidi w:val="0"/>
                    <w:ind w:firstLine="0" w:firstLineChars="0"/>
                    <w:jc w:val="both"/>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3、重点企业的大气污染防治设备、固废污染防治设备、废水处理设备、噪声与振动污染控制（材料）设备和土壤污染防治设备应达到《环境保护综合名录》中的技术要求。</w:t>
                  </w:r>
                </w:p>
              </w:tc>
              <w:tc>
                <w:tcPr>
                  <w:tcW w:w="3683" w:type="dxa"/>
                  <w:tcBorders>
                    <w:tl2br w:val="nil"/>
                    <w:tr2bl w:val="nil"/>
                  </w:tcBorders>
                  <w:noWrap w:val="0"/>
                  <w:vAlign w:val="center"/>
                </w:tcPr>
                <w:p w14:paraId="036C179E">
                  <w:pPr>
                    <w:pStyle w:val="132"/>
                    <w:shd w:val="clear" w:color="auto" w:fill="auto"/>
                    <w:bidi w:val="0"/>
                    <w:ind w:firstLine="0" w:firstLineChars="0"/>
                    <w:jc w:val="both"/>
                    <w:rPr>
                      <w:rFonts w:hint="default" w:ascii="Times New Roman" w:hAnsi="Times New Roman" w:eastAsia="宋体" w:cs="Times New Roman"/>
                      <w:color w:val="auto"/>
                      <w:highlight w:val="none"/>
                      <w:shd w:val="clear" w:color="auto" w:fill="auto"/>
                      <w:lang w:val="en-US" w:eastAsia="zh-CN"/>
                    </w:rPr>
                  </w:pPr>
                  <w:r>
                    <w:rPr>
                      <w:rFonts w:hint="default" w:ascii="Times New Roman" w:hAnsi="Times New Roman" w:eastAsia="宋体" w:cs="Times New Roman"/>
                      <w:color w:val="auto"/>
                      <w:highlight w:val="none"/>
                      <w:shd w:val="clear" w:color="auto" w:fill="auto"/>
                      <w:lang w:val="en-US" w:eastAsia="zh-CN"/>
                    </w:rPr>
                    <w:t>1、项目不属于原油地下水封洞库项目；</w:t>
                  </w:r>
                </w:p>
                <w:p w14:paraId="68043457">
                  <w:pPr>
                    <w:pStyle w:val="132"/>
                    <w:shd w:val="clear" w:color="auto" w:fill="auto"/>
                    <w:bidi w:val="0"/>
                    <w:ind w:firstLine="0" w:firstLineChars="0"/>
                    <w:jc w:val="both"/>
                    <w:rPr>
                      <w:rFonts w:hint="default" w:ascii="Times New Roman" w:hAnsi="Times New Roman" w:eastAsia="宋体" w:cs="Times New Roman"/>
                      <w:color w:val="auto"/>
                      <w:highlight w:val="none"/>
                      <w:shd w:val="clear" w:color="auto" w:fill="auto"/>
                      <w:lang w:val="en-US" w:eastAsia="zh-CN"/>
                    </w:rPr>
                  </w:pPr>
                  <w:r>
                    <w:rPr>
                      <w:rFonts w:hint="default" w:ascii="Times New Roman" w:hAnsi="Times New Roman" w:eastAsia="宋体" w:cs="Times New Roman"/>
                      <w:color w:val="auto"/>
                      <w:highlight w:val="none"/>
                      <w:shd w:val="clear" w:color="auto" w:fill="auto"/>
                      <w:lang w:val="en-US" w:eastAsia="zh-CN"/>
                    </w:rPr>
                    <w:t>2、项目</w:t>
                  </w:r>
                  <w:r>
                    <w:rPr>
                      <w:rFonts w:hint="eastAsia" w:ascii="Times New Roman" w:hAnsi="Times New Roman" w:eastAsia="宋体" w:cs="Times New Roman"/>
                      <w:color w:val="auto"/>
                      <w:highlight w:val="none"/>
                      <w:shd w:val="clear" w:color="auto" w:fill="auto"/>
                      <w:lang w:val="en-US" w:eastAsia="zh-CN"/>
                    </w:rPr>
                    <w:t>不</w:t>
                  </w:r>
                  <w:r>
                    <w:rPr>
                      <w:rFonts w:hint="default" w:ascii="Times New Roman" w:hAnsi="Times New Roman" w:eastAsia="宋体" w:cs="Times New Roman"/>
                      <w:color w:val="auto"/>
                      <w:highlight w:val="none"/>
                      <w:shd w:val="clear" w:color="auto" w:fill="auto"/>
                      <w:lang w:val="en-US" w:eastAsia="zh-CN"/>
                    </w:rPr>
                    <w:t>属于涉重行业；</w:t>
                  </w:r>
                </w:p>
                <w:p w14:paraId="1D00AB63">
                  <w:pPr>
                    <w:pStyle w:val="132"/>
                    <w:shd w:val="clear" w:color="auto" w:fill="auto"/>
                    <w:bidi w:val="0"/>
                    <w:ind w:firstLine="0" w:firstLineChars="0"/>
                    <w:jc w:val="both"/>
                    <w:rPr>
                      <w:rFonts w:hint="default" w:ascii="Times New Roman" w:hAnsi="Times New Roman" w:eastAsia="宋体" w:cs="Times New Roman"/>
                      <w:color w:val="auto"/>
                      <w:highlight w:val="none"/>
                      <w:shd w:val="clear" w:color="auto" w:fill="auto"/>
                      <w:lang w:val="en-US" w:eastAsia="zh-CN"/>
                    </w:rPr>
                  </w:pPr>
                  <w:r>
                    <w:rPr>
                      <w:rFonts w:hint="default" w:ascii="Times New Roman" w:hAnsi="Times New Roman" w:eastAsia="宋体" w:cs="Times New Roman"/>
                      <w:color w:val="auto"/>
                      <w:highlight w:val="none"/>
                      <w:shd w:val="clear" w:color="auto" w:fill="auto"/>
                      <w:lang w:val="en-US" w:eastAsia="zh-CN"/>
                    </w:rPr>
                    <w:t>3、项目不属于《环境保护综合名录》所列</w:t>
                  </w:r>
                  <w:r>
                    <w:rPr>
                      <w:rFonts w:hint="eastAsia" w:ascii="Times New Roman" w:hAnsi="Times New Roman" w:eastAsia="宋体" w:cs="Times New Roman"/>
                      <w:color w:val="auto"/>
                      <w:highlight w:val="none"/>
                      <w:shd w:val="clear" w:color="auto" w:fill="auto"/>
                      <w:lang w:val="en-US" w:eastAsia="zh-CN"/>
                    </w:rPr>
                    <w:t>“</w:t>
                  </w:r>
                  <w:r>
                    <w:rPr>
                      <w:rFonts w:hint="default" w:ascii="Times New Roman" w:hAnsi="Times New Roman" w:eastAsia="宋体" w:cs="Times New Roman"/>
                      <w:color w:val="auto"/>
                      <w:highlight w:val="none"/>
                      <w:shd w:val="clear" w:color="auto" w:fill="auto"/>
                      <w:lang w:val="en-US" w:eastAsia="zh-CN"/>
                    </w:rPr>
                    <w:t>双高</w:t>
                  </w:r>
                  <w:r>
                    <w:rPr>
                      <w:rFonts w:hint="eastAsia" w:ascii="Times New Roman" w:hAnsi="Times New Roman" w:eastAsia="宋体" w:cs="Times New Roman"/>
                      <w:color w:val="auto"/>
                      <w:highlight w:val="none"/>
                      <w:shd w:val="clear" w:color="auto" w:fill="auto"/>
                      <w:lang w:val="en-US" w:eastAsia="zh-CN"/>
                    </w:rPr>
                    <w:t>”</w:t>
                  </w:r>
                  <w:r>
                    <w:rPr>
                      <w:rFonts w:hint="default" w:ascii="Times New Roman" w:hAnsi="Times New Roman" w:eastAsia="宋体" w:cs="Times New Roman"/>
                      <w:color w:val="auto"/>
                      <w:highlight w:val="none"/>
                      <w:shd w:val="clear" w:color="auto" w:fill="auto"/>
                      <w:lang w:val="en-US" w:eastAsia="zh-CN"/>
                    </w:rPr>
                    <w:t>重点企业。</w:t>
                  </w:r>
                </w:p>
              </w:tc>
              <w:tc>
                <w:tcPr>
                  <w:tcW w:w="977" w:type="dxa"/>
                  <w:tcBorders>
                    <w:tl2br w:val="nil"/>
                    <w:tr2bl w:val="nil"/>
                  </w:tcBorders>
                  <w:noWrap w:val="0"/>
                  <w:vAlign w:val="center"/>
                </w:tcPr>
                <w:p w14:paraId="7CB489BC">
                  <w:pPr>
                    <w:pStyle w:val="132"/>
                    <w:shd w:val="clear" w:color="auto" w:fill="auto"/>
                    <w:bidi w:val="0"/>
                    <w:ind w:firstLine="0" w:firstLineChars="0"/>
                    <w:jc w:val="center"/>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符合</w:t>
                  </w:r>
                </w:p>
              </w:tc>
            </w:tr>
            <w:tr w14:paraId="2C10B8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6" w:type="dxa"/>
                  <w:tcBorders>
                    <w:tl2br w:val="nil"/>
                    <w:tr2bl w:val="nil"/>
                  </w:tcBorders>
                  <w:noWrap w:val="0"/>
                  <w:vAlign w:val="center"/>
                </w:tcPr>
                <w:p w14:paraId="1EE76A7C">
                  <w:pPr>
                    <w:pStyle w:val="132"/>
                    <w:shd w:val="clear" w:color="auto" w:fill="auto"/>
                    <w:bidi w:val="0"/>
                    <w:ind w:firstLine="0" w:firstLineChars="0"/>
                    <w:jc w:val="both"/>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环境风险防控</w:t>
                  </w:r>
                </w:p>
              </w:tc>
              <w:tc>
                <w:tcPr>
                  <w:tcW w:w="7142" w:type="dxa"/>
                  <w:tcBorders>
                    <w:tl2br w:val="nil"/>
                    <w:tr2bl w:val="nil"/>
                  </w:tcBorders>
                  <w:noWrap w:val="0"/>
                  <w:vAlign w:val="center"/>
                </w:tcPr>
                <w:p w14:paraId="64B36800">
                  <w:pPr>
                    <w:pStyle w:val="132"/>
                    <w:shd w:val="clear" w:color="auto" w:fill="auto"/>
                    <w:bidi w:val="0"/>
                    <w:ind w:firstLine="0" w:firstLineChars="0"/>
                    <w:jc w:val="both"/>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1、原油地下水封洞库项目的洞库、地面储运设施、库区输油管线和事故应急池等设施，应当按照国家有关标准和规范的要求，设计、建设和安装有关防腐蚀、防泄漏设施和泄漏监测装置，防止有毒有害物质污染土壤和地下水。</w:t>
                  </w:r>
                </w:p>
                <w:p w14:paraId="24E56E64">
                  <w:pPr>
                    <w:pStyle w:val="132"/>
                    <w:shd w:val="clear" w:color="auto" w:fill="auto"/>
                    <w:bidi w:val="0"/>
                    <w:ind w:firstLine="0" w:firstLineChars="0"/>
                    <w:jc w:val="both"/>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2、在企业设置环境风险事故应急池的基地上，相关园区应健全环境风险防控体系，建设公共环境应急池系统，完善事故废水导流措施，建设功率足够的双向动力提升设施，形成企业应急池、企业间应急池共用和园区公共应急池三级应急池体系，提升园区应对环境风险能力。</w:t>
                  </w:r>
                </w:p>
                <w:p w14:paraId="48532F4E">
                  <w:pPr>
                    <w:pStyle w:val="132"/>
                    <w:shd w:val="clear" w:color="auto" w:fill="auto"/>
                    <w:bidi w:val="0"/>
                    <w:ind w:firstLine="0" w:firstLineChars="0"/>
                    <w:jc w:val="both"/>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3、加强区域应急物资储备与调配管理，构建区域环境风险联控机制，全面提升区域环境风险防控和应急响应能力。</w:t>
                  </w:r>
                </w:p>
                <w:p w14:paraId="7EF7FCE7">
                  <w:pPr>
                    <w:pStyle w:val="132"/>
                    <w:shd w:val="clear" w:color="auto" w:fill="auto"/>
                    <w:bidi w:val="0"/>
                    <w:ind w:firstLine="0" w:firstLineChars="0"/>
                    <w:jc w:val="both"/>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4、建立污染天气、重点断面监测预警系统，建立市、县联动应急响应体系，实行联防联控。</w:t>
                  </w:r>
                </w:p>
                <w:p w14:paraId="1F44E450">
                  <w:pPr>
                    <w:pStyle w:val="132"/>
                    <w:shd w:val="clear" w:color="auto" w:fill="auto"/>
                    <w:bidi w:val="0"/>
                    <w:ind w:firstLine="0" w:firstLineChars="0"/>
                    <w:jc w:val="both"/>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5、依照规划实施情况按时做好跟踪评价，定期开展区域环境监测。</w:t>
                  </w:r>
                </w:p>
              </w:tc>
              <w:tc>
                <w:tcPr>
                  <w:tcW w:w="3683" w:type="dxa"/>
                  <w:tcBorders>
                    <w:tl2br w:val="nil"/>
                    <w:tr2bl w:val="nil"/>
                  </w:tcBorders>
                  <w:noWrap w:val="0"/>
                  <w:vAlign w:val="center"/>
                </w:tcPr>
                <w:p w14:paraId="43E8B0B7">
                  <w:pPr>
                    <w:pStyle w:val="132"/>
                    <w:shd w:val="clear" w:color="auto" w:fill="auto"/>
                    <w:bidi w:val="0"/>
                    <w:ind w:firstLine="0" w:firstLineChars="0"/>
                    <w:jc w:val="both"/>
                    <w:rPr>
                      <w:rFonts w:hint="default" w:ascii="Times New Roman" w:hAnsi="Times New Roman" w:eastAsia="宋体" w:cs="Times New Roman"/>
                      <w:color w:val="auto"/>
                      <w:highlight w:val="none"/>
                      <w:shd w:val="clear" w:color="auto" w:fill="auto"/>
                      <w:lang w:val="en-US" w:eastAsia="zh-CN"/>
                    </w:rPr>
                  </w:pPr>
                  <w:r>
                    <w:rPr>
                      <w:rFonts w:hint="default" w:ascii="Times New Roman" w:hAnsi="Times New Roman" w:eastAsia="宋体" w:cs="Times New Roman"/>
                      <w:color w:val="auto"/>
                      <w:highlight w:val="none"/>
                      <w:shd w:val="clear" w:color="auto" w:fill="auto"/>
                      <w:lang w:val="en-US" w:eastAsia="zh-CN"/>
                    </w:rPr>
                    <w:t>1、项目不属于原油地下水封洞库项目；</w:t>
                  </w:r>
                </w:p>
                <w:p w14:paraId="6EC418EA">
                  <w:pPr>
                    <w:pStyle w:val="132"/>
                    <w:shd w:val="clear" w:color="auto" w:fill="auto"/>
                    <w:bidi w:val="0"/>
                    <w:ind w:firstLine="0" w:firstLineChars="0"/>
                    <w:jc w:val="both"/>
                    <w:rPr>
                      <w:rFonts w:hint="default" w:ascii="Times New Roman" w:hAnsi="Times New Roman" w:eastAsia="宋体" w:cs="Times New Roman"/>
                      <w:color w:val="auto"/>
                      <w:highlight w:val="none"/>
                      <w:shd w:val="clear" w:color="auto" w:fill="auto"/>
                      <w:lang w:val="en-US" w:eastAsia="zh-CN"/>
                    </w:rPr>
                  </w:pPr>
                  <w:r>
                    <w:rPr>
                      <w:rFonts w:hint="default" w:ascii="Times New Roman" w:hAnsi="Times New Roman" w:eastAsia="宋体" w:cs="Times New Roman"/>
                      <w:color w:val="auto"/>
                      <w:highlight w:val="none"/>
                      <w:shd w:val="clear" w:color="auto" w:fill="auto"/>
                      <w:lang w:val="en-US" w:eastAsia="zh-CN"/>
                    </w:rPr>
                    <w:t>2、项目</w:t>
                  </w:r>
                  <w:r>
                    <w:rPr>
                      <w:rFonts w:hint="eastAsia" w:ascii="Times New Roman" w:hAnsi="Times New Roman" w:eastAsia="宋体" w:cs="Times New Roman"/>
                      <w:color w:val="auto"/>
                      <w:highlight w:val="none"/>
                      <w:shd w:val="clear" w:color="auto" w:fill="auto"/>
                      <w:lang w:val="en-US" w:eastAsia="zh-CN"/>
                    </w:rPr>
                    <w:t>后续将建设</w:t>
                  </w:r>
                  <w:r>
                    <w:rPr>
                      <w:rFonts w:hint="default" w:ascii="Times New Roman" w:hAnsi="Times New Roman" w:eastAsia="宋体" w:cs="Times New Roman"/>
                      <w:color w:val="auto"/>
                      <w:highlight w:val="none"/>
                      <w:shd w:val="clear" w:color="auto" w:fill="auto"/>
                      <w:lang w:val="en-US" w:eastAsia="zh-CN"/>
                    </w:rPr>
                    <w:t>事故应急池；</w:t>
                  </w:r>
                </w:p>
                <w:p w14:paraId="45150CDD">
                  <w:pPr>
                    <w:pStyle w:val="132"/>
                    <w:shd w:val="clear" w:color="auto" w:fill="auto"/>
                    <w:bidi w:val="0"/>
                    <w:ind w:firstLine="0" w:firstLineChars="0"/>
                    <w:jc w:val="both"/>
                    <w:rPr>
                      <w:rFonts w:hint="default" w:ascii="Times New Roman" w:hAnsi="Times New Roman" w:eastAsia="宋体" w:cs="Times New Roman"/>
                      <w:color w:val="auto"/>
                      <w:highlight w:val="none"/>
                      <w:shd w:val="clear" w:color="auto" w:fill="auto"/>
                      <w:lang w:val="en-US" w:eastAsia="zh-CN"/>
                    </w:rPr>
                  </w:pPr>
                  <w:r>
                    <w:rPr>
                      <w:rFonts w:hint="default" w:ascii="Times New Roman" w:hAnsi="Times New Roman" w:eastAsia="宋体" w:cs="Times New Roman"/>
                      <w:color w:val="auto"/>
                      <w:highlight w:val="none"/>
                      <w:shd w:val="clear" w:color="auto" w:fill="auto"/>
                      <w:lang w:val="en-US" w:eastAsia="zh-CN"/>
                    </w:rPr>
                    <w:t>3、项目建成后将加强与园区、周边企业的应急联动；</w:t>
                  </w:r>
                </w:p>
                <w:p w14:paraId="0C219A34">
                  <w:pPr>
                    <w:pStyle w:val="132"/>
                    <w:shd w:val="clear" w:color="auto" w:fill="auto"/>
                    <w:bidi w:val="0"/>
                    <w:ind w:firstLine="0" w:firstLineChars="0"/>
                    <w:jc w:val="both"/>
                    <w:rPr>
                      <w:rFonts w:hint="default" w:ascii="Times New Roman" w:hAnsi="Times New Roman" w:eastAsia="宋体" w:cs="Times New Roman"/>
                      <w:color w:val="auto"/>
                      <w:highlight w:val="none"/>
                      <w:shd w:val="clear" w:color="auto" w:fill="auto"/>
                      <w:lang w:val="en-US" w:eastAsia="zh-CN"/>
                    </w:rPr>
                  </w:pPr>
                  <w:r>
                    <w:rPr>
                      <w:rFonts w:hint="default" w:ascii="Times New Roman" w:hAnsi="Times New Roman" w:eastAsia="宋体" w:cs="Times New Roman"/>
                      <w:color w:val="auto"/>
                      <w:highlight w:val="none"/>
                      <w:shd w:val="clear" w:color="auto" w:fill="auto"/>
                      <w:lang w:val="en-US" w:eastAsia="zh-CN"/>
                    </w:rPr>
                    <w:t>4、项目建成后将实行联防联控；</w:t>
                  </w:r>
                </w:p>
                <w:p w14:paraId="6A4615A1">
                  <w:pPr>
                    <w:pStyle w:val="132"/>
                    <w:shd w:val="clear" w:color="auto" w:fill="auto"/>
                    <w:bidi w:val="0"/>
                    <w:ind w:firstLine="0" w:firstLineChars="0"/>
                    <w:jc w:val="both"/>
                    <w:rPr>
                      <w:rFonts w:hint="default" w:ascii="Times New Roman" w:hAnsi="Times New Roman" w:eastAsia="宋体" w:cs="Times New Roman"/>
                      <w:color w:val="auto"/>
                      <w:highlight w:val="none"/>
                      <w:shd w:val="clear" w:color="auto" w:fill="auto"/>
                      <w:lang w:val="en-US" w:eastAsia="zh-CN"/>
                    </w:rPr>
                  </w:pPr>
                  <w:r>
                    <w:rPr>
                      <w:rFonts w:hint="default" w:ascii="Times New Roman" w:hAnsi="Times New Roman" w:eastAsia="宋体" w:cs="Times New Roman"/>
                      <w:color w:val="auto"/>
                      <w:highlight w:val="none"/>
                      <w:shd w:val="clear" w:color="auto" w:fill="auto"/>
                      <w:lang w:val="en-US" w:eastAsia="zh-CN"/>
                    </w:rPr>
                    <w:t>5、项目建成后将定期开展项目区内土壤和地下水质量监测。</w:t>
                  </w:r>
                </w:p>
              </w:tc>
              <w:tc>
                <w:tcPr>
                  <w:tcW w:w="977" w:type="dxa"/>
                  <w:tcBorders>
                    <w:tl2br w:val="nil"/>
                    <w:tr2bl w:val="nil"/>
                  </w:tcBorders>
                  <w:noWrap w:val="0"/>
                  <w:vAlign w:val="center"/>
                </w:tcPr>
                <w:p w14:paraId="65476B97">
                  <w:pPr>
                    <w:pStyle w:val="132"/>
                    <w:shd w:val="clear" w:color="auto" w:fill="auto"/>
                    <w:bidi w:val="0"/>
                    <w:ind w:firstLine="0" w:firstLineChars="0"/>
                    <w:jc w:val="center"/>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符合</w:t>
                  </w:r>
                </w:p>
              </w:tc>
            </w:tr>
            <w:tr w14:paraId="0FD916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6" w:type="dxa"/>
                  <w:tcBorders>
                    <w:tl2br w:val="nil"/>
                    <w:tr2bl w:val="nil"/>
                  </w:tcBorders>
                  <w:noWrap w:val="0"/>
                  <w:vAlign w:val="center"/>
                </w:tcPr>
                <w:p w14:paraId="638F13AF">
                  <w:pPr>
                    <w:pStyle w:val="132"/>
                    <w:shd w:val="clear" w:color="auto" w:fill="auto"/>
                    <w:bidi w:val="0"/>
                    <w:ind w:firstLine="0" w:firstLineChars="0"/>
                    <w:jc w:val="both"/>
                    <w:rPr>
                      <w:rFonts w:hint="default" w:ascii="Times New Roman" w:hAnsi="Times New Roman" w:eastAsia="宋体" w:cs="Times New Roman"/>
                      <w:color w:val="auto"/>
                      <w:highlight w:val="none"/>
                      <w:shd w:val="clear" w:color="auto" w:fill="auto"/>
                      <w:lang w:val="en-US" w:eastAsia="zh-CN"/>
                    </w:rPr>
                  </w:pPr>
                  <w:r>
                    <w:rPr>
                      <w:rFonts w:hint="default" w:ascii="Times New Roman" w:hAnsi="Times New Roman" w:eastAsia="宋体" w:cs="Times New Roman"/>
                      <w:color w:val="auto"/>
                      <w:highlight w:val="none"/>
                      <w:shd w:val="clear" w:color="auto" w:fill="auto"/>
                      <w:lang w:val="en-US" w:eastAsia="zh-CN"/>
                    </w:rPr>
                    <w:t>资源开发利用要求</w:t>
                  </w:r>
                </w:p>
              </w:tc>
              <w:tc>
                <w:tcPr>
                  <w:tcW w:w="7142" w:type="dxa"/>
                  <w:tcBorders>
                    <w:tl2br w:val="nil"/>
                    <w:tr2bl w:val="nil"/>
                  </w:tcBorders>
                  <w:noWrap w:val="0"/>
                  <w:vAlign w:val="center"/>
                </w:tcPr>
                <w:p w14:paraId="1EAE62A3">
                  <w:pPr>
                    <w:pStyle w:val="132"/>
                    <w:shd w:val="clear" w:color="auto" w:fill="auto"/>
                    <w:bidi w:val="0"/>
                    <w:ind w:firstLine="0" w:firstLineChars="0"/>
                    <w:jc w:val="both"/>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1、引进的各类项目，其生产工艺、设备、污染治理技术，以及单位产品能耗、物耗、污染物排放和资源利用效率应至少达到国内同行业先进水平。其中，台商投资区引进项目的生产工艺、装备水平、污染治理技术，一级单位产品能耗、物耗、污染物排放和资源利用率应达到同行业国际先进水平。</w:t>
                  </w:r>
                </w:p>
                <w:p w14:paraId="00547CF3">
                  <w:pPr>
                    <w:pStyle w:val="132"/>
                    <w:shd w:val="clear" w:color="auto" w:fill="auto"/>
                    <w:bidi w:val="0"/>
                    <w:ind w:firstLine="0" w:firstLineChars="0"/>
                    <w:jc w:val="both"/>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2、水资源利用要求：加强水资源再生利用、梯级分质利用，持续提高工业废水循环利用率。</w:t>
                  </w:r>
                </w:p>
                <w:p w14:paraId="54ED8DE0">
                  <w:pPr>
                    <w:pStyle w:val="132"/>
                    <w:shd w:val="clear" w:color="auto" w:fill="auto"/>
                    <w:bidi w:val="0"/>
                    <w:ind w:firstLine="0" w:firstLineChars="0"/>
                    <w:jc w:val="both"/>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3、地下水资源利用要求：定期开展地下水水位监测工作，避免地下水水位下降影响区域民用井等补充分散式饮用水水源。</w:t>
                  </w:r>
                </w:p>
                <w:p w14:paraId="5E469A57">
                  <w:pPr>
                    <w:pStyle w:val="132"/>
                    <w:shd w:val="clear" w:color="auto" w:fill="auto"/>
                    <w:bidi w:val="0"/>
                    <w:ind w:firstLine="0" w:firstLineChars="0"/>
                    <w:jc w:val="both"/>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4、土地资源利用要求：用地类型变更应征得自然资源主管部门同意；节约集约利用土地，提高土地资源开发利用率；维持岸线自然属性，保护岸线原有生态功能，加强对受损自然岸线的整治与修复；严控新增围填海造地，严格落实《国务院关于加强滨海湿地保护严格管控围填海的通知》（国发〔2018〕24 号）要求，新增围填海项目按程序报国家相关部门审批。</w:t>
                  </w:r>
                </w:p>
                <w:p w14:paraId="786D045A">
                  <w:pPr>
                    <w:pStyle w:val="132"/>
                    <w:shd w:val="clear" w:color="auto" w:fill="auto"/>
                    <w:bidi w:val="0"/>
                    <w:ind w:firstLine="0" w:firstLineChars="0"/>
                    <w:jc w:val="both"/>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5、节能降碳要求：鼓励重点企业编制节能降碳方案。</w:t>
                  </w:r>
                </w:p>
                <w:p w14:paraId="13F86BB0">
                  <w:pPr>
                    <w:pStyle w:val="132"/>
                    <w:shd w:val="clear" w:color="auto" w:fill="auto"/>
                    <w:bidi w:val="0"/>
                    <w:ind w:firstLine="0" w:firstLineChars="0"/>
                    <w:jc w:val="both"/>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6、水土保持要求：原油地下水封洞库项目应尽可能减少对植被、山体的破坏，尽量恢复原有植被。</w:t>
                  </w:r>
                </w:p>
              </w:tc>
              <w:tc>
                <w:tcPr>
                  <w:tcW w:w="3683" w:type="dxa"/>
                  <w:tcBorders>
                    <w:tl2br w:val="nil"/>
                    <w:tr2bl w:val="nil"/>
                  </w:tcBorders>
                  <w:noWrap w:val="0"/>
                  <w:vAlign w:val="center"/>
                </w:tcPr>
                <w:p w14:paraId="1EF5397C">
                  <w:pPr>
                    <w:pStyle w:val="132"/>
                    <w:shd w:val="clear" w:color="auto" w:fill="auto"/>
                    <w:bidi w:val="0"/>
                    <w:ind w:firstLine="0" w:firstLineChars="0"/>
                    <w:jc w:val="both"/>
                    <w:rPr>
                      <w:rFonts w:hint="default" w:ascii="Times New Roman" w:hAnsi="Times New Roman" w:eastAsia="宋体" w:cs="Times New Roman"/>
                      <w:color w:val="auto"/>
                      <w:highlight w:val="none"/>
                      <w:shd w:val="clear" w:color="auto" w:fill="auto"/>
                      <w:lang w:val="en-US" w:eastAsia="zh-CN"/>
                    </w:rPr>
                  </w:pPr>
                  <w:r>
                    <w:rPr>
                      <w:rFonts w:hint="default" w:ascii="Times New Roman" w:hAnsi="Times New Roman" w:eastAsia="宋体" w:cs="Times New Roman"/>
                      <w:color w:val="auto"/>
                      <w:highlight w:val="none"/>
                      <w:shd w:val="clear" w:color="auto" w:fill="auto"/>
                      <w:lang w:val="en-US" w:eastAsia="zh-CN"/>
                    </w:rPr>
                    <w:t>1、本项目生产工艺、设备、污染治理技术，以及单位产品能耗、物耗、污染物排放和资源利用效率可达到国内同行业先进水平；</w:t>
                  </w:r>
                </w:p>
                <w:p w14:paraId="66375CA2">
                  <w:pPr>
                    <w:pStyle w:val="132"/>
                    <w:shd w:val="clear" w:color="auto" w:fill="auto"/>
                    <w:bidi w:val="0"/>
                    <w:ind w:firstLine="0" w:firstLineChars="0"/>
                    <w:jc w:val="both"/>
                    <w:rPr>
                      <w:rFonts w:hint="default" w:ascii="Times New Roman" w:hAnsi="Times New Roman" w:eastAsia="宋体" w:cs="Times New Roman"/>
                      <w:color w:val="auto"/>
                      <w:highlight w:val="none"/>
                      <w:shd w:val="clear" w:color="auto" w:fill="auto"/>
                      <w:lang w:val="en-US" w:eastAsia="zh-CN"/>
                    </w:rPr>
                  </w:pPr>
                  <w:r>
                    <w:rPr>
                      <w:rFonts w:hint="default" w:ascii="Times New Roman" w:hAnsi="Times New Roman" w:eastAsia="宋体" w:cs="Times New Roman"/>
                      <w:color w:val="auto"/>
                      <w:highlight w:val="none"/>
                      <w:shd w:val="clear" w:color="auto" w:fill="auto"/>
                      <w:lang w:val="en-US" w:eastAsia="zh-CN"/>
                    </w:rPr>
                    <w:t>2、</w:t>
                  </w:r>
                  <w:r>
                    <w:rPr>
                      <w:rFonts w:hint="eastAsia" w:ascii="Times New Roman" w:hAnsi="Times New Roman" w:eastAsia="宋体" w:cs="Times New Roman"/>
                      <w:color w:val="auto"/>
                      <w:highlight w:val="none"/>
                      <w:shd w:val="clear" w:color="auto" w:fill="auto"/>
                      <w:lang w:val="en-US" w:eastAsia="zh-CN"/>
                    </w:rPr>
                    <w:t>本项目</w:t>
                  </w:r>
                  <w:r>
                    <w:rPr>
                      <w:rFonts w:hint="eastAsia" w:ascii="Times New Roman" w:hAnsi="Times New Roman" w:eastAsia="宋体" w:cs="Times New Roman"/>
                      <w:iCs/>
                      <w:color w:val="auto"/>
                      <w:kern w:val="0"/>
                      <w:sz w:val="21"/>
                      <w:szCs w:val="21"/>
                      <w:highlight w:val="none"/>
                      <w:lang w:val="en-US" w:eastAsia="zh-CN"/>
                    </w:rPr>
                    <w:t>食堂废水经隔油池预处理后与</w:t>
                  </w:r>
                  <w:r>
                    <w:rPr>
                      <w:rFonts w:hint="eastAsia" w:ascii="Times New Roman" w:hAnsi="Times New Roman" w:eastAsia="宋体" w:cs="Times New Roman"/>
                      <w:iCs/>
                      <w:color w:val="auto"/>
                      <w:kern w:val="0"/>
                      <w:sz w:val="21"/>
                      <w:szCs w:val="21"/>
                      <w:highlight w:val="none"/>
                    </w:rPr>
                    <w:t>生活废水一起经</w:t>
                  </w:r>
                  <w:r>
                    <w:rPr>
                      <w:rFonts w:hint="eastAsia" w:ascii="Times New Roman" w:hAnsi="Times New Roman" w:eastAsia="宋体" w:cs="Times New Roman"/>
                      <w:iCs/>
                      <w:color w:val="auto"/>
                      <w:kern w:val="0"/>
                      <w:sz w:val="21"/>
                      <w:szCs w:val="21"/>
                      <w:highlight w:val="none"/>
                      <w:lang w:val="en-US" w:eastAsia="zh-CN"/>
                    </w:rPr>
                    <w:t>厂区</w:t>
                  </w:r>
                  <w:r>
                    <w:rPr>
                      <w:rFonts w:hint="eastAsia" w:ascii="Times New Roman" w:hAnsi="Times New Roman" w:eastAsia="宋体" w:cs="Times New Roman"/>
                      <w:iCs/>
                      <w:color w:val="auto"/>
                      <w:kern w:val="0"/>
                      <w:sz w:val="21"/>
                      <w:szCs w:val="21"/>
                      <w:highlight w:val="none"/>
                    </w:rPr>
                    <w:t>化粪池处理达</w:t>
                  </w:r>
                  <w:r>
                    <w:rPr>
                      <w:rFonts w:hint="eastAsia" w:ascii="Times New Roman" w:hAnsi="Times New Roman" w:eastAsia="宋体" w:cs="Times New Roman"/>
                      <w:iCs/>
                      <w:color w:val="auto"/>
                      <w:kern w:val="0"/>
                      <w:sz w:val="21"/>
                      <w:szCs w:val="21"/>
                      <w:highlight w:val="none"/>
                      <w:lang w:val="en-US" w:eastAsia="zh-CN"/>
                    </w:rPr>
                    <w:t>标</w:t>
                  </w:r>
                  <w:r>
                    <w:rPr>
                      <w:rFonts w:hint="eastAsia" w:ascii="Times New Roman" w:hAnsi="Times New Roman" w:eastAsia="宋体" w:cs="Times New Roman"/>
                      <w:iCs/>
                      <w:color w:val="auto"/>
                      <w:kern w:val="0"/>
                      <w:sz w:val="21"/>
                      <w:szCs w:val="21"/>
                      <w:highlight w:val="none"/>
                    </w:rPr>
                    <w:t>后排入市政污水管网</w:t>
                  </w:r>
                  <w:r>
                    <w:rPr>
                      <w:rFonts w:hint="eastAsia" w:ascii="Times New Roman" w:hAnsi="Times New Roman" w:eastAsia="宋体" w:cs="Times New Roman"/>
                      <w:color w:val="auto"/>
                      <w:highlight w:val="none"/>
                      <w:shd w:val="clear" w:color="auto" w:fill="auto"/>
                      <w:lang w:val="en-US" w:eastAsia="zh-CN"/>
                    </w:rPr>
                    <w:t>；</w:t>
                  </w:r>
                </w:p>
                <w:p w14:paraId="558A2048">
                  <w:pPr>
                    <w:pStyle w:val="132"/>
                    <w:shd w:val="clear" w:color="auto" w:fill="auto"/>
                    <w:bidi w:val="0"/>
                    <w:ind w:firstLine="0" w:firstLineChars="0"/>
                    <w:jc w:val="both"/>
                    <w:rPr>
                      <w:rFonts w:hint="default" w:ascii="Times New Roman" w:hAnsi="Times New Roman" w:eastAsia="宋体" w:cs="Times New Roman"/>
                      <w:color w:val="auto"/>
                      <w:highlight w:val="none"/>
                      <w:shd w:val="clear" w:color="auto" w:fill="auto"/>
                      <w:lang w:val="en-US" w:eastAsia="zh-CN"/>
                    </w:rPr>
                  </w:pPr>
                  <w:r>
                    <w:rPr>
                      <w:rFonts w:hint="default" w:ascii="Times New Roman" w:hAnsi="Times New Roman" w:eastAsia="宋体" w:cs="Times New Roman"/>
                      <w:color w:val="auto"/>
                      <w:highlight w:val="none"/>
                      <w:shd w:val="clear" w:color="auto" w:fill="auto"/>
                      <w:lang w:val="en-US" w:eastAsia="zh-CN"/>
                    </w:rPr>
                    <w:t>3、项目定期开展地下水质量监测时将同步监测地下水水位；</w:t>
                  </w:r>
                </w:p>
                <w:p w14:paraId="75A20D03">
                  <w:pPr>
                    <w:pStyle w:val="132"/>
                    <w:shd w:val="clear" w:color="auto" w:fill="auto"/>
                    <w:bidi w:val="0"/>
                    <w:ind w:firstLine="0" w:firstLineChars="0"/>
                    <w:jc w:val="both"/>
                    <w:rPr>
                      <w:rFonts w:hint="default" w:ascii="Times New Roman" w:hAnsi="Times New Roman" w:eastAsia="宋体" w:cs="Times New Roman"/>
                      <w:color w:val="auto"/>
                      <w:highlight w:val="none"/>
                      <w:shd w:val="clear" w:color="auto" w:fill="auto"/>
                      <w:lang w:val="en-US" w:eastAsia="zh-CN"/>
                    </w:rPr>
                  </w:pPr>
                  <w:r>
                    <w:rPr>
                      <w:rFonts w:hint="default" w:ascii="Times New Roman" w:hAnsi="Times New Roman" w:eastAsia="宋体" w:cs="Times New Roman"/>
                      <w:color w:val="auto"/>
                      <w:highlight w:val="none"/>
                      <w:shd w:val="clear" w:color="auto" w:fill="auto"/>
                      <w:lang w:val="en-US" w:eastAsia="zh-CN"/>
                    </w:rPr>
                    <w:t>4、项目利用现状工业用地建设，不涉及岸线、围填海造地；</w:t>
                  </w:r>
                </w:p>
                <w:p w14:paraId="6CCAE01A">
                  <w:pPr>
                    <w:pStyle w:val="132"/>
                    <w:shd w:val="clear" w:color="auto" w:fill="auto"/>
                    <w:bidi w:val="0"/>
                    <w:ind w:firstLine="0" w:firstLineChars="0"/>
                    <w:jc w:val="both"/>
                    <w:rPr>
                      <w:rFonts w:hint="default" w:ascii="Times New Roman" w:hAnsi="Times New Roman" w:eastAsia="宋体" w:cs="Times New Roman"/>
                      <w:color w:val="auto"/>
                      <w:highlight w:val="none"/>
                      <w:shd w:val="clear" w:color="auto" w:fill="auto"/>
                      <w:lang w:val="en-US" w:eastAsia="zh-CN"/>
                    </w:rPr>
                  </w:pPr>
                  <w:r>
                    <w:rPr>
                      <w:rFonts w:hint="default" w:ascii="Times New Roman" w:hAnsi="Times New Roman" w:eastAsia="宋体" w:cs="Times New Roman"/>
                      <w:color w:val="auto"/>
                      <w:highlight w:val="none"/>
                      <w:shd w:val="clear" w:color="auto" w:fill="auto"/>
                      <w:lang w:val="en-US" w:eastAsia="zh-CN"/>
                    </w:rPr>
                    <w:t>5、项目</w:t>
                  </w:r>
                  <w:r>
                    <w:rPr>
                      <w:rFonts w:hint="eastAsia" w:ascii="Times New Roman" w:hAnsi="Times New Roman" w:eastAsia="宋体" w:cs="Times New Roman"/>
                      <w:color w:val="auto"/>
                      <w:highlight w:val="none"/>
                      <w:shd w:val="clear" w:color="auto" w:fill="auto"/>
                      <w:lang w:val="en-US" w:eastAsia="zh-CN"/>
                    </w:rPr>
                    <w:t>无需编制节能降碳方案</w:t>
                  </w:r>
                  <w:r>
                    <w:rPr>
                      <w:rFonts w:hint="default" w:ascii="Times New Roman" w:hAnsi="Times New Roman" w:eastAsia="宋体" w:cs="Times New Roman"/>
                      <w:color w:val="auto"/>
                      <w:highlight w:val="none"/>
                      <w:shd w:val="clear" w:color="auto" w:fill="auto"/>
                      <w:lang w:val="en-US" w:eastAsia="zh-CN"/>
                    </w:rPr>
                    <w:t>；</w:t>
                  </w:r>
                </w:p>
                <w:p w14:paraId="1BD8F61C">
                  <w:pPr>
                    <w:pStyle w:val="132"/>
                    <w:shd w:val="clear" w:color="auto" w:fill="auto"/>
                    <w:bidi w:val="0"/>
                    <w:ind w:firstLine="0" w:firstLineChars="0"/>
                    <w:jc w:val="both"/>
                    <w:rPr>
                      <w:rFonts w:hint="default" w:ascii="Times New Roman" w:hAnsi="Times New Roman" w:eastAsia="宋体" w:cs="Times New Roman"/>
                      <w:color w:val="auto"/>
                      <w:highlight w:val="none"/>
                      <w:shd w:val="clear" w:color="auto" w:fill="auto"/>
                      <w:lang w:val="en-US" w:eastAsia="zh-CN"/>
                    </w:rPr>
                  </w:pPr>
                  <w:r>
                    <w:rPr>
                      <w:rFonts w:hint="default" w:ascii="Times New Roman" w:hAnsi="Times New Roman" w:eastAsia="宋体" w:cs="Times New Roman"/>
                      <w:color w:val="auto"/>
                      <w:highlight w:val="none"/>
                      <w:shd w:val="clear" w:color="auto" w:fill="auto"/>
                      <w:lang w:val="en-US" w:eastAsia="zh-CN"/>
                    </w:rPr>
                    <w:t>6、项目不属于原油地下水封洞库项目。</w:t>
                  </w:r>
                </w:p>
              </w:tc>
              <w:tc>
                <w:tcPr>
                  <w:tcW w:w="977" w:type="dxa"/>
                  <w:tcBorders>
                    <w:tl2br w:val="nil"/>
                    <w:tr2bl w:val="nil"/>
                  </w:tcBorders>
                  <w:noWrap w:val="0"/>
                  <w:vAlign w:val="center"/>
                </w:tcPr>
                <w:p w14:paraId="1BAB552C">
                  <w:pPr>
                    <w:pStyle w:val="132"/>
                    <w:shd w:val="clear" w:color="auto" w:fill="auto"/>
                    <w:bidi w:val="0"/>
                    <w:ind w:firstLine="0" w:firstLineChars="0"/>
                    <w:jc w:val="center"/>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符合</w:t>
                  </w:r>
                </w:p>
              </w:tc>
            </w:tr>
          </w:tbl>
          <w:p w14:paraId="1781A404">
            <w:pPr>
              <w:pStyle w:val="81"/>
              <w:shd w:val="clear" w:color="auto" w:fill="auto"/>
              <w:bidi w:val="0"/>
              <w:rPr>
                <w:rFonts w:hint="default" w:ascii="Times New Roman" w:hAnsi="Times New Roman" w:eastAsia="宋体" w:cs="Times New Roman"/>
                <w:b/>
                <w:bCs w:val="0"/>
                <w:color w:val="auto"/>
                <w:kern w:val="2"/>
                <w:sz w:val="24"/>
                <w:szCs w:val="28"/>
                <w:highlight w:val="none"/>
                <w:u w:val="none"/>
                <w:shd w:val="clear" w:color="auto" w:fill="auto"/>
                <w:lang w:val="en-US" w:eastAsia="zh-CN" w:bidi="zh-TW"/>
              </w:rPr>
            </w:pPr>
          </w:p>
          <w:p w14:paraId="033B696E">
            <w:pPr>
              <w:pStyle w:val="81"/>
              <w:shd w:val="clear" w:color="auto" w:fill="auto"/>
              <w:bidi w:val="0"/>
              <w:rPr>
                <w:rFonts w:hint="default" w:ascii="Times New Roman" w:hAnsi="Times New Roman" w:eastAsia="宋体" w:cs="Times New Roman"/>
                <w:b/>
                <w:bCs w:val="0"/>
                <w:color w:val="auto"/>
                <w:kern w:val="2"/>
                <w:sz w:val="24"/>
                <w:szCs w:val="28"/>
                <w:highlight w:val="none"/>
                <w:u w:val="none"/>
                <w:shd w:val="clear" w:color="auto" w:fill="auto"/>
                <w:lang w:val="en-US" w:eastAsia="zh-CN" w:bidi="zh-TW"/>
              </w:rPr>
            </w:pPr>
            <w:r>
              <w:rPr>
                <w:rFonts w:hint="default" w:ascii="Times New Roman" w:hAnsi="Times New Roman" w:eastAsia="宋体" w:cs="Times New Roman"/>
                <w:b/>
                <w:bCs w:val="0"/>
                <w:color w:val="auto"/>
                <w:kern w:val="2"/>
                <w:sz w:val="24"/>
                <w:szCs w:val="28"/>
                <w:highlight w:val="none"/>
                <w:u w:val="none"/>
                <w:shd w:val="clear" w:color="auto" w:fill="auto"/>
                <w:lang w:val="en-US" w:eastAsia="zh-CN" w:bidi="zh-TW"/>
              </w:rPr>
              <w:drawing>
                <wp:anchor distT="0" distB="0" distL="0" distR="0" simplePos="0" relativeHeight="251659264" behindDoc="1" locked="0" layoutInCell="1" allowOverlap="1">
                  <wp:simplePos x="0" y="0"/>
                  <wp:positionH relativeFrom="page">
                    <wp:posOffset>9261475</wp:posOffset>
                  </wp:positionH>
                  <wp:positionV relativeFrom="paragraph">
                    <wp:posOffset>262890</wp:posOffset>
                  </wp:positionV>
                  <wp:extent cx="6350" cy="423545"/>
                  <wp:effectExtent l="0" t="0" r="12700" b="0"/>
                  <wp:wrapNone/>
                  <wp:docPr id="1"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8.png"/>
                          <pic:cNvPicPr>
                            <a:picLocks noChangeAspect="1"/>
                          </pic:cNvPicPr>
                        </pic:nvPicPr>
                        <pic:blipFill>
                          <a:blip r:embed="rId16"/>
                          <a:stretch>
                            <a:fillRect/>
                          </a:stretch>
                        </pic:blipFill>
                        <pic:spPr>
                          <a:xfrm>
                            <a:off x="0" y="0"/>
                            <a:ext cx="6350" cy="423545"/>
                          </a:xfrm>
                          <a:prstGeom prst="rect">
                            <a:avLst/>
                          </a:prstGeom>
                          <a:noFill/>
                          <a:ln>
                            <a:noFill/>
                          </a:ln>
                        </pic:spPr>
                      </pic:pic>
                    </a:graphicData>
                  </a:graphic>
                </wp:anchor>
              </w:drawing>
            </w:r>
            <w:r>
              <w:rPr>
                <w:rFonts w:hint="default" w:ascii="Times New Roman" w:hAnsi="Times New Roman" w:eastAsia="宋体" w:cs="Times New Roman"/>
                <w:b/>
                <w:bCs w:val="0"/>
                <w:color w:val="auto"/>
                <w:kern w:val="2"/>
                <w:sz w:val="24"/>
                <w:szCs w:val="28"/>
                <w:highlight w:val="none"/>
                <w:u w:val="none"/>
                <w:shd w:val="clear" w:color="auto" w:fill="auto"/>
                <w:lang w:val="en-US" w:eastAsia="zh-CN" w:bidi="zh-TW"/>
              </w:rPr>
              <mc:AlternateContent>
                <mc:Choice Requires="wpg">
                  <w:drawing>
                    <wp:anchor distT="0" distB="0" distL="114300" distR="114300" simplePos="0" relativeHeight="251660288" behindDoc="1" locked="0" layoutInCell="1" allowOverlap="1">
                      <wp:simplePos x="0" y="0"/>
                      <wp:positionH relativeFrom="page">
                        <wp:posOffset>6590030</wp:posOffset>
                      </wp:positionH>
                      <wp:positionV relativeFrom="paragraph">
                        <wp:posOffset>262890</wp:posOffset>
                      </wp:positionV>
                      <wp:extent cx="6350" cy="2268220"/>
                      <wp:effectExtent l="0" t="0" r="12700" b="0"/>
                      <wp:wrapNone/>
                      <wp:docPr id="68" name="组合 68"/>
                      <wp:cNvGraphicFramePr/>
                      <a:graphic xmlns:a="http://schemas.openxmlformats.org/drawingml/2006/main">
                        <a:graphicData uri="http://schemas.microsoft.com/office/word/2010/wordprocessingGroup">
                          <wpg:wgp>
                            <wpg:cNvGrpSpPr/>
                            <wpg:grpSpPr>
                              <a:xfrm>
                                <a:off x="0" y="0"/>
                                <a:ext cx="6350" cy="2268220"/>
                                <a:chOff x="10378" y="415"/>
                                <a:chExt cx="10" cy="3572"/>
                              </a:xfrm>
                              <a:effectLst/>
                            </wpg:grpSpPr>
                            <pic:pic xmlns:pic="http://schemas.openxmlformats.org/drawingml/2006/picture">
                              <pic:nvPicPr>
                                <pic:cNvPr id="64" name="图片 3"/>
                                <pic:cNvPicPr>
                                  <a:picLocks noChangeAspect="1"/>
                                </pic:cNvPicPr>
                              </pic:nvPicPr>
                              <pic:blipFill>
                                <a:blip r:embed="rId17"/>
                                <a:stretch>
                                  <a:fillRect/>
                                </a:stretch>
                              </pic:blipFill>
                              <pic:spPr>
                                <a:xfrm>
                                  <a:off x="10378" y="414"/>
                                  <a:ext cx="10" cy="2616"/>
                                </a:xfrm>
                                <a:prstGeom prst="rect">
                                  <a:avLst/>
                                </a:prstGeom>
                                <a:noFill/>
                                <a:ln>
                                  <a:noFill/>
                                </a:ln>
                                <a:effectLst/>
                              </pic:spPr>
                            </pic:pic>
                            <pic:pic xmlns:pic="http://schemas.openxmlformats.org/drawingml/2006/picture">
                              <pic:nvPicPr>
                                <pic:cNvPr id="67" name="图片 4"/>
                                <pic:cNvPicPr>
                                  <a:picLocks noChangeAspect="1"/>
                                </pic:cNvPicPr>
                              </pic:nvPicPr>
                              <pic:blipFill>
                                <a:blip r:embed="rId18"/>
                                <a:stretch>
                                  <a:fillRect/>
                                </a:stretch>
                              </pic:blipFill>
                              <pic:spPr>
                                <a:xfrm>
                                  <a:off x="10378" y="3030"/>
                                  <a:ext cx="10" cy="956"/>
                                </a:xfrm>
                                <a:prstGeom prst="rect">
                                  <a:avLst/>
                                </a:prstGeom>
                                <a:noFill/>
                                <a:ln>
                                  <a:noFill/>
                                </a:ln>
                                <a:effectLst/>
                              </pic:spPr>
                            </pic:pic>
                          </wpg:wgp>
                        </a:graphicData>
                      </a:graphic>
                    </wp:anchor>
                  </w:drawing>
                </mc:Choice>
                <mc:Fallback>
                  <w:pict>
                    <v:group id="_x0000_s1026" o:spid="_x0000_s1026" o:spt="203" style="position:absolute;left:0pt;margin-left:518.9pt;margin-top:20.7pt;height:178.6pt;width:0.5pt;mso-position-horizontal-relative:page;z-index:-251656192;mso-width-relative:page;mso-height-relative:page;" coordorigin="10378,415" coordsize="10,3572" o:gfxdata="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">
                      <o:lock v:ext="edit" aspectratio="f"/>
                      <v:shape id="图片 3" o:spid="_x0000_s1026" o:spt="75" type="#_x0000_t75" style="position:absolute;left:10378;top:414;height:2616;width:10;" filled="f" o:preferrelative="t" stroked="f" coordsize="21600,21600" o:gfxdata="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cXc5vQAA&#10;ANsAAAAPAAAAAAAAAAEAIAAAACIAAABkcnMvZG93bnJldi54bWxQSwECFAAUAAAACACHTuJAMy8F&#10;njsAAAA5AAAAEAAAAAAAAAABACAAAAAMAQAAZHJzL3NoYXBleG1sLnhtbFBLBQYAAAAABgAGAFsB&#10;AAC2AwAAAAA=&#10;">
                        <v:fill on="f" focussize="0,0"/>
                        <v:stroke on="f"/>
                        <v:imagedata r:id="rId17" o:title=""/>
                        <o:lock v:ext="edit" aspectratio="t"/>
                      </v:shape>
                      <v:shape id="图片 4" o:spid="_x0000_s1026" o:spt="75" type="#_x0000_t75" style="position:absolute;left:10378;top:3030;height:956;width:10;" filled="f" o:preferrelative="t" stroked="f" coordsize="21600,21600" o:gfxdata="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swfU&#10;wAAAANsAAAAPAAAAAAAAAAEAIAAAACIAAABkcnMvZG93bnJldi54bWxQSwECFAAUAAAACACHTuJA&#10;My8FnjsAAAA5AAAAEAAAAAAAAAABACAAAAAPAQAAZHJzL3NoYXBleG1sLnhtbFBLBQYAAAAABgAG&#10;AFsBAAC5AwAAAAA=&#10;">
                        <v:fill on="f" focussize="0,0"/>
                        <v:stroke on="f"/>
                        <v:imagedata r:id="rId18" o:title=""/>
                        <o:lock v:ext="edit" aspectratio="t"/>
                      </v:shape>
                    </v:group>
                  </w:pict>
                </mc:Fallback>
              </mc:AlternateContent>
            </w:r>
            <w:r>
              <w:rPr>
                <w:rFonts w:hint="default" w:ascii="Times New Roman" w:hAnsi="Times New Roman" w:eastAsia="宋体" w:cs="Times New Roman"/>
                <w:b/>
                <w:bCs w:val="0"/>
                <w:color w:val="auto"/>
                <w:kern w:val="2"/>
                <w:sz w:val="24"/>
                <w:szCs w:val="28"/>
                <w:highlight w:val="none"/>
                <w:u w:val="none"/>
                <w:shd w:val="clear" w:color="auto" w:fill="auto"/>
                <w:lang w:val="en-US" w:eastAsia="zh-CN" w:bidi="zh-TW"/>
              </w:rPr>
              <w:t>表1.1-</w:t>
            </w:r>
            <w:r>
              <w:rPr>
                <w:rFonts w:hint="eastAsia" w:ascii="Times New Roman" w:hAnsi="Times New Roman" w:eastAsia="宋体" w:cs="Times New Roman"/>
                <w:b/>
                <w:bCs w:val="0"/>
                <w:color w:val="auto"/>
                <w:kern w:val="2"/>
                <w:sz w:val="24"/>
                <w:szCs w:val="28"/>
                <w:highlight w:val="none"/>
                <w:u w:val="none"/>
                <w:shd w:val="clear" w:color="auto" w:fill="auto"/>
                <w:lang w:val="en-US" w:eastAsia="zh-CN" w:bidi="zh-TW"/>
              </w:rPr>
              <w:t xml:space="preserve">2  </w:t>
            </w:r>
            <w:r>
              <w:rPr>
                <w:rFonts w:hint="default" w:ascii="Times New Roman" w:hAnsi="Times New Roman" w:eastAsia="宋体" w:cs="Times New Roman"/>
                <w:b/>
                <w:bCs w:val="0"/>
                <w:color w:val="auto"/>
                <w:kern w:val="2"/>
                <w:sz w:val="24"/>
                <w:szCs w:val="28"/>
                <w:highlight w:val="none"/>
                <w:u w:val="none"/>
                <w:shd w:val="clear" w:color="auto" w:fill="auto"/>
                <w:lang w:val="en-US" w:eastAsia="zh-CN" w:bidi="zh-TW"/>
              </w:rPr>
              <w:t>项目与规划环评审查意见符合性分析一览表</w:t>
            </w:r>
          </w:p>
          <w:tbl>
            <w:tblPr>
              <w:tblStyle w:val="28"/>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09"/>
              <w:gridCol w:w="4453"/>
              <w:gridCol w:w="966"/>
            </w:tblGrid>
            <w:tr w14:paraId="1445CC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83" w:type="pct"/>
                  <w:tcBorders>
                    <w:tl2br w:val="nil"/>
                    <w:tr2bl w:val="nil"/>
                  </w:tcBorders>
                  <w:noWrap w:val="0"/>
                  <w:vAlign w:val="center"/>
                </w:tcPr>
                <w:p w14:paraId="22D397D2">
                  <w:pPr>
                    <w:pStyle w:val="81"/>
                    <w:shd w:val="clear" w:color="auto" w:fill="auto"/>
                    <w:bidi w:val="0"/>
                    <w:ind w:left="0" w:leftChars="0" w:firstLine="0" w:firstLineChars="0"/>
                    <w:jc w:val="center"/>
                    <w:rPr>
                      <w:rFonts w:hint="default" w:ascii="Times New Roman" w:hAnsi="Times New Roman" w:eastAsia="宋体"/>
                      <w:color w:val="auto"/>
                      <w:highlight w:val="none"/>
                      <w:vertAlign w:val="baseline"/>
                    </w:rPr>
                  </w:pPr>
                  <w:r>
                    <w:rPr>
                      <w:rFonts w:hint="default" w:ascii="Times New Roman" w:hAnsi="Times New Roman" w:eastAsia="宋体" w:cs="Times New Roman"/>
                      <w:b/>
                      <w:bCs/>
                      <w:color w:val="auto"/>
                      <w:kern w:val="2"/>
                      <w:sz w:val="21"/>
                      <w:szCs w:val="22"/>
                      <w:highlight w:val="none"/>
                      <w:u w:val="none"/>
                      <w:shd w:val="clear" w:color="auto" w:fill="auto"/>
                      <w:lang w:val="en-US" w:eastAsia="zh-CN" w:bidi="zh-TW"/>
                    </w:rPr>
                    <w:t>《环罗源湾地区工业产业布局规划（2020-2025 年）修编环境影响报告书》审查意见（榕环保评[2022]8 号）摘录</w:t>
                  </w:r>
                </w:p>
              </w:tc>
              <w:tc>
                <w:tcPr>
                  <w:tcW w:w="1820" w:type="pct"/>
                  <w:tcBorders>
                    <w:tl2br w:val="nil"/>
                    <w:tr2bl w:val="nil"/>
                  </w:tcBorders>
                  <w:noWrap w:val="0"/>
                  <w:vAlign w:val="center"/>
                </w:tcPr>
                <w:p w14:paraId="293A33BC">
                  <w:pPr>
                    <w:pStyle w:val="132"/>
                    <w:shd w:val="clear" w:color="auto" w:fill="auto"/>
                    <w:bidi w:val="0"/>
                    <w:ind w:firstLine="0" w:firstLineChars="0"/>
                    <w:jc w:val="center"/>
                    <w:rPr>
                      <w:rFonts w:hint="default" w:ascii="Times New Roman" w:hAnsi="Times New Roman" w:eastAsia="宋体" w:cs="Times New Roman"/>
                      <w:b/>
                      <w:bCs/>
                      <w:color w:val="auto"/>
                      <w:kern w:val="2"/>
                      <w:sz w:val="21"/>
                      <w:szCs w:val="22"/>
                      <w:highlight w:val="none"/>
                      <w:u w:val="none"/>
                      <w:shd w:val="clear" w:color="auto" w:fill="auto"/>
                      <w:lang w:val="en-US" w:eastAsia="zh-CN" w:bidi="zh-TW"/>
                    </w:rPr>
                  </w:pPr>
                  <w:r>
                    <w:rPr>
                      <w:rFonts w:hint="eastAsia" w:ascii="Times New Roman" w:hAnsi="Times New Roman" w:eastAsia="宋体" w:cs="Times New Roman"/>
                      <w:b/>
                      <w:bCs/>
                      <w:color w:val="auto"/>
                      <w:highlight w:val="none"/>
                      <w:shd w:val="clear" w:color="auto" w:fill="auto"/>
                      <w:lang w:val="en-US" w:eastAsia="zh-CN"/>
                    </w:rPr>
                    <w:t>项目情况</w:t>
                  </w:r>
                </w:p>
              </w:tc>
              <w:tc>
                <w:tcPr>
                  <w:tcW w:w="395" w:type="pct"/>
                  <w:tcBorders>
                    <w:tl2br w:val="nil"/>
                    <w:tr2bl w:val="nil"/>
                  </w:tcBorders>
                  <w:noWrap w:val="0"/>
                  <w:vAlign w:val="center"/>
                </w:tcPr>
                <w:p w14:paraId="2086B084">
                  <w:pPr>
                    <w:pStyle w:val="132"/>
                    <w:shd w:val="clear" w:color="auto" w:fill="auto"/>
                    <w:bidi w:val="0"/>
                    <w:ind w:firstLine="0" w:firstLineChars="0"/>
                    <w:jc w:val="center"/>
                    <w:rPr>
                      <w:rFonts w:hint="default" w:ascii="Times New Roman" w:hAnsi="Times New Roman" w:eastAsia="宋体" w:cs="Times New Roman"/>
                      <w:b/>
                      <w:bCs/>
                      <w:color w:val="auto"/>
                      <w:kern w:val="2"/>
                      <w:sz w:val="21"/>
                      <w:szCs w:val="22"/>
                      <w:highlight w:val="none"/>
                      <w:u w:val="none"/>
                      <w:shd w:val="clear" w:color="auto" w:fill="auto"/>
                      <w:lang w:val="en-US" w:eastAsia="zh-CN" w:bidi="zh-TW"/>
                    </w:rPr>
                  </w:pPr>
                  <w:r>
                    <w:rPr>
                      <w:rFonts w:hint="eastAsia" w:ascii="Times New Roman" w:hAnsi="Times New Roman" w:eastAsia="宋体" w:cs="Times New Roman"/>
                      <w:b/>
                      <w:bCs/>
                      <w:color w:val="auto"/>
                      <w:highlight w:val="none"/>
                      <w:shd w:val="clear" w:color="auto" w:fill="auto"/>
                      <w:lang w:val="en-US" w:eastAsia="zh-CN"/>
                    </w:rPr>
                    <w:t>符合性</w:t>
                  </w:r>
                </w:p>
              </w:tc>
            </w:tr>
            <w:tr w14:paraId="332D3F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83" w:type="pct"/>
                  <w:tcBorders>
                    <w:tl2br w:val="nil"/>
                    <w:tr2bl w:val="nil"/>
                  </w:tcBorders>
                  <w:noWrap w:val="0"/>
                  <w:vAlign w:val="center"/>
                </w:tcPr>
                <w:p w14:paraId="7241F3EC">
                  <w:pPr>
                    <w:pStyle w:val="132"/>
                    <w:shd w:val="clear" w:color="auto" w:fill="auto"/>
                    <w:bidi w:val="0"/>
                    <w:ind w:firstLine="0" w:firstLineChars="0"/>
                    <w:jc w:val="both"/>
                    <w:rPr>
                      <w:rFonts w:hint="default" w:ascii="Times New Roman" w:hAnsi="Times New Roman" w:eastAsia="宋体" w:cs="Times New Roman"/>
                      <w:color w:val="auto"/>
                      <w:highlight w:val="none"/>
                      <w:shd w:val="clear" w:color="auto" w:fill="auto"/>
                      <w:lang w:val="en-US" w:eastAsia="en-US"/>
                    </w:rPr>
                  </w:pPr>
                  <w:r>
                    <w:rPr>
                      <w:rFonts w:hint="default" w:ascii="Times New Roman" w:hAnsi="Times New Roman" w:eastAsia="宋体" w:cs="Times New Roman"/>
                      <w:color w:val="auto"/>
                      <w:highlight w:val="none"/>
                      <w:shd w:val="clear" w:color="auto" w:fill="auto"/>
                      <w:lang w:val="en-US" w:eastAsia="zh-CN"/>
                    </w:rPr>
                    <w:t>优化产业定位。规划各类产业应符合国家产业政策和上层次产业规划要求，区域立足</w:t>
                  </w:r>
                  <w:r>
                    <w:rPr>
                      <w:rFonts w:hint="eastAsia" w:ascii="Times New Roman" w:hAnsi="Times New Roman" w:eastAsia="宋体" w:cs="Times New Roman"/>
                      <w:color w:val="auto"/>
                      <w:highlight w:val="none"/>
                      <w:shd w:val="clear" w:color="auto" w:fill="auto"/>
                      <w:lang w:val="en-US" w:eastAsia="zh-CN"/>
                    </w:rPr>
                    <w:t>“</w:t>
                  </w:r>
                  <w:r>
                    <w:rPr>
                      <w:rFonts w:hint="default" w:ascii="Times New Roman" w:hAnsi="Times New Roman" w:eastAsia="宋体" w:cs="Times New Roman"/>
                      <w:color w:val="auto"/>
                      <w:highlight w:val="none"/>
                      <w:shd w:val="clear" w:color="auto" w:fill="auto"/>
                      <w:lang w:val="en-US" w:eastAsia="zh-CN"/>
                    </w:rPr>
                    <w:t>北岸冶金、南岸化工</w:t>
                  </w:r>
                  <w:r>
                    <w:rPr>
                      <w:rFonts w:hint="eastAsia" w:ascii="Times New Roman" w:hAnsi="Times New Roman" w:eastAsia="宋体" w:cs="Times New Roman"/>
                      <w:color w:val="auto"/>
                      <w:highlight w:val="none"/>
                      <w:shd w:val="clear" w:color="auto" w:fill="auto"/>
                      <w:lang w:val="en-US" w:eastAsia="zh-CN"/>
                    </w:rPr>
                    <w:t>”</w:t>
                  </w:r>
                  <w:r>
                    <w:rPr>
                      <w:rFonts w:hint="default" w:ascii="Times New Roman" w:hAnsi="Times New Roman" w:eastAsia="宋体" w:cs="Times New Roman"/>
                      <w:color w:val="auto"/>
                      <w:highlight w:val="none"/>
                      <w:shd w:val="clear" w:color="auto" w:fill="auto"/>
                      <w:lang w:val="en-US" w:eastAsia="zh-CN"/>
                    </w:rPr>
                    <w:t>的产业发展定位，发展临港产业和地方特色产业，积极融入闽东北协同发展区。其中先进织造染整产业不作为临港主导产业。</w:t>
                  </w:r>
                </w:p>
              </w:tc>
              <w:tc>
                <w:tcPr>
                  <w:tcW w:w="1820" w:type="pct"/>
                  <w:tcBorders>
                    <w:tl2br w:val="nil"/>
                    <w:tr2bl w:val="nil"/>
                  </w:tcBorders>
                  <w:noWrap w:val="0"/>
                  <w:vAlign w:val="center"/>
                </w:tcPr>
                <w:p w14:paraId="4FE24DD0">
                  <w:pPr>
                    <w:pStyle w:val="132"/>
                    <w:shd w:val="clear" w:color="auto" w:fill="auto"/>
                    <w:bidi w:val="0"/>
                    <w:ind w:firstLine="0" w:firstLineChars="0"/>
                    <w:jc w:val="both"/>
                    <w:rPr>
                      <w:rFonts w:hint="default" w:ascii="Times New Roman" w:hAnsi="Times New Roman" w:eastAsia="宋体" w:cs="Times New Roman"/>
                      <w:color w:val="auto"/>
                      <w:highlight w:val="none"/>
                      <w:shd w:val="clear" w:color="auto" w:fill="auto"/>
                      <w:lang w:val="en-US" w:eastAsia="en-US"/>
                    </w:rPr>
                  </w:pPr>
                  <w:r>
                    <w:rPr>
                      <w:rFonts w:hint="default" w:ascii="Times New Roman" w:hAnsi="Times New Roman" w:eastAsia="宋体" w:cs="Times New Roman"/>
                      <w:color w:val="auto"/>
                      <w:highlight w:val="none"/>
                      <w:shd w:val="clear" w:color="auto" w:fill="auto"/>
                      <w:lang w:val="en-US" w:eastAsia="zh-CN"/>
                    </w:rPr>
                    <w:t>项目不属于冶金、化工、织造染整产业，符合国家产业政策和上层次产业规划要求、符合地区产业规划。</w:t>
                  </w:r>
                </w:p>
              </w:tc>
              <w:tc>
                <w:tcPr>
                  <w:tcW w:w="395" w:type="pct"/>
                  <w:tcBorders>
                    <w:tl2br w:val="nil"/>
                    <w:tr2bl w:val="nil"/>
                  </w:tcBorders>
                  <w:noWrap w:val="0"/>
                  <w:vAlign w:val="center"/>
                </w:tcPr>
                <w:p w14:paraId="0CA45453">
                  <w:pPr>
                    <w:pStyle w:val="132"/>
                    <w:shd w:val="clear" w:color="auto" w:fill="auto"/>
                    <w:bidi w:val="0"/>
                    <w:ind w:firstLine="0" w:firstLineChars="0"/>
                    <w:jc w:val="center"/>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符合</w:t>
                  </w:r>
                </w:p>
              </w:tc>
            </w:tr>
            <w:tr w14:paraId="62D7CA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2C16AB09">
                  <w:pPr>
                    <w:pStyle w:val="132"/>
                    <w:shd w:val="clear" w:color="auto" w:fill="auto"/>
                    <w:bidi w:val="0"/>
                    <w:ind w:firstLine="0" w:firstLineChars="0"/>
                    <w:jc w:val="both"/>
                    <w:rPr>
                      <w:rFonts w:hint="default" w:ascii="Times New Roman" w:hAnsi="Times New Roman" w:eastAsia="宋体" w:cs="Times New Roman"/>
                      <w:color w:val="auto"/>
                      <w:highlight w:val="none"/>
                      <w:shd w:val="clear" w:color="auto" w:fill="auto"/>
                      <w:lang w:val="en-US" w:eastAsia="en-US"/>
                    </w:rPr>
                  </w:pPr>
                  <w:r>
                    <w:rPr>
                      <w:rFonts w:hint="default" w:ascii="Times New Roman" w:hAnsi="Times New Roman" w:eastAsia="宋体" w:cs="Times New Roman"/>
                      <w:color w:val="auto"/>
                      <w:highlight w:val="none"/>
                      <w:shd w:val="clear" w:color="auto" w:fill="auto"/>
                      <w:lang w:val="en-US" w:eastAsia="zh-CN"/>
                    </w:rPr>
                    <w:t>优化产业布局及规模，金港组团：以冶金产业为主导，执行钢铁行业超低排放标准。现有钢铁企业须按照《福建省钢 铁行业超低排放改造实施方案》的要求时限完成现有产能的超低排放改造，规划期内金港组团钢铁产能控制在炼铁 800万吨/年、炼钢1200万吨/年的水平，不再新增焦化产能。金属精深加工产业、钢铁循环经济产业等应做好节能减排，污染物排放不得超出区域环境容量，严控环境风险。新增用地布局涉及沿海基干林和小面积永久基本农田，应调整产业用地边界，注意避让和保护。</w:t>
                  </w:r>
                </w:p>
              </w:tc>
              <w:tc>
                <w:tcPr>
                  <w:tcW w:w="0" w:type="auto"/>
                  <w:noWrap w:val="0"/>
                  <w:vAlign w:val="center"/>
                </w:tcPr>
                <w:p w14:paraId="15A3C965">
                  <w:pPr>
                    <w:pStyle w:val="132"/>
                    <w:shd w:val="clear" w:color="auto" w:fill="auto"/>
                    <w:bidi w:val="0"/>
                    <w:ind w:firstLine="0" w:firstLineChars="0"/>
                    <w:jc w:val="both"/>
                    <w:rPr>
                      <w:rFonts w:hint="default" w:ascii="Times New Roman" w:hAnsi="Times New Roman" w:eastAsia="宋体" w:cs="Times New Roman"/>
                      <w:color w:val="auto"/>
                      <w:highlight w:val="none"/>
                      <w:shd w:val="clear" w:color="auto" w:fill="auto"/>
                      <w:lang w:val="en-US" w:eastAsia="en-US"/>
                    </w:rPr>
                  </w:pPr>
                  <w:r>
                    <w:rPr>
                      <w:rFonts w:hint="eastAsia" w:ascii="Times New Roman" w:hAnsi="Times New Roman" w:cs="Times New Roman"/>
                      <w:color w:val="auto"/>
                      <w:highlight w:val="none"/>
                      <w:shd w:val="clear" w:color="auto" w:fill="auto"/>
                      <w:lang w:val="en-US" w:eastAsia="zh-CN"/>
                    </w:rPr>
                    <w:t>①</w:t>
                  </w:r>
                  <w:r>
                    <w:rPr>
                      <w:rFonts w:hint="default" w:ascii="Times New Roman" w:hAnsi="Times New Roman" w:eastAsia="宋体" w:cs="Times New Roman"/>
                      <w:color w:val="auto"/>
                      <w:highlight w:val="none"/>
                      <w:shd w:val="clear" w:color="auto" w:fill="auto"/>
                      <w:lang w:val="en-US" w:eastAsia="zh-CN"/>
                    </w:rPr>
                    <w:t>项目不属于冶金产业，属于</w:t>
                  </w:r>
                  <w:r>
                    <w:rPr>
                      <w:rFonts w:hint="eastAsia" w:ascii="Times New Roman" w:hAnsi="Times New Roman" w:eastAsia="宋体" w:cs="Times New Roman"/>
                      <w:color w:val="auto"/>
                      <w:highlight w:val="none"/>
                      <w:shd w:val="clear" w:color="auto" w:fill="auto"/>
                      <w:lang w:val="en-US" w:eastAsia="zh-CN"/>
                    </w:rPr>
                    <w:t>建筑材料生产企业；</w:t>
                  </w:r>
                  <w:r>
                    <w:rPr>
                      <w:rFonts w:hint="eastAsia" w:ascii="Times New Roman" w:hAnsi="Times New Roman" w:cs="Times New Roman"/>
                      <w:color w:val="auto"/>
                      <w:highlight w:val="none"/>
                      <w:shd w:val="clear" w:color="auto" w:fill="auto"/>
                      <w:lang w:val="en-US" w:eastAsia="zh-CN"/>
                    </w:rPr>
                    <w:t>②</w:t>
                  </w:r>
                  <w:r>
                    <w:rPr>
                      <w:rFonts w:hint="eastAsia" w:ascii="Times New Roman" w:hAnsi="Times New Roman" w:eastAsia="宋体" w:cs="Times New Roman"/>
                      <w:color w:val="auto"/>
                      <w:highlight w:val="none"/>
                      <w:shd w:val="clear" w:color="auto" w:fill="auto"/>
                      <w:lang w:val="en-US" w:eastAsia="zh-CN"/>
                    </w:rPr>
                    <w:t>本项目</w:t>
                  </w:r>
                  <w:r>
                    <w:rPr>
                      <w:rFonts w:hint="eastAsia" w:ascii="Times New Roman" w:hAnsi="Times New Roman" w:eastAsia="宋体" w:cs="Times New Roman"/>
                      <w:iCs/>
                      <w:color w:val="auto"/>
                      <w:kern w:val="0"/>
                      <w:sz w:val="21"/>
                      <w:szCs w:val="21"/>
                      <w:highlight w:val="none"/>
                      <w:lang w:val="en-US" w:eastAsia="zh-CN"/>
                    </w:rPr>
                    <w:t>食堂废水经隔油池预处理后与</w:t>
                  </w:r>
                  <w:r>
                    <w:rPr>
                      <w:rFonts w:hint="eastAsia" w:ascii="Times New Roman" w:hAnsi="Times New Roman" w:eastAsia="宋体" w:cs="Times New Roman"/>
                      <w:iCs/>
                      <w:color w:val="auto"/>
                      <w:kern w:val="0"/>
                      <w:sz w:val="21"/>
                      <w:szCs w:val="21"/>
                      <w:highlight w:val="none"/>
                    </w:rPr>
                    <w:t>生活废水一起经</w:t>
                  </w:r>
                  <w:r>
                    <w:rPr>
                      <w:rFonts w:hint="eastAsia" w:ascii="Times New Roman" w:hAnsi="Times New Roman" w:eastAsia="宋体" w:cs="Times New Roman"/>
                      <w:iCs/>
                      <w:color w:val="auto"/>
                      <w:kern w:val="0"/>
                      <w:sz w:val="21"/>
                      <w:szCs w:val="21"/>
                      <w:highlight w:val="none"/>
                      <w:lang w:val="en-US" w:eastAsia="zh-CN"/>
                    </w:rPr>
                    <w:t>厂区</w:t>
                  </w:r>
                  <w:r>
                    <w:rPr>
                      <w:rFonts w:hint="eastAsia" w:ascii="Times New Roman" w:hAnsi="Times New Roman" w:eastAsia="宋体" w:cs="Times New Roman"/>
                      <w:iCs/>
                      <w:color w:val="auto"/>
                      <w:kern w:val="0"/>
                      <w:sz w:val="21"/>
                      <w:szCs w:val="21"/>
                      <w:highlight w:val="none"/>
                    </w:rPr>
                    <w:t>化粪池处理达</w:t>
                  </w:r>
                  <w:r>
                    <w:rPr>
                      <w:rFonts w:hint="eastAsia" w:ascii="Times New Roman" w:hAnsi="Times New Roman" w:eastAsia="宋体" w:cs="Times New Roman"/>
                      <w:iCs/>
                      <w:color w:val="auto"/>
                      <w:kern w:val="0"/>
                      <w:sz w:val="21"/>
                      <w:szCs w:val="21"/>
                      <w:highlight w:val="none"/>
                      <w:lang w:val="en-US" w:eastAsia="zh-CN"/>
                    </w:rPr>
                    <w:t>标</w:t>
                  </w:r>
                  <w:r>
                    <w:rPr>
                      <w:rFonts w:hint="eastAsia" w:ascii="Times New Roman" w:hAnsi="Times New Roman" w:eastAsia="宋体" w:cs="Times New Roman"/>
                      <w:iCs/>
                      <w:color w:val="auto"/>
                      <w:kern w:val="0"/>
                      <w:sz w:val="21"/>
                      <w:szCs w:val="21"/>
                      <w:highlight w:val="none"/>
                    </w:rPr>
                    <w:t>后排入市政污水管网</w:t>
                  </w:r>
                  <w:r>
                    <w:rPr>
                      <w:rFonts w:hint="eastAsia" w:ascii="Times New Roman" w:hAnsi="Times New Roman" w:eastAsia="宋体" w:cs="Times New Roman"/>
                      <w:color w:val="auto"/>
                      <w:highlight w:val="none"/>
                      <w:shd w:val="clear" w:color="auto" w:fill="auto"/>
                      <w:lang w:val="en-US" w:eastAsia="zh-CN"/>
                    </w:rPr>
                    <w:t>；</w:t>
                  </w:r>
                  <w:r>
                    <w:rPr>
                      <w:rFonts w:hint="eastAsia" w:ascii="Times New Roman" w:hAnsi="Times New Roman" w:cs="Times New Roman"/>
                      <w:color w:val="auto"/>
                      <w:highlight w:val="none"/>
                      <w:shd w:val="clear" w:color="auto" w:fill="auto"/>
                      <w:lang w:val="en-US" w:eastAsia="zh-CN"/>
                    </w:rPr>
                    <w:t>③</w:t>
                  </w:r>
                  <w:r>
                    <w:rPr>
                      <w:rFonts w:hint="default" w:ascii="Times New Roman" w:hAnsi="Times New Roman" w:eastAsia="宋体" w:cs="Times New Roman"/>
                      <w:color w:val="auto"/>
                      <w:highlight w:val="none"/>
                      <w:shd w:val="clear" w:color="auto" w:fill="auto"/>
                      <w:lang w:val="en-US" w:eastAsia="zh-CN"/>
                    </w:rPr>
                    <w:t>废气经处理后达标排放，不会超出区域环境容量；</w:t>
                  </w:r>
                  <w:r>
                    <w:rPr>
                      <w:rFonts w:hint="eastAsia" w:ascii="Times New Roman" w:hAnsi="Times New Roman" w:cs="Times New Roman"/>
                      <w:color w:val="auto"/>
                      <w:highlight w:val="none"/>
                      <w:shd w:val="clear" w:color="auto" w:fill="auto"/>
                      <w:lang w:val="en-US" w:eastAsia="zh-CN"/>
                    </w:rPr>
                    <w:t>④</w:t>
                  </w:r>
                  <w:r>
                    <w:rPr>
                      <w:rFonts w:hint="default" w:ascii="Times New Roman" w:hAnsi="Times New Roman" w:eastAsia="宋体" w:cs="Times New Roman"/>
                      <w:color w:val="auto"/>
                      <w:highlight w:val="none"/>
                      <w:shd w:val="clear" w:color="auto" w:fill="auto"/>
                      <w:lang w:val="en-US" w:eastAsia="zh-CN"/>
                    </w:rPr>
                    <w:t>项目建成后将编制环境风险应急预案，完善相关风险防范措施</w:t>
                  </w:r>
                  <w:r>
                    <w:rPr>
                      <w:rFonts w:hint="eastAsia" w:ascii="Times New Roman" w:hAnsi="Times New Roman" w:cs="Times New Roman"/>
                      <w:color w:val="auto"/>
                      <w:highlight w:val="none"/>
                      <w:shd w:val="clear" w:color="auto" w:fill="auto"/>
                      <w:lang w:val="en-US" w:eastAsia="zh-CN"/>
                    </w:rPr>
                    <w:t>；⑤</w:t>
                  </w:r>
                  <w:r>
                    <w:rPr>
                      <w:rFonts w:hint="default" w:ascii="Times New Roman" w:hAnsi="Times New Roman" w:eastAsia="宋体" w:cs="Times New Roman"/>
                      <w:color w:val="auto"/>
                      <w:highlight w:val="none"/>
                      <w:shd w:val="clear" w:color="auto" w:fill="auto"/>
                      <w:lang w:val="en-US" w:eastAsia="zh-CN"/>
                    </w:rPr>
                    <w:t>项目用地不涉及沿海基干林和小面积永久基本农田。</w:t>
                  </w:r>
                </w:p>
              </w:tc>
              <w:tc>
                <w:tcPr>
                  <w:tcW w:w="0" w:type="auto"/>
                  <w:noWrap w:val="0"/>
                  <w:vAlign w:val="center"/>
                </w:tcPr>
                <w:p w14:paraId="5F9CF627">
                  <w:pPr>
                    <w:pStyle w:val="132"/>
                    <w:shd w:val="clear" w:color="auto" w:fill="auto"/>
                    <w:bidi w:val="0"/>
                    <w:ind w:firstLine="0" w:firstLineChars="0"/>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符合</w:t>
                  </w:r>
                </w:p>
              </w:tc>
            </w:tr>
            <w:tr w14:paraId="6B9C42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4ACEA88F">
                  <w:pPr>
                    <w:pStyle w:val="132"/>
                    <w:shd w:val="clear" w:color="auto" w:fill="auto"/>
                    <w:bidi w:val="0"/>
                    <w:ind w:firstLine="0" w:firstLineChars="0"/>
                    <w:jc w:val="both"/>
                    <w:rPr>
                      <w:rFonts w:hint="default" w:ascii="Times New Roman" w:hAnsi="Times New Roman" w:eastAsia="宋体" w:cs="Times New Roman"/>
                      <w:color w:val="auto"/>
                      <w:highlight w:val="none"/>
                      <w:shd w:val="clear" w:color="auto" w:fill="auto"/>
                      <w:lang w:val="en-US" w:eastAsia="en-US"/>
                    </w:rPr>
                  </w:pPr>
                  <w:r>
                    <w:rPr>
                      <w:rFonts w:hint="default" w:ascii="Times New Roman" w:hAnsi="Times New Roman" w:eastAsia="宋体" w:cs="Times New Roman"/>
                      <w:color w:val="auto"/>
                      <w:highlight w:val="none"/>
                      <w:shd w:val="clear" w:color="auto" w:fill="auto"/>
                      <w:lang w:val="en-US" w:eastAsia="zh-CN"/>
                    </w:rPr>
                    <w:t>严格执行《报告书》制定的生态环境准入清单。按国家要求严格控制围填海，落实节能降碳减排规定。加强区域环境综合整治，加大企业环境整治力度，严格控制粉尘和挥发性有机物等排放。严格控制湾内火电温排水规模并加强跟踪监测，加强固废资源化综合利用和土壤、地下水污染防控工作。加强引进项目的空间布局约束、污染物排放管控、环境风险防控、资源开发利用。</w:t>
                  </w:r>
                </w:p>
              </w:tc>
              <w:tc>
                <w:tcPr>
                  <w:tcW w:w="0" w:type="auto"/>
                  <w:noWrap w:val="0"/>
                  <w:vAlign w:val="center"/>
                </w:tcPr>
                <w:p w14:paraId="6376EC2E">
                  <w:pPr>
                    <w:pStyle w:val="132"/>
                    <w:shd w:val="clear" w:color="auto" w:fill="auto"/>
                    <w:bidi w:val="0"/>
                    <w:ind w:firstLine="0" w:firstLineChars="0"/>
                    <w:jc w:val="both"/>
                    <w:rPr>
                      <w:rFonts w:hint="default" w:ascii="Times New Roman" w:hAnsi="Times New Roman" w:eastAsia="宋体" w:cs="Times New Roman"/>
                      <w:color w:val="auto"/>
                      <w:highlight w:val="none"/>
                      <w:shd w:val="clear" w:color="auto" w:fill="auto"/>
                      <w:lang w:val="en-US" w:eastAsia="en-US"/>
                    </w:rPr>
                  </w:pPr>
                  <w:r>
                    <w:rPr>
                      <w:rFonts w:hint="default" w:ascii="Times New Roman" w:hAnsi="Times New Roman" w:eastAsia="宋体" w:cs="Times New Roman"/>
                      <w:color w:val="auto"/>
                      <w:highlight w:val="none"/>
                      <w:shd w:val="clear" w:color="auto" w:fill="auto"/>
                      <w:lang w:val="en-US" w:eastAsia="zh-CN"/>
                    </w:rPr>
                    <w:t>项目符合《报告书》制定的生态环境准入清单要求。项目不涉及围填海。项目</w:t>
                  </w:r>
                  <w:r>
                    <w:rPr>
                      <w:rFonts w:hint="eastAsia" w:ascii="Times New Roman" w:hAnsi="Times New Roman" w:eastAsia="宋体" w:cs="Times New Roman"/>
                      <w:color w:val="auto"/>
                      <w:highlight w:val="none"/>
                      <w:shd w:val="clear" w:color="auto" w:fill="auto"/>
                      <w:lang w:val="en-US" w:eastAsia="zh-CN"/>
                    </w:rPr>
                    <w:t>主要使用天然气和电等能源。</w:t>
                  </w:r>
                  <w:r>
                    <w:rPr>
                      <w:rFonts w:hint="default" w:ascii="Times New Roman" w:hAnsi="Times New Roman" w:eastAsia="宋体" w:cs="Times New Roman"/>
                      <w:color w:val="auto"/>
                      <w:highlight w:val="none"/>
                      <w:shd w:val="clear" w:color="auto" w:fill="auto"/>
                      <w:lang w:val="en-US" w:eastAsia="zh-CN"/>
                    </w:rPr>
                    <w:t>项目粉尘经治理后均能达标排放。项目危废</w:t>
                  </w:r>
                  <w:r>
                    <w:rPr>
                      <w:rFonts w:hint="eastAsia" w:ascii="Times New Roman" w:hAnsi="Times New Roman" w:cs="Times New Roman"/>
                      <w:color w:val="auto"/>
                      <w:highlight w:val="none"/>
                      <w:shd w:val="clear" w:color="auto" w:fill="auto"/>
                      <w:lang w:val="en-US" w:eastAsia="zh-CN"/>
                    </w:rPr>
                    <w:t>贮存间</w:t>
                  </w:r>
                  <w:r>
                    <w:rPr>
                      <w:rFonts w:hint="default" w:ascii="Times New Roman" w:hAnsi="Times New Roman" w:eastAsia="宋体" w:cs="Times New Roman"/>
                      <w:color w:val="auto"/>
                      <w:highlight w:val="none"/>
                      <w:shd w:val="clear" w:color="auto" w:fill="auto"/>
                      <w:lang w:val="en-US" w:eastAsia="zh-CN"/>
                    </w:rPr>
                    <w:t>按规定防腐防渗</w:t>
                  </w:r>
                  <w:r>
                    <w:rPr>
                      <w:rFonts w:hint="eastAsia" w:ascii="Times New Roman" w:hAnsi="Times New Roman" w:eastAsia="宋体" w:cs="Times New Roman"/>
                      <w:color w:val="auto"/>
                      <w:highlight w:val="none"/>
                      <w:shd w:val="clear" w:color="auto" w:fill="auto"/>
                      <w:lang w:val="en-US" w:eastAsia="zh-CN"/>
                    </w:rPr>
                    <w:t>处理</w:t>
                  </w:r>
                  <w:r>
                    <w:rPr>
                      <w:rFonts w:hint="default" w:ascii="Times New Roman" w:hAnsi="Times New Roman" w:eastAsia="宋体" w:cs="Times New Roman"/>
                      <w:color w:val="auto"/>
                      <w:highlight w:val="none"/>
                      <w:shd w:val="clear" w:color="auto" w:fill="auto"/>
                      <w:lang w:val="en-US" w:eastAsia="zh-CN"/>
                    </w:rPr>
                    <w:t>。</w:t>
                  </w:r>
                </w:p>
              </w:tc>
              <w:tc>
                <w:tcPr>
                  <w:tcW w:w="0" w:type="auto"/>
                  <w:noWrap w:val="0"/>
                  <w:vAlign w:val="center"/>
                </w:tcPr>
                <w:p w14:paraId="409ED934">
                  <w:pPr>
                    <w:pStyle w:val="132"/>
                    <w:shd w:val="clear" w:color="auto" w:fill="auto"/>
                    <w:bidi w:val="0"/>
                    <w:ind w:firstLine="0" w:firstLineChars="0"/>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符合</w:t>
                  </w:r>
                </w:p>
              </w:tc>
            </w:tr>
            <w:tr w14:paraId="461C16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3D3D6208">
                  <w:pPr>
                    <w:pStyle w:val="132"/>
                    <w:shd w:val="clear" w:color="auto" w:fill="auto"/>
                    <w:bidi w:val="0"/>
                    <w:ind w:firstLine="0" w:firstLineChars="0"/>
                    <w:jc w:val="both"/>
                    <w:rPr>
                      <w:rFonts w:hint="default" w:ascii="Times New Roman" w:hAnsi="Times New Roman" w:eastAsia="宋体" w:cs="Times New Roman"/>
                      <w:color w:val="auto"/>
                      <w:highlight w:val="none"/>
                      <w:shd w:val="clear" w:color="auto" w:fill="auto"/>
                      <w:lang w:val="en-US" w:eastAsia="en-US"/>
                    </w:rPr>
                  </w:pPr>
                  <w:r>
                    <w:rPr>
                      <w:rFonts w:hint="default" w:ascii="Times New Roman" w:hAnsi="Times New Roman" w:eastAsia="宋体" w:cs="Times New Roman"/>
                      <w:color w:val="auto"/>
                      <w:highlight w:val="none"/>
                      <w:shd w:val="clear" w:color="auto" w:fill="auto"/>
                      <w:lang w:val="en-US" w:eastAsia="zh-CN"/>
                    </w:rPr>
                    <w:t>对涉及重金属排放、有毒有害和易燃易爆物质的使用和大型贮运等项目应加强环境风险评价，提出环境风险防控措施。</w:t>
                  </w:r>
                </w:p>
              </w:tc>
              <w:tc>
                <w:tcPr>
                  <w:tcW w:w="0" w:type="auto"/>
                  <w:noWrap w:val="0"/>
                  <w:vAlign w:val="center"/>
                </w:tcPr>
                <w:p w14:paraId="249BCC08">
                  <w:pPr>
                    <w:pStyle w:val="132"/>
                    <w:shd w:val="clear" w:color="auto" w:fill="auto"/>
                    <w:bidi w:val="0"/>
                    <w:ind w:firstLine="0" w:firstLineChars="0"/>
                    <w:jc w:val="both"/>
                    <w:rPr>
                      <w:rFonts w:hint="default" w:ascii="Times New Roman" w:hAnsi="Times New Roman" w:eastAsia="宋体" w:cs="Times New Roman"/>
                      <w:color w:val="auto"/>
                      <w:highlight w:val="none"/>
                      <w:shd w:val="clear" w:color="auto" w:fill="auto"/>
                      <w:lang w:val="en-US" w:eastAsia="en-US"/>
                    </w:rPr>
                  </w:pPr>
                  <w:r>
                    <w:rPr>
                      <w:rFonts w:hint="default" w:ascii="Times New Roman" w:hAnsi="Times New Roman" w:eastAsia="宋体" w:cs="Times New Roman"/>
                      <w:color w:val="auto"/>
                      <w:highlight w:val="none"/>
                      <w:shd w:val="clear" w:color="auto" w:fill="auto"/>
                      <w:lang w:val="en-US" w:eastAsia="zh-CN"/>
                    </w:rPr>
                    <w:t>本次评价</w:t>
                  </w:r>
                  <w:r>
                    <w:rPr>
                      <w:rFonts w:hint="eastAsia" w:ascii="Times New Roman" w:hAnsi="Times New Roman" w:eastAsia="宋体" w:cs="Times New Roman"/>
                      <w:color w:val="auto"/>
                      <w:highlight w:val="none"/>
                      <w:shd w:val="clear" w:color="auto" w:fill="auto"/>
                      <w:lang w:val="en-US" w:eastAsia="zh-CN"/>
                    </w:rPr>
                    <w:t>不</w:t>
                  </w:r>
                  <w:r>
                    <w:rPr>
                      <w:rFonts w:hint="default" w:ascii="Times New Roman" w:hAnsi="Times New Roman" w:eastAsia="宋体" w:cs="Times New Roman"/>
                      <w:color w:val="auto"/>
                      <w:highlight w:val="none"/>
                      <w:shd w:val="clear" w:color="auto" w:fill="auto"/>
                      <w:lang w:val="en-US" w:eastAsia="zh-CN"/>
                    </w:rPr>
                    <w:t>设置环境风险评价专项，同时项目建成后将编制突发环境事件应急预案，并按要求完善环境风险防范措施。</w:t>
                  </w:r>
                </w:p>
              </w:tc>
              <w:tc>
                <w:tcPr>
                  <w:tcW w:w="0" w:type="auto"/>
                  <w:noWrap w:val="0"/>
                  <w:vAlign w:val="center"/>
                </w:tcPr>
                <w:p w14:paraId="252A29B2">
                  <w:pPr>
                    <w:pStyle w:val="132"/>
                    <w:shd w:val="clear" w:color="auto" w:fill="auto"/>
                    <w:bidi w:val="0"/>
                    <w:ind w:firstLine="0" w:firstLineChars="0"/>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符合</w:t>
                  </w:r>
                </w:p>
              </w:tc>
            </w:tr>
          </w:tbl>
          <w:p w14:paraId="37570643">
            <w:pPr>
              <w:pStyle w:val="93"/>
              <w:bidi w:val="0"/>
              <w:jc w:val="both"/>
              <w:rPr>
                <w:rFonts w:hint="eastAsia"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val="0"/>
                <w:color w:val="auto"/>
                <w:kern w:val="2"/>
                <w:sz w:val="24"/>
                <w:szCs w:val="24"/>
                <w:highlight w:val="none"/>
                <w:u w:val="none"/>
                <w:shd w:val="clear" w:color="auto" w:fill="auto"/>
                <w:lang w:val="en-US" w:eastAsia="zh-CN" w:bidi="ar-SA"/>
              </w:rPr>
              <w:t>根据以上表格分析可知，项目的建设符合《环罗源湾地区工业产业布局规划（2020-2025年）修编环境影响报告书》及其审查意见中相关要求。</w:t>
            </w:r>
          </w:p>
        </w:tc>
      </w:tr>
    </w:tbl>
    <w:p w14:paraId="627CDFD0">
      <w:pPr>
        <w:adjustRightInd w:val="0"/>
        <w:snapToGrid w:val="0"/>
        <w:spacing w:line="240" w:lineRule="auto"/>
        <w:ind w:firstLine="0" w:firstLineChars="0"/>
        <w:jc w:val="center"/>
        <w:rPr>
          <w:color w:val="auto"/>
          <w:highlight w:val="none"/>
        </w:rPr>
        <w:sectPr>
          <w:pgSz w:w="16838" w:h="11906" w:orient="landscape"/>
          <w:pgMar w:top="1531" w:right="1701" w:bottom="1531" w:left="1701" w:header="851" w:footer="1077" w:gutter="0"/>
          <w:pgBorders>
            <w:top w:val="none" w:sz="0" w:space="0"/>
            <w:left w:val="none" w:sz="0" w:space="0"/>
            <w:bottom w:val="none" w:sz="0" w:space="0"/>
            <w:right w:val="none" w:sz="0" w:space="0"/>
          </w:pgBorders>
          <w:pgNumType w:start="1"/>
          <w:cols w:space="720" w:num="1"/>
          <w:docGrid w:linePitch="312" w:charSpace="0"/>
        </w:sectPr>
      </w:pP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13"/>
        <w:gridCol w:w="7157"/>
      </w:tblGrid>
      <w:tr w14:paraId="79299F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713" w:type="dxa"/>
            <w:noWrap w:val="0"/>
            <w:vAlign w:val="center"/>
          </w:tcPr>
          <w:p w14:paraId="76D2285D">
            <w:pPr>
              <w:adjustRightInd w:val="0"/>
              <w:snapToGrid w:val="0"/>
              <w:spacing w:line="240" w:lineRule="auto"/>
              <w:ind w:firstLine="0" w:firstLineChars="0"/>
              <w:jc w:val="center"/>
              <w:rPr>
                <w:color w:val="auto"/>
                <w:highlight w:val="none"/>
              </w:rPr>
            </w:pPr>
            <w:r>
              <w:rPr>
                <w:color w:val="auto"/>
                <w:highlight w:val="none"/>
              </w:rPr>
              <w:t>其他符合性分析</w:t>
            </w:r>
          </w:p>
        </w:tc>
        <w:tc>
          <w:tcPr>
            <w:tcW w:w="7157" w:type="dxa"/>
            <w:noWrap w:val="0"/>
            <w:vAlign w:val="center"/>
          </w:tcPr>
          <w:p w14:paraId="6A5A1A4E">
            <w:pPr>
              <w:widowControl/>
              <w:ind w:firstLine="0" w:firstLineChars="0"/>
              <w:jc w:val="left"/>
              <w:rPr>
                <w:b/>
                <w:bCs/>
                <w:color w:val="auto"/>
                <w:kern w:val="0"/>
                <w:sz w:val="28"/>
                <w:szCs w:val="28"/>
                <w:highlight w:val="none"/>
                <w:lang w:bidi="ar"/>
              </w:rPr>
            </w:pPr>
            <w:r>
              <w:rPr>
                <w:b/>
                <w:bCs/>
                <w:color w:val="auto"/>
                <w:kern w:val="0"/>
                <w:sz w:val="28"/>
                <w:szCs w:val="28"/>
                <w:highlight w:val="none"/>
                <w:lang w:bidi="ar"/>
              </w:rPr>
              <w:t>1.</w:t>
            </w:r>
            <w:r>
              <w:rPr>
                <w:rFonts w:hint="eastAsia"/>
                <w:b/>
                <w:bCs/>
                <w:color w:val="auto"/>
                <w:kern w:val="0"/>
                <w:sz w:val="28"/>
                <w:szCs w:val="28"/>
                <w:highlight w:val="none"/>
                <w:lang w:val="en-US" w:eastAsia="zh-CN" w:bidi="ar"/>
              </w:rPr>
              <w:t>2</w:t>
            </w:r>
            <w:r>
              <w:rPr>
                <w:b/>
                <w:bCs/>
                <w:color w:val="auto"/>
                <w:kern w:val="0"/>
                <w:sz w:val="28"/>
                <w:szCs w:val="28"/>
                <w:highlight w:val="none"/>
                <w:lang w:bidi="ar"/>
              </w:rPr>
              <w:t xml:space="preserve"> </w:t>
            </w:r>
            <w:r>
              <w:rPr>
                <w:rFonts w:hint="eastAsia"/>
                <w:b/>
                <w:bCs/>
                <w:color w:val="auto"/>
                <w:kern w:val="0"/>
                <w:sz w:val="28"/>
                <w:szCs w:val="28"/>
                <w:highlight w:val="none"/>
                <w:lang w:bidi="ar"/>
              </w:rPr>
              <w:t>产业政策符合性分析</w:t>
            </w:r>
          </w:p>
          <w:p w14:paraId="4ED67652">
            <w:pPr>
              <w:pStyle w:val="10"/>
              <w:rPr>
                <w:color w:val="auto"/>
                <w:highlight w:val="none"/>
              </w:rPr>
            </w:pPr>
            <w:r>
              <w:rPr>
                <w:rFonts w:hint="eastAsia"/>
                <w:color w:val="auto"/>
                <w:highlight w:val="none"/>
              </w:rPr>
              <w:t>本项目为</w:t>
            </w:r>
            <w:r>
              <w:rPr>
                <w:rFonts w:hint="eastAsia"/>
                <w:color w:val="auto"/>
                <w:highlight w:val="none"/>
                <w:lang w:val="en-US" w:eastAsia="zh-CN"/>
              </w:rPr>
              <w:t>沥青混凝土和乳化沥青生产</w:t>
            </w:r>
            <w:r>
              <w:rPr>
                <w:rFonts w:hint="eastAsia"/>
                <w:color w:val="auto"/>
                <w:highlight w:val="none"/>
              </w:rPr>
              <w:t>项目，不属于国家发改委发布的《产业结构调整指导目录（2024年本）》中的</w:t>
            </w:r>
            <w:r>
              <w:rPr>
                <w:rFonts w:hint="eastAsia"/>
                <w:color w:val="auto"/>
                <w:highlight w:val="none"/>
                <w:lang w:eastAsia="zh-CN"/>
              </w:rPr>
              <w:t>鼓励类、</w:t>
            </w:r>
            <w:r>
              <w:rPr>
                <w:rFonts w:hint="eastAsia"/>
                <w:color w:val="auto"/>
                <w:highlight w:val="none"/>
              </w:rPr>
              <w:t>限制</w:t>
            </w:r>
            <w:r>
              <w:rPr>
                <w:rFonts w:hint="eastAsia"/>
                <w:color w:val="auto"/>
                <w:highlight w:val="none"/>
                <w:lang w:val="en-US" w:eastAsia="zh-CN"/>
              </w:rPr>
              <w:t>类</w:t>
            </w:r>
            <w:r>
              <w:rPr>
                <w:rFonts w:hint="eastAsia"/>
                <w:color w:val="auto"/>
                <w:highlight w:val="none"/>
              </w:rPr>
              <w:t>和淘汰类，属于允许建设项目。</w:t>
            </w:r>
            <w:r>
              <w:rPr>
                <w:color w:val="auto"/>
                <w:highlight w:val="none"/>
              </w:rPr>
              <w:t>同时，建设单位于202</w:t>
            </w:r>
            <w:r>
              <w:rPr>
                <w:rFonts w:hint="eastAsia"/>
                <w:color w:val="auto"/>
                <w:highlight w:val="none"/>
                <w:lang w:val="en-US" w:eastAsia="zh-CN"/>
              </w:rPr>
              <w:t>5</w:t>
            </w:r>
            <w:r>
              <w:rPr>
                <w:color w:val="auto"/>
                <w:highlight w:val="none"/>
              </w:rPr>
              <w:t>年</w:t>
            </w:r>
            <w:r>
              <w:rPr>
                <w:rFonts w:hint="eastAsia"/>
                <w:color w:val="auto"/>
                <w:highlight w:val="none"/>
                <w:lang w:val="en-US" w:eastAsia="zh-CN"/>
              </w:rPr>
              <w:t>4</w:t>
            </w:r>
            <w:r>
              <w:rPr>
                <w:color w:val="auto"/>
                <w:highlight w:val="none"/>
              </w:rPr>
              <w:t>月</w:t>
            </w:r>
            <w:r>
              <w:rPr>
                <w:rFonts w:hint="eastAsia"/>
                <w:color w:val="auto"/>
                <w:highlight w:val="none"/>
                <w:lang w:val="en-US" w:eastAsia="zh-CN"/>
              </w:rPr>
              <w:t>30</w:t>
            </w:r>
            <w:r>
              <w:rPr>
                <w:color w:val="auto"/>
                <w:highlight w:val="none"/>
              </w:rPr>
              <w:t>日取得了</w:t>
            </w:r>
            <w:r>
              <w:rPr>
                <w:rFonts w:hint="eastAsia"/>
                <w:color w:val="auto"/>
                <w:highlight w:val="none"/>
                <w:lang w:val="en-US" w:eastAsia="zh-CN"/>
              </w:rPr>
              <w:t>罗源县发展和改革局</w:t>
            </w:r>
            <w:r>
              <w:rPr>
                <w:color w:val="auto"/>
                <w:highlight w:val="none"/>
              </w:rPr>
              <w:t>出具的《福建省投资项目备案证明（内资）》（</w:t>
            </w:r>
            <w:r>
              <w:rPr>
                <w:rFonts w:hint="eastAsia"/>
                <w:color w:val="auto"/>
                <w:highlight w:val="none"/>
                <w:lang w:val="en-US" w:eastAsia="zh-CN"/>
              </w:rPr>
              <w:t>闽</w:t>
            </w:r>
            <w:r>
              <w:rPr>
                <w:rFonts w:hint="eastAsia"/>
                <w:color w:val="auto"/>
                <w:highlight w:val="none"/>
              </w:rPr>
              <w:t>发改备[2023]A</w:t>
            </w:r>
            <w:r>
              <w:rPr>
                <w:rFonts w:hint="eastAsia"/>
                <w:color w:val="auto"/>
                <w:highlight w:val="none"/>
                <w:lang w:val="en-US" w:eastAsia="zh-CN"/>
              </w:rPr>
              <w:t>1</w:t>
            </w:r>
            <w:r>
              <w:rPr>
                <w:rFonts w:hint="eastAsia"/>
                <w:color w:val="auto"/>
                <w:highlight w:val="none"/>
              </w:rPr>
              <w:t>30037号</w:t>
            </w:r>
            <w:r>
              <w:rPr>
                <w:color w:val="auto"/>
                <w:highlight w:val="none"/>
              </w:rPr>
              <w:t>，附件2），</w:t>
            </w:r>
            <w:r>
              <w:rPr>
                <w:rFonts w:hint="eastAsia"/>
                <w:color w:val="auto"/>
                <w:highlight w:val="none"/>
              </w:rPr>
              <w:t>因此</w:t>
            </w:r>
            <w:r>
              <w:rPr>
                <w:rFonts w:hint="eastAsia" w:ascii="宋体" w:hAnsi="宋体" w:cs="宋体"/>
                <w:color w:val="auto"/>
                <w:kern w:val="0"/>
                <w:highlight w:val="none"/>
                <w:lang w:bidi="ar"/>
              </w:rPr>
              <w:t>项目的建设符合国家和地方产业政策要求。</w:t>
            </w:r>
          </w:p>
          <w:p w14:paraId="0A55987E">
            <w:pPr>
              <w:widowControl/>
              <w:ind w:firstLine="0" w:firstLineChars="0"/>
              <w:jc w:val="left"/>
              <w:rPr>
                <w:b/>
                <w:bCs/>
                <w:color w:val="auto"/>
                <w:kern w:val="0"/>
                <w:sz w:val="28"/>
                <w:szCs w:val="28"/>
                <w:highlight w:val="none"/>
                <w:lang w:bidi="ar"/>
              </w:rPr>
            </w:pPr>
            <w:r>
              <w:rPr>
                <w:b/>
                <w:bCs/>
                <w:color w:val="auto"/>
                <w:kern w:val="0"/>
                <w:sz w:val="28"/>
                <w:szCs w:val="28"/>
                <w:highlight w:val="none"/>
                <w:lang w:bidi="ar"/>
              </w:rPr>
              <w:t>1.</w:t>
            </w:r>
            <w:r>
              <w:rPr>
                <w:rFonts w:hint="eastAsia"/>
                <w:b/>
                <w:bCs/>
                <w:color w:val="auto"/>
                <w:kern w:val="0"/>
                <w:sz w:val="28"/>
                <w:szCs w:val="28"/>
                <w:highlight w:val="none"/>
                <w:lang w:val="en-US" w:eastAsia="zh-CN" w:bidi="ar"/>
              </w:rPr>
              <w:t>3</w:t>
            </w:r>
            <w:r>
              <w:rPr>
                <w:b/>
                <w:bCs/>
                <w:color w:val="auto"/>
                <w:kern w:val="0"/>
                <w:sz w:val="28"/>
                <w:szCs w:val="28"/>
                <w:highlight w:val="none"/>
                <w:lang w:bidi="ar"/>
              </w:rPr>
              <w:t xml:space="preserve"> </w:t>
            </w:r>
            <w:r>
              <w:rPr>
                <w:rFonts w:hint="eastAsia"/>
                <w:b/>
                <w:bCs/>
                <w:color w:val="auto"/>
                <w:kern w:val="0"/>
                <w:sz w:val="28"/>
                <w:szCs w:val="28"/>
                <w:highlight w:val="none"/>
                <w:lang w:bidi="ar"/>
              </w:rPr>
              <w:t>选址合理性分析</w:t>
            </w:r>
          </w:p>
          <w:p w14:paraId="45731BF1">
            <w:pPr>
              <w:widowControl/>
              <w:ind w:firstLine="480"/>
              <w:jc w:val="left"/>
              <w:rPr>
                <w:rFonts w:hint="eastAsia" w:ascii="宋体" w:hAnsi="宋体" w:cs="宋体"/>
                <w:color w:val="auto"/>
                <w:kern w:val="0"/>
                <w:highlight w:val="none"/>
                <w:lang w:bidi="ar"/>
              </w:rPr>
            </w:pPr>
            <w:r>
              <w:rPr>
                <w:color w:val="auto"/>
                <w:highlight w:val="none"/>
              </w:rPr>
              <w:t>本项目位于</w:t>
            </w:r>
            <w:r>
              <w:rPr>
                <w:rFonts w:hint="eastAsia"/>
                <w:color w:val="auto"/>
                <w:highlight w:val="none"/>
              </w:rPr>
              <w:t>福建省福州市</w:t>
            </w:r>
            <w:r>
              <w:rPr>
                <w:rFonts w:hint="eastAsia" w:ascii="Times New Roman" w:hAnsi="Times New Roman" w:eastAsia="宋体" w:cs="Times New Roman"/>
                <w:color w:val="auto"/>
                <w:highlight w:val="none"/>
              </w:rPr>
              <w:t>罗源县</w:t>
            </w:r>
            <w:r>
              <w:rPr>
                <w:rFonts w:hint="eastAsia" w:ascii="Times New Roman" w:hAnsi="Times New Roman" w:eastAsia="宋体" w:cs="Times New Roman"/>
                <w:color w:val="auto"/>
                <w:highlight w:val="none"/>
                <w:lang w:val="en-US" w:eastAsia="zh-CN"/>
              </w:rPr>
              <w:t>金港工业区</w:t>
            </w:r>
            <w:r>
              <w:rPr>
                <w:rFonts w:hint="eastAsia" w:ascii="Times New Roman" w:hAnsi="Times New Roman" w:eastAsia="宋体" w:cs="Times New Roman"/>
                <w:color w:val="auto"/>
                <w:highlight w:val="none"/>
              </w:rPr>
              <w:t>，根据</w:t>
            </w:r>
            <w:r>
              <w:rPr>
                <w:color w:val="auto"/>
                <w:kern w:val="0"/>
                <w:highlight w:val="none"/>
                <w:lang w:bidi="ar"/>
              </w:rPr>
              <w:t>《</w:t>
            </w:r>
            <w:r>
              <w:rPr>
                <w:rFonts w:hint="default" w:ascii="Times New Roman" w:hAnsi="Times New Roman" w:eastAsia="宋体" w:cs="Times New Roman"/>
                <w:color w:val="auto"/>
                <w:highlight w:val="none"/>
                <w:lang w:val="zh-CN"/>
              </w:rPr>
              <w:t>福州市丝路海港城（罗源湾港城）金港片区控制性详细规划</w:t>
            </w:r>
            <w:r>
              <w:rPr>
                <w:color w:val="auto"/>
                <w:kern w:val="0"/>
                <w:highlight w:val="none"/>
                <w:lang w:bidi="ar"/>
              </w:rPr>
              <w:t>》</w:t>
            </w:r>
            <w:r>
              <w:rPr>
                <w:color w:val="auto"/>
                <w:highlight w:val="none"/>
              </w:rPr>
              <w:t>，项目所在地规划为</w:t>
            </w:r>
            <w:r>
              <w:rPr>
                <w:rFonts w:hint="eastAsia"/>
                <w:color w:val="auto"/>
                <w:highlight w:val="none"/>
                <w:lang w:val="en-US" w:eastAsia="zh-CN"/>
              </w:rPr>
              <w:t>三类</w:t>
            </w:r>
            <w:r>
              <w:rPr>
                <w:color w:val="auto"/>
                <w:highlight w:val="none"/>
              </w:rPr>
              <w:t>工业用地</w:t>
            </w:r>
            <w:r>
              <w:rPr>
                <w:rFonts w:hint="eastAsia"/>
                <w:color w:val="auto"/>
                <w:highlight w:val="none"/>
              </w:rPr>
              <w:t>（详见附图5）。同时</w:t>
            </w:r>
            <w:r>
              <w:rPr>
                <w:color w:val="auto"/>
                <w:highlight w:val="none"/>
              </w:rPr>
              <w:t>根据</w:t>
            </w:r>
            <w:r>
              <w:rPr>
                <w:rFonts w:hint="eastAsia"/>
                <w:color w:val="auto"/>
                <w:highlight w:val="none"/>
              </w:rPr>
              <w:t>项目</w:t>
            </w:r>
            <w:r>
              <w:rPr>
                <w:rFonts w:hint="eastAsia"/>
                <w:color w:val="auto"/>
                <w:highlight w:val="none"/>
                <w:lang w:val="en-US" w:eastAsia="zh-CN"/>
              </w:rPr>
              <w:t>企业</w:t>
            </w:r>
            <w:r>
              <w:rPr>
                <w:rFonts w:hint="eastAsia"/>
                <w:color w:val="auto"/>
                <w:highlight w:val="none"/>
              </w:rPr>
              <w:t>与</w:t>
            </w:r>
            <w:r>
              <w:rPr>
                <w:rFonts w:hint="eastAsia"/>
                <w:color w:val="auto"/>
                <w:highlight w:val="none"/>
                <w:lang w:val="en-US" w:eastAsia="zh-CN"/>
              </w:rPr>
              <w:t>罗源县自然资源和规划局</w:t>
            </w:r>
            <w:r>
              <w:rPr>
                <w:rFonts w:hint="eastAsia"/>
                <w:color w:val="auto"/>
                <w:highlight w:val="none"/>
              </w:rPr>
              <w:t>签订的</w:t>
            </w:r>
            <w:r>
              <w:rPr>
                <w:rFonts w:hint="eastAsia"/>
                <w:color w:val="auto"/>
                <w:highlight w:val="none"/>
                <w:lang w:val="en-US" w:eastAsia="zh-CN"/>
              </w:rPr>
              <w:t>国有建设用地使用权出让合同</w:t>
            </w:r>
            <w:r>
              <w:rPr>
                <w:rFonts w:hint="eastAsia"/>
                <w:color w:val="auto"/>
                <w:highlight w:val="none"/>
              </w:rPr>
              <w:t>（详见附件5），可证明</w:t>
            </w:r>
            <w:r>
              <w:rPr>
                <w:color w:val="auto"/>
                <w:highlight w:val="none"/>
              </w:rPr>
              <w:t>项目用地类型为</w:t>
            </w:r>
            <w:r>
              <w:rPr>
                <w:rFonts w:hint="eastAsia"/>
                <w:color w:val="auto"/>
                <w:highlight w:val="none"/>
                <w:lang w:val="en-US" w:eastAsia="zh-CN"/>
              </w:rPr>
              <w:t>二类</w:t>
            </w:r>
            <w:r>
              <w:rPr>
                <w:color w:val="auto"/>
                <w:highlight w:val="none"/>
              </w:rPr>
              <w:t>工业用地</w:t>
            </w:r>
            <w:r>
              <w:rPr>
                <w:rFonts w:hint="eastAsia"/>
                <w:color w:val="auto"/>
                <w:highlight w:val="none"/>
              </w:rPr>
              <w:t>，因此</w:t>
            </w:r>
            <w:r>
              <w:rPr>
                <w:rFonts w:hint="eastAsia" w:ascii="宋体" w:hAnsi="宋体" w:cs="宋体"/>
                <w:color w:val="auto"/>
                <w:kern w:val="0"/>
                <w:highlight w:val="none"/>
                <w:lang w:bidi="ar"/>
              </w:rPr>
              <w:t>项目用地性质符合土地规划要求。</w:t>
            </w:r>
          </w:p>
          <w:p w14:paraId="67B4A254">
            <w:pPr>
              <w:widowControl/>
              <w:ind w:firstLine="0" w:firstLineChars="0"/>
              <w:jc w:val="left"/>
              <w:rPr>
                <w:rFonts w:hint="eastAsia"/>
                <w:b/>
                <w:bCs/>
                <w:color w:val="auto"/>
                <w:kern w:val="0"/>
                <w:sz w:val="28"/>
                <w:szCs w:val="28"/>
                <w:highlight w:val="none"/>
                <w:lang w:bidi="ar"/>
              </w:rPr>
            </w:pPr>
            <w:r>
              <w:rPr>
                <w:rFonts w:hint="eastAsia"/>
                <w:b/>
                <w:bCs/>
                <w:color w:val="auto"/>
                <w:kern w:val="0"/>
                <w:sz w:val="28"/>
                <w:szCs w:val="28"/>
                <w:highlight w:val="none"/>
                <w:lang w:bidi="ar"/>
              </w:rPr>
              <w:t>1.</w:t>
            </w:r>
            <w:r>
              <w:rPr>
                <w:rFonts w:hint="eastAsia"/>
                <w:b/>
                <w:bCs/>
                <w:color w:val="auto"/>
                <w:kern w:val="0"/>
                <w:sz w:val="28"/>
                <w:szCs w:val="28"/>
                <w:highlight w:val="none"/>
                <w:lang w:val="en-US" w:eastAsia="zh-CN" w:bidi="ar"/>
              </w:rPr>
              <w:t>4</w:t>
            </w:r>
            <w:r>
              <w:rPr>
                <w:rFonts w:hint="eastAsia"/>
                <w:b/>
                <w:bCs/>
                <w:color w:val="auto"/>
                <w:kern w:val="0"/>
                <w:sz w:val="28"/>
                <w:szCs w:val="28"/>
                <w:highlight w:val="none"/>
                <w:lang w:bidi="ar"/>
              </w:rPr>
              <w:t xml:space="preserve"> 生态环境分区管控要求的符合性分析</w:t>
            </w:r>
          </w:p>
          <w:p w14:paraId="48E7A608">
            <w:pPr>
              <w:ind w:firstLine="480"/>
              <w:rPr>
                <w:rFonts w:hint="eastAsia"/>
                <w:color w:val="auto"/>
                <w:highlight w:val="none"/>
              </w:rPr>
            </w:pPr>
            <w:r>
              <w:rPr>
                <w:color w:val="auto"/>
                <w:highlight w:val="none"/>
              </w:rPr>
              <w:t>根据福州市人民政府办公厅关于印发《福州市生态环境分区管控方案</w:t>
            </w:r>
            <w:r>
              <w:rPr>
                <w:rFonts w:hint="eastAsia"/>
                <w:color w:val="auto"/>
                <w:highlight w:val="none"/>
              </w:rPr>
              <w:t>（</w:t>
            </w:r>
            <w:r>
              <w:rPr>
                <w:color w:val="auto"/>
                <w:highlight w:val="none"/>
              </w:rPr>
              <w:t>2023年更新</w:t>
            </w:r>
            <w:r>
              <w:rPr>
                <w:rFonts w:hint="eastAsia"/>
                <w:color w:val="auto"/>
                <w:highlight w:val="none"/>
              </w:rPr>
              <w:t>）</w:t>
            </w:r>
            <w:r>
              <w:rPr>
                <w:color w:val="auto"/>
                <w:highlight w:val="none"/>
              </w:rPr>
              <w:t>》的通知</w:t>
            </w:r>
            <w:r>
              <w:rPr>
                <w:rFonts w:hint="eastAsia"/>
                <w:color w:val="auto"/>
                <w:highlight w:val="none"/>
              </w:rPr>
              <w:t>（</w:t>
            </w:r>
            <w:r>
              <w:rPr>
                <w:color w:val="auto"/>
                <w:highlight w:val="none"/>
              </w:rPr>
              <w:t>榕政办规</w:t>
            </w:r>
            <w:r>
              <w:rPr>
                <w:rFonts w:hint="eastAsia"/>
                <w:color w:val="auto"/>
                <w:highlight w:val="none"/>
              </w:rPr>
              <w:t>〔2024〕</w:t>
            </w:r>
            <w:r>
              <w:rPr>
                <w:color w:val="auto"/>
                <w:highlight w:val="none"/>
              </w:rPr>
              <w:t>20号</w:t>
            </w:r>
            <w:r>
              <w:rPr>
                <w:rFonts w:hint="eastAsia"/>
                <w:color w:val="auto"/>
                <w:highlight w:val="none"/>
              </w:rPr>
              <w:t>）</w:t>
            </w:r>
            <w:r>
              <w:rPr>
                <w:color w:val="auto"/>
                <w:highlight w:val="none"/>
              </w:rPr>
              <w:t>，项目与福州市生态环境分区管控符合性分析如下</w:t>
            </w:r>
            <w:r>
              <w:rPr>
                <w:rFonts w:hint="eastAsia"/>
                <w:color w:val="auto"/>
                <w:highlight w:val="none"/>
              </w:rPr>
              <w:t>：</w:t>
            </w:r>
          </w:p>
          <w:p w14:paraId="74CBADE2">
            <w:pPr>
              <w:ind w:firstLine="480"/>
              <w:rPr>
                <w:b/>
                <w:bCs/>
                <w:color w:val="auto"/>
                <w:highlight w:val="none"/>
              </w:rPr>
            </w:pPr>
            <w:r>
              <w:rPr>
                <w:rFonts w:hint="eastAsia"/>
                <w:b/>
                <w:bCs/>
                <w:color w:val="auto"/>
                <w:highlight w:val="none"/>
              </w:rPr>
              <w:t>1、</w:t>
            </w:r>
            <w:r>
              <w:rPr>
                <w:b/>
                <w:bCs/>
                <w:color w:val="auto"/>
                <w:highlight w:val="none"/>
              </w:rPr>
              <w:t>生态保护红线与一般生态空间</w:t>
            </w:r>
          </w:p>
          <w:p w14:paraId="5E8C7803">
            <w:pPr>
              <w:ind w:firstLine="480"/>
              <w:rPr>
                <w:color w:val="auto"/>
                <w:highlight w:val="none"/>
              </w:rPr>
            </w:pPr>
            <w:r>
              <w:rPr>
                <w:rFonts w:hint="eastAsia"/>
                <w:color w:val="auto"/>
                <w:highlight w:val="none"/>
              </w:rPr>
              <w:t>（1）</w:t>
            </w:r>
            <w:r>
              <w:rPr>
                <w:color w:val="auto"/>
                <w:highlight w:val="none"/>
              </w:rPr>
              <w:t>生态保护红线</w:t>
            </w:r>
          </w:p>
          <w:p w14:paraId="39623569">
            <w:pPr>
              <w:ind w:firstLine="480"/>
              <w:rPr>
                <w:color w:val="auto"/>
                <w:highlight w:val="none"/>
              </w:rPr>
            </w:pPr>
            <w:r>
              <w:rPr>
                <w:rFonts w:hint="eastAsia"/>
                <w:color w:val="auto"/>
                <w:highlight w:val="none"/>
              </w:rPr>
              <w:t>福州市生态保护红线包括陆域生态保护红线和海洋生态保护红线，其中陆域生态保护红线主要涵盖自然保护区、森林公园、风景名胜区、地质公园、湿地公园、饮用水水源保护区等禁止开发区域以及国家一级公益林、重要湿地等。按照《福建省生态保护红线划定方案（报批稿）》（闽政函〔2018〕70 号），福州市陆域生态保护红线划定面积为2497.75km</w:t>
            </w:r>
            <w:r>
              <w:rPr>
                <w:rFonts w:hint="eastAsia"/>
                <w:color w:val="auto"/>
                <w:highlight w:val="none"/>
                <w:vertAlign w:val="superscript"/>
              </w:rPr>
              <w:t>2</w:t>
            </w:r>
            <w:r>
              <w:rPr>
                <w:rFonts w:hint="eastAsia"/>
                <w:color w:val="auto"/>
                <w:highlight w:val="none"/>
              </w:rPr>
              <w:t>，占全市陆域国土面积的21.06%。</w:t>
            </w:r>
          </w:p>
          <w:p w14:paraId="55B30B6E">
            <w:pPr>
              <w:ind w:firstLine="480"/>
              <w:rPr>
                <w:color w:val="auto"/>
                <w:highlight w:val="none"/>
              </w:rPr>
            </w:pPr>
            <w:r>
              <w:rPr>
                <w:rFonts w:hint="eastAsia"/>
                <w:color w:val="auto"/>
                <w:highlight w:val="none"/>
              </w:rPr>
              <w:t>经对照，项目选址于福建省福州市罗源县</w:t>
            </w:r>
            <w:r>
              <w:rPr>
                <w:rFonts w:hint="eastAsia"/>
                <w:color w:val="auto"/>
                <w:highlight w:val="none"/>
                <w:lang w:val="en-US" w:eastAsia="zh-CN"/>
              </w:rPr>
              <w:t>金港工业区</w:t>
            </w:r>
            <w:r>
              <w:rPr>
                <w:rFonts w:hint="eastAsia"/>
                <w:color w:val="auto"/>
                <w:highlight w:val="none"/>
              </w:rPr>
              <w:t>，不位于自然保护区、风景名胜区、饮用水源保护地和其他需要特别保护等法律法规禁止开发建设的区域。因此，项目建设符合生态红线控制要求。</w:t>
            </w:r>
          </w:p>
          <w:p w14:paraId="6D270D90">
            <w:pPr>
              <w:ind w:firstLine="480"/>
              <w:rPr>
                <w:color w:val="auto"/>
                <w:highlight w:val="none"/>
              </w:rPr>
            </w:pPr>
            <w:r>
              <w:rPr>
                <w:rFonts w:hint="eastAsia"/>
                <w:color w:val="auto"/>
                <w:highlight w:val="none"/>
              </w:rPr>
              <w:t>（2）</w:t>
            </w:r>
            <w:r>
              <w:rPr>
                <w:color w:val="auto"/>
                <w:highlight w:val="none"/>
              </w:rPr>
              <w:t>一般生态空间</w:t>
            </w:r>
          </w:p>
          <w:p w14:paraId="0B943CB1">
            <w:pPr>
              <w:ind w:firstLine="480"/>
              <w:rPr>
                <w:color w:val="auto"/>
                <w:highlight w:val="none"/>
              </w:rPr>
            </w:pPr>
            <w:r>
              <w:rPr>
                <w:color w:val="auto"/>
                <w:highlight w:val="none"/>
              </w:rPr>
              <w:t>一般生态</w:t>
            </w:r>
            <w:r>
              <w:rPr>
                <w:rFonts w:hint="eastAsia"/>
                <w:color w:val="auto"/>
                <w:highlight w:val="none"/>
              </w:rPr>
              <w:t>：</w:t>
            </w:r>
            <w:r>
              <w:rPr>
                <w:color w:val="auto"/>
                <w:highlight w:val="none"/>
              </w:rPr>
              <w:t>空间面积为5022.51平方千米，其中陆域面积为3703.34平方千米、海域面积为1319.17平方千米。一般生态空间将随生态保护红线最终发布成果做调整。陆域一般生态空间主要包括生态评估得到的生态功能重要区域和生态环境敏感区域以及未纳入生态保护红线的各类法定保护地、饮用水水源保护区等需要保护的区域。</w:t>
            </w:r>
          </w:p>
          <w:p w14:paraId="38ABD416">
            <w:pPr>
              <w:ind w:firstLine="480"/>
              <w:rPr>
                <w:color w:val="auto"/>
                <w:highlight w:val="none"/>
              </w:rPr>
            </w:pPr>
            <w:r>
              <w:rPr>
                <w:color w:val="auto"/>
                <w:highlight w:val="none"/>
              </w:rPr>
              <w:t>根据查询，项目不涉及生态功能重要区域和生态环境敏感区域以及未纳入生态保护红线的各类法定保护地、饮用水水源保护区等需要保护的区域。</w:t>
            </w:r>
            <w:r>
              <w:rPr>
                <w:rFonts w:hint="eastAsia"/>
                <w:color w:val="auto"/>
                <w:highlight w:val="none"/>
              </w:rPr>
              <w:t>因此，项目建设符合一般生态空间控制要求。</w:t>
            </w:r>
          </w:p>
          <w:p w14:paraId="76E41333">
            <w:pPr>
              <w:ind w:firstLine="480"/>
              <w:rPr>
                <w:b/>
                <w:bCs/>
                <w:color w:val="auto"/>
                <w:highlight w:val="none"/>
              </w:rPr>
            </w:pPr>
            <w:r>
              <w:rPr>
                <w:rFonts w:hint="eastAsia"/>
                <w:b/>
                <w:bCs/>
                <w:color w:val="auto"/>
                <w:highlight w:val="none"/>
              </w:rPr>
              <w:t>2、</w:t>
            </w:r>
            <w:r>
              <w:rPr>
                <w:b/>
                <w:bCs/>
                <w:color w:val="auto"/>
                <w:highlight w:val="none"/>
              </w:rPr>
              <w:t>环境质量底线</w:t>
            </w:r>
          </w:p>
          <w:p w14:paraId="1B4E1E57">
            <w:pPr>
              <w:ind w:firstLine="480"/>
              <w:rPr>
                <w:color w:val="auto"/>
                <w:highlight w:val="none"/>
              </w:rPr>
            </w:pPr>
            <w:r>
              <w:rPr>
                <w:rFonts w:hint="eastAsia"/>
                <w:color w:val="auto"/>
                <w:highlight w:val="none"/>
              </w:rPr>
              <w:t>（1）</w:t>
            </w:r>
            <w:r>
              <w:rPr>
                <w:color w:val="auto"/>
                <w:highlight w:val="none"/>
              </w:rPr>
              <w:t>地表水环境质量底线</w:t>
            </w:r>
          </w:p>
          <w:p w14:paraId="0297B30E">
            <w:pPr>
              <w:ind w:firstLine="480"/>
              <w:rPr>
                <w:color w:val="auto"/>
                <w:highlight w:val="none"/>
              </w:rPr>
            </w:pPr>
            <w:r>
              <w:rPr>
                <w:color w:val="auto"/>
                <w:highlight w:val="none"/>
              </w:rPr>
              <w:t>到2025年，国省控断面水质优良</w:t>
            </w:r>
            <w:r>
              <w:rPr>
                <w:rFonts w:hint="eastAsia"/>
                <w:color w:val="auto"/>
                <w:highlight w:val="none"/>
              </w:rPr>
              <w:t>（</w:t>
            </w:r>
            <w:r>
              <w:rPr>
                <w:color w:val="auto"/>
                <w:highlight w:val="none"/>
              </w:rPr>
              <w:t>达到或优于Ш类</w:t>
            </w:r>
            <w:r>
              <w:rPr>
                <w:rFonts w:hint="eastAsia"/>
                <w:color w:val="auto"/>
                <w:highlight w:val="none"/>
              </w:rPr>
              <w:t>）</w:t>
            </w:r>
            <w:r>
              <w:rPr>
                <w:color w:val="auto"/>
                <w:highlight w:val="none"/>
              </w:rPr>
              <w:t>比例总体达97.2%以上</w:t>
            </w:r>
            <w:r>
              <w:rPr>
                <w:rFonts w:hint="eastAsia"/>
                <w:color w:val="auto"/>
                <w:highlight w:val="none"/>
              </w:rPr>
              <w:t>；</w:t>
            </w:r>
            <w:r>
              <w:rPr>
                <w:color w:val="auto"/>
                <w:highlight w:val="none"/>
              </w:rPr>
              <w:t>县级以上集中式饮用水水源水质达标率达100%。</w:t>
            </w:r>
          </w:p>
          <w:p w14:paraId="3DD06C9F">
            <w:pPr>
              <w:ind w:firstLine="480"/>
              <w:rPr>
                <w:color w:val="auto"/>
                <w:highlight w:val="none"/>
              </w:rPr>
            </w:pPr>
            <w:r>
              <w:rPr>
                <w:color w:val="auto"/>
                <w:highlight w:val="none"/>
              </w:rPr>
              <w:t>到2035年，国省控断面水质优良</w:t>
            </w:r>
            <w:r>
              <w:rPr>
                <w:rFonts w:hint="eastAsia"/>
                <w:color w:val="auto"/>
                <w:highlight w:val="none"/>
              </w:rPr>
              <w:t>（</w:t>
            </w:r>
            <w:r>
              <w:rPr>
                <w:color w:val="auto"/>
                <w:highlight w:val="none"/>
              </w:rPr>
              <w:t>达到或优于Ⅲ类</w:t>
            </w:r>
            <w:r>
              <w:rPr>
                <w:rFonts w:hint="eastAsia"/>
                <w:color w:val="auto"/>
                <w:highlight w:val="none"/>
              </w:rPr>
              <w:t>）</w:t>
            </w:r>
            <w:r>
              <w:rPr>
                <w:color w:val="auto"/>
                <w:highlight w:val="none"/>
              </w:rPr>
              <w:t>比例总体达到100%；生态系统实现良性循环。</w:t>
            </w:r>
          </w:p>
          <w:p w14:paraId="18A223DB">
            <w:pPr>
              <w:ind w:firstLine="480"/>
              <w:rPr>
                <w:color w:val="auto"/>
                <w:highlight w:val="none"/>
              </w:rPr>
            </w:pPr>
            <w:r>
              <w:rPr>
                <w:rFonts w:hint="eastAsia"/>
                <w:color w:val="auto"/>
                <w:highlight w:val="none"/>
              </w:rPr>
              <w:t>（2）</w:t>
            </w:r>
            <w:r>
              <w:rPr>
                <w:color w:val="auto"/>
                <w:highlight w:val="none"/>
              </w:rPr>
              <w:t>近岸海域环境质量底线</w:t>
            </w:r>
          </w:p>
          <w:p w14:paraId="415476A2">
            <w:pPr>
              <w:ind w:firstLine="480"/>
              <w:rPr>
                <w:color w:val="auto"/>
                <w:highlight w:val="none"/>
              </w:rPr>
            </w:pPr>
            <w:r>
              <w:rPr>
                <w:color w:val="auto"/>
                <w:highlight w:val="none"/>
              </w:rPr>
              <w:t>到2025年，近岸海域水质持续改善，重要河口海湾水质稳定好转，鉴江半岛—黄岐半岛东部海域湾区、长乐东部海域湾区建成美丽海湾，近岸海域优良水质面积比例不低于85%</w:t>
            </w:r>
            <w:r>
              <w:rPr>
                <w:rFonts w:hint="eastAsia"/>
                <w:color w:val="auto"/>
                <w:highlight w:val="none"/>
              </w:rPr>
              <w:t xml:space="preserve"> （</w:t>
            </w:r>
            <w:r>
              <w:rPr>
                <w:color w:val="auto"/>
                <w:highlight w:val="none"/>
              </w:rPr>
              <w:t>国控点优良水质面积不低于84.0%</w:t>
            </w:r>
            <w:r>
              <w:rPr>
                <w:rFonts w:hint="eastAsia"/>
                <w:color w:val="auto"/>
                <w:highlight w:val="none"/>
              </w:rPr>
              <w:t>）</w:t>
            </w:r>
            <w:r>
              <w:rPr>
                <w:color w:val="auto"/>
                <w:highlight w:val="none"/>
              </w:rPr>
              <w:t>。</w:t>
            </w:r>
          </w:p>
          <w:p w14:paraId="3B056F02">
            <w:pPr>
              <w:ind w:firstLine="480"/>
              <w:rPr>
                <w:color w:val="auto"/>
                <w:highlight w:val="none"/>
              </w:rPr>
            </w:pPr>
            <w:r>
              <w:rPr>
                <w:color w:val="auto"/>
                <w:highlight w:val="none"/>
              </w:rPr>
              <w:t>到2035年，海洋生态环境显著改善，重要河口海湾水质大幅提升，近岸海域优良水质面积比例不低于89%</w:t>
            </w:r>
            <w:r>
              <w:rPr>
                <w:rFonts w:hint="eastAsia"/>
                <w:color w:val="auto"/>
                <w:highlight w:val="none"/>
              </w:rPr>
              <w:t xml:space="preserve"> </w:t>
            </w:r>
            <w:r>
              <w:rPr>
                <w:color w:val="auto"/>
                <w:highlight w:val="none"/>
              </w:rPr>
              <w:t>，全面建成美丽海湾。</w:t>
            </w:r>
          </w:p>
          <w:p w14:paraId="2F2ECA29">
            <w:pPr>
              <w:ind w:firstLine="480"/>
              <w:rPr>
                <w:rFonts w:hint="eastAsia"/>
                <w:color w:val="auto"/>
                <w:szCs w:val="21"/>
                <w:highlight w:val="none"/>
              </w:rPr>
            </w:pPr>
            <w:r>
              <w:rPr>
                <w:rFonts w:hint="eastAsia" w:ascii="Times New Roman" w:hAnsi="Times New Roman" w:eastAsia="宋体" w:cs="Times New Roman"/>
                <w:color w:val="auto"/>
                <w:szCs w:val="21"/>
                <w:highlight w:val="none"/>
              </w:rPr>
              <w:t>项目无生产废水</w:t>
            </w:r>
            <w:r>
              <w:rPr>
                <w:rFonts w:hint="eastAsia" w:ascii="Times New Roman" w:hAnsi="Times New Roman" w:eastAsia="宋体" w:cs="Times New Roman"/>
                <w:color w:val="auto"/>
                <w:szCs w:val="21"/>
                <w:highlight w:val="none"/>
                <w:lang w:val="en-US" w:eastAsia="zh-CN"/>
              </w:rPr>
              <w:t>外排</w:t>
            </w:r>
            <w:r>
              <w:rPr>
                <w:rFonts w:hint="eastAsia" w:ascii="Times New Roman" w:hAnsi="Times New Roman" w:eastAsia="宋体" w:cs="Times New Roman"/>
                <w:color w:val="auto"/>
                <w:szCs w:val="21"/>
                <w:highlight w:val="none"/>
              </w:rPr>
              <w:t>，</w:t>
            </w:r>
            <w:r>
              <w:rPr>
                <w:rFonts w:hint="eastAsia" w:ascii="Times New Roman" w:hAnsi="Times New Roman" w:eastAsia="宋体" w:cs="Times New Roman"/>
                <w:color w:val="auto"/>
                <w:szCs w:val="21"/>
                <w:highlight w:val="none"/>
                <w:lang w:val="en-US" w:eastAsia="zh-CN"/>
              </w:rPr>
              <w:t>项目食堂废水经隔油池预处理后与</w:t>
            </w:r>
            <w:r>
              <w:rPr>
                <w:rFonts w:hint="eastAsia" w:ascii="Times New Roman" w:hAnsi="Times New Roman" w:eastAsia="宋体" w:cs="Times New Roman"/>
                <w:color w:val="auto"/>
                <w:szCs w:val="21"/>
                <w:highlight w:val="none"/>
              </w:rPr>
              <w:t>生活废水一起经</w:t>
            </w:r>
            <w:r>
              <w:rPr>
                <w:rFonts w:hint="eastAsia" w:ascii="Times New Roman" w:hAnsi="Times New Roman" w:eastAsia="宋体" w:cs="Times New Roman"/>
                <w:color w:val="auto"/>
                <w:szCs w:val="21"/>
                <w:highlight w:val="none"/>
                <w:lang w:val="en-US" w:eastAsia="zh-CN"/>
              </w:rPr>
              <w:t>厂区</w:t>
            </w:r>
            <w:r>
              <w:rPr>
                <w:rFonts w:hint="eastAsia" w:ascii="Times New Roman" w:hAnsi="Times New Roman" w:eastAsia="宋体" w:cs="Times New Roman"/>
                <w:color w:val="auto"/>
                <w:szCs w:val="21"/>
                <w:highlight w:val="none"/>
              </w:rPr>
              <w:t>化粪池处理达</w:t>
            </w:r>
            <w:r>
              <w:rPr>
                <w:rFonts w:hint="eastAsia" w:ascii="Times New Roman" w:hAnsi="Times New Roman" w:eastAsia="宋体" w:cs="Times New Roman"/>
                <w:color w:val="auto"/>
                <w:szCs w:val="21"/>
                <w:highlight w:val="none"/>
                <w:lang w:val="en-US" w:eastAsia="zh-CN"/>
              </w:rPr>
              <w:t>标</w:t>
            </w:r>
            <w:r>
              <w:rPr>
                <w:rFonts w:hint="eastAsia" w:ascii="Times New Roman" w:hAnsi="Times New Roman" w:eastAsia="宋体" w:cs="Times New Roman"/>
                <w:color w:val="auto"/>
                <w:szCs w:val="21"/>
                <w:highlight w:val="none"/>
              </w:rPr>
              <w:t>后排入市政污水管网。几乎</w:t>
            </w:r>
            <w:r>
              <w:rPr>
                <w:rFonts w:hint="eastAsia" w:ascii="Times New Roman" w:hAnsi="Times New Roman" w:cs="Times New Roman"/>
                <w:color w:val="auto"/>
                <w:highlight w:val="none"/>
              </w:rPr>
              <w:t>不会改变区域地表水环境质量现状，项目建设不会突破</w:t>
            </w:r>
            <w:r>
              <w:rPr>
                <w:rFonts w:hint="eastAsia"/>
                <w:color w:val="auto"/>
                <w:szCs w:val="21"/>
                <w:highlight w:val="none"/>
              </w:rPr>
              <w:t>区域地表水环境质量底线。</w:t>
            </w:r>
          </w:p>
          <w:p w14:paraId="56E0F351">
            <w:pPr>
              <w:ind w:firstLine="480"/>
              <w:rPr>
                <w:color w:val="auto"/>
                <w:highlight w:val="none"/>
              </w:rPr>
            </w:pPr>
            <w:r>
              <w:rPr>
                <w:rFonts w:hint="eastAsia"/>
                <w:color w:val="auto"/>
                <w:highlight w:val="none"/>
              </w:rPr>
              <w:t>（3）</w:t>
            </w:r>
            <w:r>
              <w:rPr>
                <w:color w:val="auto"/>
                <w:highlight w:val="none"/>
              </w:rPr>
              <w:t>大气环境质量底线</w:t>
            </w:r>
          </w:p>
          <w:p w14:paraId="0FBAB45C">
            <w:pPr>
              <w:ind w:firstLine="480"/>
              <w:rPr>
                <w:color w:val="auto"/>
                <w:highlight w:val="none"/>
              </w:rPr>
            </w:pPr>
            <w:r>
              <w:rPr>
                <w:color w:val="auto"/>
                <w:highlight w:val="none"/>
              </w:rPr>
              <w:t>到2025年，环境空气质量持续改善，细颗粒物(PM)年均浓度降至18.6ug/m</w:t>
            </w:r>
            <w:r>
              <w:rPr>
                <w:color w:val="auto"/>
                <w:highlight w:val="none"/>
                <w:vertAlign w:val="superscript"/>
              </w:rPr>
              <w:t>3</w:t>
            </w:r>
            <w:r>
              <w:rPr>
                <w:color w:val="auto"/>
                <w:highlight w:val="none"/>
              </w:rPr>
              <w:t>。</w:t>
            </w:r>
          </w:p>
          <w:p w14:paraId="38480ED0">
            <w:pPr>
              <w:ind w:firstLine="480"/>
              <w:rPr>
                <w:color w:val="auto"/>
                <w:highlight w:val="none"/>
              </w:rPr>
            </w:pPr>
            <w:r>
              <w:rPr>
                <w:color w:val="auto"/>
                <w:highlight w:val="none"/>
              </w:rPr>
              <w:t>到2035年，县级城市细颗粒物</w:t>
            </w:r>
            <w:r>
              <w:rPr>
                <w:rFonts w:hint="eastAsia"/>
                <w:color w:val="auto"/>
                <w:highlight w:val="none"/>
              </w:rPr>
              <w:t>（</w:t>
            </w:r>
            <w:r>
              <w:rPr>
                <w:color w:val="auto"/>
                <w:highlight w:val="none"/>
              </w:rPr>
              <w:t>PM</w:t>
            </w:r>
            <w:r>
              <w:rPr>
                <w:rFonts w:hint="eastAsia"/>
                <w:color w:val="auto"/>
                <w:highlight w:val="none"/>
              </w:rPr>
              <w:t>）</w:t>
            </w:r>
            <w:r>
              <w:rPr>
                <w:color w:val="auto"/>
                <w:highlight w:val="none"/>
              </w:rPr>
              <w:t>年均浓度小于15ug/m</w:t>
            </w:r>
            <w:r>
              <w:rPr>
                <w:color w:val="auto"/>
                <w:highlight w:val="none"/>
                <w:vertAlign w:val="superscript"/>
              </w:rPr>
              <w:t>3</w:t>
            </w:r>
            <w:r>
              <w:rPr>
                <w:color w:val="auto"/>
                <w:highlight w:val="none"/>
              </w:rPr>
              <w:t>，最终指标值以省下达指标为准。</w:t>
            </w:r>
          </w:p>
          <w:p w14:paraId="531A24F8">
            <w:pPr>
              <w:ind w:firstLine="480"/>
              <w:rPr>
                <w:color w:val="auto"/>
                <w:highlight w:val="none"/>
              </w:rPr>
            </w:pPr>
            <w:r>
              <w:rPr>
                <w:color w:val="auto"/>
                <w:highlight w:val="none"/>
              </w:rPr>
              <w:t>项目废气经采取有效的污染防治措施后，各污染物均可实现达标排放，项目的建设不会突破区域大气环境质量底线</w:t>
            </w:r>
            <w:r>
              <w:rPr>
                <w:rFonts w:hint="eastAsia"/>
                <w:color w:val="auto"/>
                <w:highlight w:val="none"/>
              </w:rPr>
              <w:t>，符合大气环境质量底线管控要求</w:t>
            </w:r>
            <w:r>
              <w:rPr>
                <w:color w:val="auto"/>
                <w:highlight w:val="none"/>
              </w:rPr>
              <w:t>。</w:t>
            </w:r>
          </w:p>
          <w:p w14:paraId="1BC27EEC">
            <w:pPr>
              <w:ind w:firstLine="480"/>
              <w:rPr>
                <w:color w:val="auto"/>
                <w:highlight w:val="none"/>
              </w:rPr>
            </w:pPr>
            <w:r>
              <w:rPr>
                <w:rFonts w:hint="eastAsia"/>
                <w:color w:val="auto"/>
                <w:highlight w:val="none"/>
              </w:rPr>
              <w:t>（4）</w:t>
            </w:r>
            <w:r>
              <w:rPr>
                <w:color w:val="auto"/>
                <w:highlight w:val="none"/>
              </w:rPr>
              <w:t>土壤环境风险防控底线</w:t>
            </w:r>
          </w:p>
          <w:p w14:paraId="46D9FC71">
            <w:pPr>
              <w:ind w:firstLine="480"/>
              <w:rPr>
                <w:color w:val="auto"/>
                <w:highlight w:val="none"/>
              </w:rPr>
            </w:pPr>
            <w:r>
              <w:rPr>
                <w:color w:val="auto"/>
                <w:highlight w:val="none"/>
              </w:rPr>
              <w:t>到2025年，受污染耕地安全利用率达到95%（含）以上，重点建设用地安全利用率得到有效保障，重点行业企业用地优先管控名录地块风险管控率达到95%（含</w:t>
            </w:r>
            <w:r>
              <w:rPr>
                <w:rFonts w:hint="eastAsia"/>
                <w:color w:val="auto"/>
                <w:highlight w:val="none"/>
              </w:rPr>
              <w:t>）</w:t>
            </w:r>
            <w:r>
              <w:rPr>
                <w:color w:val="auto"/>
                <w:highlight w:val="none"/>
              </w:rPr>
              <w:t>以上，开垦耕地土壤污染调查覆盖率达90%以上，畜禽粪污综合利用率预期达95%（含</w:t>
            </w:r>
            <w:r>
              <w:rPr>
                <w:rFonts w:hint="eastAsia"/>
                <w:color w:val="auto"/>
                <w:highlight w:val="none"/>
              </w:rPr>
              <w:t>）</w:t>
            </w:r>
            <w:r>
              <w:rPr>
                <w:color w:val="auto"/>
                <w:highlight w:val="none"/>
              </w:rPr>
              <w:t xml:space="preserve">以上。 </w:t>
            </w:r>
          </w:p>
          <w:p w14:paraId="03BE2259">
            <w:pPr>
              <w:ind w:firstLine="480"/>
              <w:rPr>
                <w:color w:val="auto"/>
                <w:highlight w:val="none"/>
              </w:rPr>
            </w:pPr>
            <w:r>
              <w:rPr>
                <w:color w:val="auto"/>
                <w:highlight w:val="none"/>
              </w:rPr>
              <w:t>到2035年，全市土壤环境质量稳中向好，农用地和建设用地土壤环境得到有效保障，土壤环境风险得到全面管控。</w:t>
            </w:r>
          </w:p>
          <w:p w14:paraId="3A488AB9">
            <w:pPr>
              <w:ind w:firstLine="480"/>
              <w:rPr>
                <w:color w:val="auto"/>
                <w:highlight w:val="none"/>
              </w:rPr>
            </w:pPr>
            <w:r>
              <w:rPr>
                <w:rFonts w:hint="eastAsia"/>
                <w:color w:val="auto"/>
                <w:highlight w:val="none"/>
              </w:rPr>
              <w:t>项目不属于《福州市土壤污染防治行动计划实施方案》中所列的“金属冶炼、化工、石化、焦化、电镀、印染、医药、建陶、铅酸蓄电池、废物处理和资源化、畜禽养殖等重点行业企业”。</w:t>
            </w:r>
            <w:r>
              <w:rPr>
                <w:color w:val="auto"/>
                <w:highlight w:val="none"/>
              </w:rPr>
              <w:t>项目在</w:t>
            </w:r>
            <w:r>
              <w:rPr>
                <w:rFonts w:hint="eastAsia"/>
                <w:color w:val="auto"/>
                <w:highlight w:val="none"/>
              </w:rPr>
              <w:t>地面均进行硬化处理</w:t>
            </w:r>
            <w:r>
              <w:rPr>
                <w:color w:val="auto"/>
                <w:highlight w:val="none"/>
              </w:rPr>
              <w:t>，生产过程不排放重点重金属或持久性有机污染物，厂区严格按照要求进行分区防渗防控，几乎不存在土壤环境风险，符合土壤环境风险防控底线要求。</w:t>
            </w:r>
          </w:p>
          <w:p w14:paraId="69349DAB">
            <w:pPr>
              <w:ind w:firstLine="480"/>
              <w:rPr>
                <w:color w:val="auto"/>
                <w:highlight w:val="none"/>
              </w:rPr>
            </w:pPr>
            <w:r>
              <w:rPr>
                <w:rFonts w:hint="eastAsia"/>
                <w:color w:val="auto"/>
                <w:highlight w:val="none"/>
              </w:rPr>
              <w:t>综上所述，项目建设不会突破当地环境质量底线。</w:t>
            </w:r>
          </w:p>
          <w:p w14:paraId="174D704E">
            <w:pPr>
              <w:ind w:firstLine="480"/>
              <w:rPr>
                <w:b/>
                <w:bCs/>
                <w:color w:val="auto"/>
                <w:highlight w:val="none"/>
              </w:rPr>
            </w:pPr>
            <w:r>
              <w:rPr>
                <w:rFonts w:hint="eastAsia"/>
                <w:b/>
                <w:bCs/>
                <w:color w:val="auto"/>
                <w:highlight w:val="none"/>
              </w:rPr>
              <w:t>3、</w:t>
            </w:r>
            <w:r>
              <w:rPr>
                <w:b/>
                <w:bCs/>
                <w:color w:val="auto"/>
                <w:highlight w:val="none"/>
              </w:rPr>
              <w:t>资源利用上线</w:t>
            </w:r>
          </w:p>
          <w:p w14:paraId="0EF1B49D">
            <w:pPr>
              <w:ind w:firstLine="480"/>
              <w:rPr>
                <w:color w:val="auto"/>
                <w:highlight w:val="none"/>
              </w:rPr>
            </w:pPr>
            <w:r>
              <w:rPr>
                <w:rFonts w:hint="eastAsia"/>
                <w:color w:val="auto"/>
                <w:highlight w:val="none"/>
              </w:rPr>
              <w:t>（1）</w:t>
            </w:r>
            <w:r>
              <w:rPr>
                <w:color w:val="auto"/>
                <w:highlight w:val="none"/>
              </w:rPr>
              <w:t>水资源利用上线</w:t>
            </w:r>
          </w:p>
          <w:p w14:paraId="001D14AD">
            <w:pPr>
              <w:ind w:firstLine="480"/>
              <w:rPr>
                <w:color w:val="auto"/>
                <w:highlight w:val="none"/>
              </w:rPr>
            </w:pPr>
            <w:r>
              <w:rPr>
                <w:color w:val="auto"/>
                <w:highlight w:val="none"/>
              </w:rPr>
              <w:t>到2025年，全市总用水量目标值为28亿立方米，万元工业增加值用水量达到12立方米、万元GDP用水量达到19立方米、农田灌溉有效利用系数达到0.586。2035年指标以省人民政府下达为准。</w:t>
            </w:r>
          </w:p>
          <w:p w14:paraId="39F2774F">
            <w:pPr>
              <w:ind w:firstLine="480"/>
              <w:rPr>
                <w:color w:val="auto"/>
                <w:highlight w:val="none"/>
              </w:rPr>
            </w:pPr>
            <w:r>
              <w:rPr>
                <w:color w:val="auto"/>
                <w:highlight w:val="none"/>
              </w:rPr>
              <w:t>项目运营期用水均来自市政供水，项目不属于高耗水项目，不会突破水资源利用上线。</w:t>
            </w:r>
          </w:p>
          <w:p w14:paraId="772D2A5D">
            <w:pPr>
              <w:ind w:firstLine="480"/>
              <w:rPr>
                <w:color w:val="auto"/>
                <w:highlight w:val="none"/>
              </w:rPr>
            </w:pPr>
            <w:r>
              <w:rPr>
                <w:rFonts w:hint="eastAsia"/>
                <w:color w:val="auto"/>
                <w:highlight w:val="none"/>
              </w:rPr>
              <w:t>（2）</w:t>
            </w:r>
            <w:r>
              <w:rPr>
                <w:color w:val="auto"/>
                <w:highlight w:val="none"/>
              </w:rPr>
              <w:t>土地资源利用上线</w:t>
            </w:r>
          </w:p>
          <w:p w14:paraId="0042896E">
            <w:pPr>
              <w:ind w:firstLine="480"/>
              <w:rPr>
                <w:color w:val="auto"/>
                <w:highlight w:val="none"/>
              </w:rPr>
            </w:pPr>
            <w:r>
              <w:rPr>
                <w:color w:val="auto"/>
                <w:highlight w:val="none"/>
              </w:rPr>
              <w:t>到2025年，耕地保有量达到947.53平方千米，基本农田保护面积达到844.82平方千米。2035年指标与2025年保持一致。</w:t>
            </w:r>
          </w:p>
          <w:p w14:paraId="1F28D559">
            <w:pPr>
              <w:ind w:firstLine="480"/>
              <w:rPr>
                <w:color w:val="auto"/>
                <w:highlight w:val="none"/>
              </w:rPr>
            </w:pPr>
            <w:r>
              <w:rPr>
                <w:color w:val="auto"/>
                <w:highlight w:val="none"/>
              </w:rPr>
              <w:t>根据</w:t>
            </w:r>
            <w:r>
              <w:rPr>
                <w:rFonts w:hint="eastAsia"/>
                <w:color w:val="auto"/>
                <w:highlight w:val="none"/>
              </w:rPr>
              <w:t>项目</w:t>
            </w:r>
            <w:r>
              <w:rPr>
                <w:rFonts w:hint="eastAsia"/>
                <w:color w:val="auto"/>
                <w:highlight w:val="none"/>
                <w:lang w:val="en-US" w:eastAsia="zh-CN"/>
              </w:rPr>
              <w:t>企业</w:t>
            </w:r>
            <w:r>
              <w:rPr>
                <w:rFonts w:hint="eastAsia"/>
                <w:color w:val="auto"/>
                <w:highlight w:val="none"/>
              </w:rPr>
              <w:t>与</w:t>
            </w:r>
            <w:r>
              <w:rPr>
                <w:rFonts w:hint="eastAsia"/>
                <w:color w:val="auto"/>
                <w:highlight w:val="none"/>
                <w:lang w:val="en-US" w:eastAsia="zh-CN"/>
              </w:rPr>
              <w:t>罗源县自然资源和规划局</w:t>
            </w:r>
            <w:r>
              <w:rPr>
                <w:rFonts w:hint="eastAsia"/>
                <w:color w:val="auto"/>
                <w:highlight w:val="none"/>
              </w:rPr>
              <w:t>签订的</w:t>
            </w:r>
            <w:r>
              <w:rPr>
                <w:rFonts w:hint="eastAsia"/>
                <w:color w:val="auto"/>
                <w:highlight w:val="none"/>
                <w:lang w:val="en-US" w:eastAsia="zh-CN"/>
              </w:rPr>
              <w:t>国有建设用地使用权出让合同</w:t>
            </w:r>
            <w:r>
              <w:rPr>
                <w:rFonts w:hint="eastAsia"/>
                <w:color w:val="auto"/>
                <w:highlight w:val="none"/>
              </w:rPr>
              <w:t>（详见附件5）</w:t>
            </w:r>
            <w:r>
              <w:rPr>
                <w:color w:val="auto"/>
                <w:highlight w:val="none"/>
              </w:rPr>
              <w:t>可知，项目土地用途为</w:t>
            </w:r>
            <w:r>
              <w:rPr>
                <w:rFonts w:hint="eastAsia"/>
                <w:color w:val="auto"/>
                <w:highlight w:val="none"/>
              </w:rPr>
              <w:t>工业用地</w:t>
            </w:r>
            <w:r>
              <w:rPr>
                <w:color w:val="auto"/>
                <w:highlight w:val="none"/>
              </w:rPr>
              <w:t>，因此项目建设不会突破土地资源利用上线。</w:t>
            </w:r>
          </w:p>
          <w:p w14:paraId="61FF5082">
            <w:pPr>
              <w:ind w:firstLine="480"/>
              <w:rPr>
                <w:color w:val="auto"/>
                <w:highlight w:val="none"/>
              </w:rPr>
            </w:pPr>
            <w:r>
              <w:rPr>
                <w:rFonts w:hint="eastAsia"/>
                <w:color w:val="auto"/>
                <w:highlight w:val="none"/>
              </w:rPr>
              <w:t>（3）</w:t>
            </w:r>
            <w:r>
              <w:rPr>
                <w:color w:val="auto"/>
                <w:highlight w:val="none"/>
              </w:rPr>
              <w:t>能源资源利用上线</w:t>
            </w:r>
          </w:p>
          <w:p w14:paraId="69A31AD7">
            <w:pPr>
              <w:ind w:firstLine="480"/>
              <w:rPr>
                <w:color w:val="auto"/>
                <w:highlight w:val="none"/>
              </w:rPr>
            </w:pPr>
            <w:r>
              <w:rPr>
                <w:color w:val="auto"/>
                <w:highlight w:val="none"/>
              </w:rPr>
              <w:t>到2025年，单位地区生产总值二氧化碳排放降低率达到19.5%，单位地区生产总值能源消耗降低率达到14%，非化石能源占一次能源消费比例达到32%。2035年指标以省人民政府下达为准。</w:t>
            </w:r>
          </w:p>
          <w:p w14:paraId="71C7ED97">
            <w:pPr>
              <w:autoSpaceDE w:val="0"/>
              <w:autoSpaceDN w:val="0"/>
              <w:ind w:firstLine="480"/>
              <w:rPr>
                <w:color w:val="auto"/>
                <w:highlight w:val="none"/>
              </w:rPr>
            </w:pPr>
            <w:r>
              <w:rPr>
                <w:color w:val="auto"/>
                <w:highlight w:val="none"/>
              </w:rPr>
              <w:t>项目使用电能作为能源，不涉及高污染燃料，项目与福州市能源资源利用上线要求相符。</w:t>
            </w:r>
          </w:p>
          <w:p w14:paraId="3BEE1985">
            <w:pPr>
              <w:autoSpaceDE w:val="0"/>
              <w:autoSpaceDN w:val="0"/>
              <w:ind w:firstLine="480"/>
              <w:rPr>
                <w:color w:val="auto"/>
                <w:highlight w:val="none"/>
              </w:rPr>
            </w:pPr>
            <w:r>
              <w:rPr>
                <w:rFonts w:hint="eastAsia"/>
                <w:color w:val="auto"/>
                <w:highlight w:val="none"/>
              </w:rPr>
              <w:t>4、</w:t>
            </w:r>
            <w:r>
              <w:rPr>
                <w:color w:val="auto"/>
                <w:highlight w:val="none"/>
              </w:rPr>
              <w:t>生态环境分区管控</w:t>
            </w:r>
          </w:p>
          <w:p w14:paraId="3EEC12FC">
            <w:pPr>
              <w:widowControl/>
              <w:ind w:firstLine="480" w:firstLineChars="200"/>
              <w:jc w:val="left"/>
              <w:rPr>
                <w:rFonts w:hint="eastAsia"/>
                <w:color w:val="auto"/>
                <w:highlight w:val="none"/>
              </w:rPr>
            </w:pPr>
            <w:r>
              <w:rPr>
                <w:rFonts w:hint="eastAsia"/>
                <w:color w:val="auto"/>
                <w:highlight w:val="none"/>
              </w:rPr>
              <w:t>根据2024年7月24日发布的《福州</w:t>
            </w:r>
            <w:r>
              <w:rPr>
                <w:rFonts w:hint="eastAsia" w:eastAsia="宋体"/>
                <w:color w:val="auto"/>
                <w:highlight w:val="none"/>
              </w:rPr>
              <w:t>市生态环境分区管控方案（2023 年更新）》（榕政办规〔2024〕20 号），项目所在区域为</w:t>
            </w:r>
            <w:r>
              <w:rPr>
                <w:rFonts w:hint="eastAsia" w:eastAsia="宋体"/>
                <w:color w:val="auto"/>
                <w:highlight w:val="none"/>
                <w:lang w:val="en-US" w:eastAsia="zh-CN"/>
              </w:rPr>
              <w:t>金港工业园区</w:t>
            </w:r>
            <w:r>
              <w:rPr>
                <w:rFonts w:hint="eastAsia" w:eastAsia="宋体"/>
                <w:color w:val="auto"/>
                <w:highlight w:val="none"/>
              </w:rPr>
              <w:t>（编码：</w:t>
            </w:r>
            <w:r>
              <w:rPr>
                <w:rFonts w:hint="eastAsia" w:eastAsia="宋体"/>
                <w:color w:val="auto"/>
                <w:highlight w:val="none"/>
                <w:lang w:val="en-US" w:eastAsia="zh-CN"/>
              </w:rPr>
              <w:t>ZH35012320007</w:t>
            </w:r>
            <w:r>
              <w:rPr>
                <w:rFonts w:hint="eastAsia" w:eastAsia="宋体"/>
                <w:color w:val="auto"/>
                <w:highlight w:val="none"/>
              </w:rPr>
              <w:t>）（详</w:t>
            </w:r>
            <w:r>
              <w:rPr>
                <w:rFonts w:hint="eastAsia"/>
                <w:color w:val="auto"/>
                <w:highlight w:val="none"/>
              </w:rPr>
              <w:t>见附件</w:t>
            </w:r>
            <w:r>
              <w:rPr>
                <w:rFonts w:hint="eastAsia"/>
                <w:color w:val="auto"/>
                <w:highlight w:val="none"/>
                <w:lang w:val="en-US" w:eastAsia="zh-CN"/>
              </w:rPr>
              <w:t>6</w:t>
            </w:r>
            <w:r>
              <w:rPr>
                <w:rFonts w:hint="eastAsia"/>
                <w:color w:val="auto"/>
                <w:highlight w:val="none"/>
              </w:rPr>
              <w:t>）。符合性分析具体见下表1.4-1以及1.4-2。</w:t>
            </w:r>
          </w:p>
          <w:p w14:paraId="0A4DFA56">
            <w:pPr>
              <w:pStyle w:val="104"/>
              <w:rPr>
                <w:rFonts w:hint="eastAsia"/>
                <w:color w:val="auto"/>
                <w:highlight w:val="none"/>
              </w:rPr>
            </w:pPr>
            <w:r>
              <w:rPr>
                <w:rFonts w:hint="eastAsia"/>
                <w:color w:val="auto"/>
                <w:highlight w:val="none"/>
              </w:rPr>
              <w:t>表1.</w:t>
            </w:r>
            <w:r>
              <w:rPr>
                <w:rFonts w:hint="eastAsia"/>
                <w:color w:val="auto"/>
                <w:highlight w:val="none"/>
                <w:lang w:val="en-US" w:eastAsia="zh-CN"/>
              </w:rPr>
              <w:t>4</w:t>
            </w:r>
            <w:r>
              <w:rPr>
                <w:rFonts w:hint="eastAsia"/>
                <w:color w:val="auto"/>
                <w:highlight w:val="none"/>
              </w:rPr>
              <w:t>-</w:t>
            </w:r>
            <w:r>
              <w:rPr>
                <w:rFonts w:hint="eastAsia"/>
                <w:color w:val="auto"/>
                <w:highlight w:val="none"/>
                <w:lang w:val="en-US" w:eastAsia="zh-CN"/>
              </w:rPr>
              <w:t>1</w:t>
            </w:r>
            <w:r>
              <w:rPr>
                <w:rFonts w:hint="eastAsia"/>
                <w:color w:val="auto"/>
                <w:highlight w:val="none"/>
              </w:rPr>
              <w:t xml:space="preserve"> 与</w:t>
            </w:r>
            <w:r>
              <w:rPr>
                <w:rFonts w:hint="eastAsia"/>
                <w:color w:val="auto"/>
                <w:highlight w:val="none"/>
                <w:lang w:val="en-US" w:eastAsia="zh-CN"/>
              </w:rPr>
              <w:t>福州市</w:t>
            </w:r>
            <w:r>
              <w:rPr>
                <w:rFonts w:hint="eastAsia"/>
                <w:color w:val="auto"/>
                <w:highlight w:val="none"/>
              </w:rPr>
              <w:t>生态环境总体准入要求符合性分析</w:t>
            </w:r>
          </w:p>
          <w:tbl>
            <w:tblPr>
              <w:tblStyle w:val="27"/>
              <w:tblW w:w="0" w:type="auto"/>
              <w:tblInd w:w="5"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35"/>
              <w:gridCol w:w="419"/>
              <w:gridCol w:w="3891"/>
              <w:gridCol w:w="1410"/>
              <w:gridCol w:w="478"/>
            </w:tblGrid>
            <w:tr w14:paraId="392ABBC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blHeader/>
              </w:trPr>
              <w:tc>
                <w:tcPr>
                  <w:tcW w:w="735" w:type="dxa"/>
                  <w:noWrap w:val="0"/>
                  <w:vAlign w:val="center"/>
                </w:tcPr>
                <w:p w14:paraId="19EAB45D">
                  <w:pPr>
                    <w:adjustRightInd w:val="0"/>
                    <w:snapToGrid w:val="0"/>
                    <w:spacing w:line="240" w:lineRule="auto"/>
                    <w:ind w:firstLine="0" w:firstLineChars="0"/>
                    <w:jc w:val="center"/>
                    <w:rPr>
                      <w:rFonts w:hint="eastAsia"/>
                      <w:b/>
                      <w:bCs/>
                      <w:iCs/>
                      <w:color w:val="auto"/>
                      <w:kern w:val="0"/>
                      <w:sz w:val="21"/>
                      <w:szCs w:val="21"/>
                      <w:highlight w:val="none"/>
                    </w:rPr>
                  </w:pPr>
                  <w:r>
                    <w:rPr>
                      <w:rFonts w:hint="eastAsia"/>
                      <w:b/>
                      <w:bCs/>
                      <w:iCs/>
                      <w:color w:val="auto"/>
                      <w:kern w:val="0"/>
                      <w:sz w:val="21"/>
                      <w:szCs w:val="21"/>
                      <w:highlight w:val="none"/>
                    </w:rPr>
                    <w:t>适用范围</w:t>
                  </w:r>
                </w:p>
              </w:tc>
              <w:tc>
                <w:tcPr>
                  <w:tcW w:w="4310" w:type="dxa"/>
                  <w:gridSpan w:val="2"/>
                  <w:noWrap w:val="0"/>
                  <w:vAlign w:val="center"/>
                </w:tcPr>
                <w:p w14:paraId="3C107410">
                  <w:pPr>
                    <w:adjustRightInd w:val="0"/>
                    <w:snapToGrid w:val="0"/>
                    <w:spacing w:line="240" w:lineRule="auto"/>
                    <w:ind w:firstLine="0" w:firstLineChars="0"/>
                    <w:jc w:val="center"/>
                    <w:rPr>
                      <w:rFonts w:hint="eastAsia"/>
                      <w:b/>
                      <w:bCs/>
                      <w:iCs/>
                      <w:color w:val="auto"/>
                      <w:kern w:val="0"/>
                      <w:sz w:val="21"/>
                      <w:szCs w:val="21"/>
                      <w:highlight w:val="none"/>
                    </w:rPr>
                  </w:pPr>
                  <w:r>
                    <w:rPr>
                      <w:rFonts w:hint="eastAsia"/>
                      <w:b/>
                      <w:bCs/>
                      <w:iCs/>
                      <w:color w:val="auto"/>
                      <w:kern w:val="0"/>
                      <w:sz w:val="21"/>
                      <w:szCs w:val="21"/>
                      <w:highlight w:val="none"/>
                    </w:rPr>
                    <w:t>准入要求</w:t>
                  </w:r>
                </w:p>
              </w:tc>
              <w:tc>
                <w:tcPr>
                  <w:tcW w:w="1410" w:type="dxa"/>
                  <w:noWrap w:val="0"/>
                  <w:vAlign w:val="center"/>
                </w:tcPr>
                <w:p w14:paraId="78607CD9">
                  <w:pPr>
                    <w:adjustRightInd w:val="0"/>
                    <w:snapToGrid w:val="0"/>
                    <w:spacing w:line="240" w:lineRule="auto"/>
                    <w:ind w:firstLine="0" w:firstLineChars="0"/>
                    <w:jc w:val="center"/>
                    <w:rPr>
                      <w:rFonts w:hint="eastAsia"/>
                      <w:b/>
                      <w:bCs/>
                      <w:iCs/>
                      <w:color w:val="auto"/>
                      <w:kern w:val="0"/>
                      <w:sz w:val="21"/>
                      <w:szCs w:val="21"/>
                      <w:highlight w:val="none"/>
                    </w:rPr>
                  </w:pPr>
                  <w:r>
                    <w:rPr>
                      <w:rFonts w:hint="eastAsia"/>
                      <w:b/>
                      <w:bCs/>
                      <w:iCs/>
                      <w:color w:val="auto"/>
                      <w:kern w:val="0"/>
                      <w:sz w:val="21"/>
                      <w:szCs w:val="21"/>
                      <w:highlight w:val="none"/>
                    </w:rPr>
                    <w:t>本项目情况</w:t>
                  </w:r>
                </w:p>
              </w:tc>
              <w:tc>
                <w:tcPr>
                  <w:tcW w:w="478" w:type="dxa"/>
                  <w:noWrap w:val="0"/>
                  <w:vAlign w:val="center"/>
                </w:tcPr>
                <w:p w14:paraId="43B4D233">
                  <w:pPr>
                    <w:adjustRightInd w:val="0"/>
                    <w:snapToGrid w:val="0"/>
                    <w:spacing w:line="240" w:lineRule="auto"/>
                    <w:ind w:firstLine="0" w:firstLineChars="0"/>
                    <w:jc w:val="center"/>
                    <w:rPr>
                      <w:rFonts w:hint="eastAsia"/>
                      <w:b/>
                      <w:bCs/>
                      <w:iCs/>
                      <w:color w:val="auto"/>
                      <w:kern w:val="0"/>
                      <w:sz w:val="21"/>
                      <w:szCs w:val="21"/>
                      <w:highlight w:val="none"/>
                    </w:rPr>
                  </w:pPr>
                  <w:r>
                    <w:rPr>
                      <w:rFonts w:hint="eastAsia"/>
                      <w:b/>
                      <w:bCs/>
                      <w:iCs/>
                      <w:color w:val="auto"/>
                      <w:kern w:val="0"/>
                      <w:sz w:val="21"/>
                      <w:szCs w:val="21"/>
                      <w:highlight w:val="none"/>
                    </w:rPr>
                    <w:t>符合性</w:t>
                  </w:r>
                </w:p>
              </w:tc>
            </w:tr>
            <w:tr w14:paraId="4A837B3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735" w:type="dxa"/>
                  <w:vMerge w:val="restart"/>
                  <w:noWrap w:val="0"/>
                  <w:vAlign w:val="center"/>
                </w:tcPr>
                <w:p w14:paraId="1D51D4A5">
                  <w:pPr>
                    <w:adjustRightInd w:val="0"/>
                    <w:snapToGrid w:val="0"/>
                    <w:spacing w:line="240" w:lineRule="auto"/>
                    <w:ind w:firstLine="0" w:firstLineChars="0"/>
                    <w:jc w:val="center"/>
                    <w:rPr>
                      <w:rFonts w:hint="eastAsia"/>
                      <w:iCs/>
                      <w:color w:val="auto"/>
                      <w:kern w:val="0"/>
                      <w:sz w:val="21"/>
                      <w:szCs w:val="21"/>
                      <w:highlight w:val="none"/>
                    </w:rPr>
                  </w:pPr>
                  <w:r>
                    <w:rPr>
                      <w:rFonts w:hint="eastAsia"/>
                      <w:iCs/>
                      <w:color w:val="auto"/>
                      <w:kern w:val="0"/>
                      <w:sz w:val="21"/>
                      <w:szCs w:val="21"/>
                      <w:highlight w:val="none"/>
                    </w:rPr>
                    <w:t>福州市陆域</w:t>
                  </w:r>
                </w:p>
              </w:tc>
              <w:tc>
                <w:tcPr>
                  <w:tcW w:w="419" w:type="dxa"/>
                  <w:vMerge w:val="restart"/>
                  <w:noWrap w:val="0"/>
                  <w:vAlign w:val="center"/>
                </w:tcPr>
                <w:p w14:paraId="4C16ED30">
                  <w:pPr>
                    <w:adjustRightInd w:val="0"/>
                    <w:snapToGrid w:val="0"/>
                    <w:spacing w:line="240" w:lineRule="auto"/>
                    <w:ind w:firstLine="0" w:firstLineChars="0"/>
                    <w:jc w:val="center"/>
                    <w:rPr>
                      <w:rFonts w:hint="eastAsia"/>
                      <w:iCs/>
                      <w:color w:val="auto"/>
                      <w:kern w:val="0"/>
                      <w:sz w:val="21"/>
                      <w:szCs w:val="21"/>
                      <w:highlight w:val="none"/>
                    </w:rPr>
                  </w:pPr>
                  <w:r>
                    <w:rPr>
                      <w:rFonts w:hint="eastAsia"/>
                      <w:iCs/>
                      <w:color w:val="auto"/>
                      <w:kern w:val="0"/>
                      <w:sz w:val="21"/>
                      <w:szCs w:val="21"/>
                      <w:highlight w:val="none"/>
                    </w:rPr>
                    <w:t>空间布局约束</w:t>
                  </w:r>
                </w:p>
              </w:tc>
              <w:tc>
                <w:tcPr>
                  <w:tcW w:w="3891" w:type="dxa"/>
                  <w:noWrap w:val="0"/>
                  <w:vAlign w:val="center"/>
                </w:tcPr>
                <w:p w14:paraId="3DC501D4">
                  <w:pPr>
                    <w:adjustRightInd w:val="0"/>
                    <w:snapToGrid w:val="0"/>
                    <w:spacing w:line="240" w:lineRule="auto"/>
                    <w:ind w:firstLine="0" w:firstLineChars="0"/>
                    <w:jc w:val="left"/>
                    <w:rPr>
                      <w:rFonts w:hint="eastAsia"/>
                      <w:iCs/>
                      <w:color w:val="auto"/>
                      <w:kern w:val="0"/>
                      <w:sz w:val="21"/>
                      <w:szCs w:val="21"/>
                      <w:highlight w:val="none"/>
                    </w:rPr>
                  </w:pPr>
                  <w:r>
                    <w:rPr>
                      <w:rFonts w:hint="eastAsia"/>
                      <w:iCs/>
                      <w:color w:val="auto"/>
                      <w:kern w:val="0"/>
                      <w:sz w:val="21"/>
                      <w:szCs w:val="21"/>
                      <w:highlight w:val="none"/>
                    </w:rPr>
                    <w:t>1.福州市石化中上游项目重点在福州江阴港城经济区、可门港经济区化工新材料产业园布局。</w:t>
                  </w:r>
                </w:p>
              </w:tc>
              <w:tc>
                <w:tcPr>
                  <w:tcW w:w="1410" w:type="dxa"/>
                  <w:vMerge w:val="restart"/>
                  <w:noWrap w:val="0"/>
                  <w:vAlign w:val="center"/>
                </w:tcPr>
                <w:p w14:paraId="316C27FB">
                  <w:pPr>
                    <w:adjustRightInd w:val="0"/>
                    <w:snapToGrid w:val="0"/>
                    <w:spacing w:line="240" w:lineRule="auto"/>
                    <w:ind w:firstLine="0" w:firstLineChars="0"/>
                    <w:jc w:val="left"/>
                    <w:rPr>
                      <w:rFonts w:hint="eastAsia"/>
                      <w:iCs/>
                      <w:color w:val="auto"/>
                      <w:kern w:val="0"/>
                      <w:sz w:val="21"/>
                      <w:szCs w:val="21"/>
                      <w:highlight w:val="none"/>
                    </w:rPr>
                  </w:pPr>
                  <w:r>
                    <w:rPr>
                      <w:rFonts w:hint="eastAsia" w:ascii="Times New Roman" w:hAnsi="Times New Roman" w:eastAsia="宋体" w:cs="Times New Roman"/>
                      <w:iCs/>
                      <w:color w:val="auto"/>
                      <w:kern w:val="0"/>
                      <w:sz w:val="21"/>
                      <w:szCs w:val="21"/>
                      <w:highlight w:val="none"/>
                    </w:rPr>
                    <w:t>本项目位于福建省福州市罗源县</w:t>
                  </w:r>
                  <w:r>
                    <w:rPr>
                      <w:rFonts w:hint="eastAsia" w:ascii="Times New Roman" w:hAnsi="Times New Roman" w:eastAsia="宋体" w:cs="Times New Roman"/>
                      <w:iCs/>
                      <w:color w:val="auto"/>
                      <w:kern w:val="0"/>
                      <w:sz w:val="21"/>
                      <w:szCs w:val="21"/>
                      <w:highlight w:val="none"/>
                      <w:lang w:val="en-US" w:eastAsia="zh-CN"/>
                    </w:rPr>
                    <w:t>金港工业区</w:t>
                  </w:r>
                  <w:r>
                    <w:rPr>
                      <w:rFonts w:hint="eastAsia" w:ascii="Times New Roman" w:hAnsi="Times New Roman" w:eastAsia="宋体" w:cs="Times New Roman"/>
                      <w:iCs/>
                      <w:color w:val="auto"/>
                      <w:kern w:val="0"/>
                      <w:sz w:val="21"/>
                      <w:szCs w:val="21"/>
                      <w:highlight w:val="none"/>
                    </w:rPr>
                    <w:t>，项目</w:t>
                  </w:r>
                  <w:r>
                    <w:rPr>
                      <w:rFonts w:hint="eastAsia" w:ascii="Times New Roman" w:hAnsi="Times New Roman" w:eastAsia="宋体" w:cs="Times New Roman"/>
                      <w:iCs/>
                      <w:color w:val="auto"/>
                      <w:kern w:val="0"/>
                      <w:sz w:val="21"/>
                      <w:szCs w:val="21"/>
                      <w:highlight w:val="none"/>
                      <w:lang w:eastAsia="zh-CN"/>
                    </w:rPr>
                    <w:t>主要从事</w:t>
                  </w:r>
                  <w:r>
                    <w:rPr>
                      <w:rFonts w:hint="eastAsia" w:ascii="Times New Roman" w:hAnsi="Times New Roman" w:eastAsia="宋体" w:cs="Times New Roman"/>
                      <w:iCs/>
                      <w:color w:val="auto"/>
                      <w:kern w:val="0"/>
                      <w:sz w:val="21"/>
                      <w:szCs w:val="21"/>
                      <w:highlight w:val="none"/>
                      <w:lang w:val="en-US" w:eastAsia="zh-CN"/>
                    </w:rPr>
                    <w:t>沥青混凝土和乳化沥青的生产</w:t>
                  </w:r>
                  <w:r>
                    <w:rPr>
                      <w:rFonts w:hint="eastAsia" w:ascii="Times New Roman" w:hAnsi="Times New Roman" w:eastAsia="宋体" w:cs="Times New Roman"/>
                      <w:iCs/>
                      <w:color w:val="auto"/>
                      <w:kern w:val="0"/>
                      <w:sz w:val="21"/>
                      <w:szCs w:val="21"/>
                      <w:highlight w:val="none"/>
                    </w:rPr>
                    <w:t>，不在上列1、2、3、4、5、6、7、8空间布局约束区域。</w:t>
                  </w:r>
                </w:p>
              </w:tc>
              <w:tc>
                <w:tcPr>
                  <w:tcW w:w="478" w:type="dxa"/>
                  <w:vMerge w:val="restart"/>
                  <w:noWrap w:val="0"/>
                  <w:vAlign w:val="center"/>
                </w:tcPr>
                <w:p w14:paraId="58269263">
                  <w:pPr>
                    <w:adjustRightInd w:val="0"/>
                    <w:snapToGrid w:val="0"/>
                    <w:spacing w:line="240" w:lineRule="auto"/>
                    <w:ind w:firstLine="0" w:firstLineChars="0"/>
                    <w:jc w:val="center"/>
                    <w:rPr>
                      <w:rFonts w:hint="eastAsia"/>
                      <w:iCs/>
                      <w:color w:val="auto"/>
                      <w:kern w:val="0"/>
                      <w:sz w:val="21"/>
                      <w:szCs w:val="21"/>
                      <w:highlight w:val="none"/>
                    </w:rPr>
                  </w:pPr>
                  <w:r>
                    <w:rPr>
                      <w:rFonts w:hint="eastAsia"/>
                      <w:iCs/>
                      <w:color w:val="auto"/>
                      <w:kern w:val="0"/>
                      <w:sz w:val="21"/>
                      <w:szCs w:val="21"/>
                      <w:highlight w:val="none"/>
                    </w:rPr>
                    <w:t>符合</w:t>
                  </w:r>
                </w:p>
              </w:tc>
            </w:tr>
            <w:tr w14:paraId="60BD94B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77" w:hRule="atLeast"/>
              </w:trPr>
              <w:tc>
                <w:tcPr>
                  <w:tcW w:w="735" w:type="dxa"/>
                  <w:vMerge w:val="continue"/>
                  <w:noWrap w:val="0"/>
                  <w:vAlign w:val="center"/>
                </w:tcPr>
                <w:p w14:paraId="1213823F">
                  <w:pPr>
                    <w:adjustRightInd w:val="0"/>
                    <w:snapToGrid w:val="0"/>
                    <w:spacing w:line="240" w:lineRule="auto"/>
                    <w:ind w:firstLine="0" w:firstLineChars="0"/>
                    <w:jc w:val="left"/>
                    <w:rPr>
                      <w:color w:val="auto"/>
                      <w:highlight w:val="none"/>
                    </w:rPr>
                  </w:pPr>
                </w:p>
              </w:tc>
              <w:tc>
                <w:tcPr>
                  <w:tcW w:w="419" w:type="dxa"/>
                  <w:vMerge w:val="continue"/>
                  <w:noWrap w:val="0"/>
                  <w:vAlign w:val="center"/>
                </w:tcPr>
                <w:p w14:paraId="05642174">
                  <w:pPr>
                    <w:adjustRightInd w:val="0"/>
                    <w:snapToGrid w:val="0"/>
                    <w:spacing w:line="240" w:lineRule="auto"/>
                    <w:ind w:firstLine="0" w:firstLineChars="0"/>
                    <w:jc w:val="left"/>
                    <w:rPr>
                      <w:color w:val="auto"/>
                      <w:highlight w:val="none"/>
                    </w:rPr>
                  </w:pPr>
                </w:p>
              </w:tc>
              <w:tc>
                <w:tcPr>
                  <w:tcW w:w="3891" w:type="dxa"/>
                  <w:noWrap w:val="0"/>
                  <w:vAlign w:val="center"/>
                </w:tcPr>
                <w:p w14:paraId="403973A5">
                  <w:pPr>
                    <w:adjustRightInd w:val="0"/>
                    <w:snapToGrid w:val="0"/>
                    <w:spacing w:line="240" w:lineRule="auto"/>
                    <w:ind w:firstLine="0" w:firstLineChars="0"/>
                    <w:jc w:val="left"/>
                    <w:rPr>
                      <w:rFonts w:hint="eastAsia"/>
                      <w:iCs/>
                      <w:color w:val="auto"/>
                      <w:kern w:val="0"/>
                      <w:sz w:val="21"/>
                      <w:szCs w:val="21"/>
                      <w:highlight w:val="none"/>
                    </w:rPr>
                  </w:pPr>
                  <w:r>
                    <w:rPr>
                      <w:rFonts w:hint="eastAsia"/>
                      <w:iCs/>
                      <w:color w:val="auto"/>
                      <w:kern w:val="0"/>
                      <w:sz w:val="21"/>
                      <w:szCs w:val="21"/>
                      <w:highlight w:val="none"/>
                    </w:rPr>
                    <w:t>2.禁止在闽江马尾罗星塔以上流域范围新、扩建制革项目，严控新（扩）建植物制浆、印染、合成革及人造革、电镀项目。</w:t>
                  </w:r>
                </w:p>
              </w:tc>
              <w:tc>
                <w:tcPr>
                  <w:tcW w:w="1410" w:type="dxa"/>
                  <w:vMerge w:val="continue"/>
                  <w:noWrap w:val="0"/>
                  <w:vAlign w:val="center"/>
                </w:tcPr>
                <w:p w14:paraId="0E44682C">
                  <w:pPr>
                    <w:adjustRightInd w:val="0"/>
                    <w:snapToGrid w:val="0"/>
                    <w:spacing w:line="240" w:lineRule="auto"/>
                    <w:ind w:firstLine="0" w:firstLineChars="0"/>
                    <w:jc w:val="left"/>
                    <w:rPr>
                      <w:rFonts w:hint="eastAsia"/>
                      <w:iCs/>
                      <w:color w:val="auto"/>
                      <w:kern w:val="0"/>
                      <w:sz w:val="21"/>
                      <w:szCs w:val="21"/>
                      <w:highlight w:val="none"/>
                    </w:rPr>
                  </w:pPr>
                </w:p>
              </w:tc>
              <w:tc>
                <w:tcPr>
                  <w:tcW w:w="478" w:type="dxa"/>
                  <w:vMerge w:val="continue"/>
                  <w:noWrap w:val="0"/>
                  <w:vAlign w:val="center"/>
                </w:tcPr>
                <w:p w14:paraId="147C0FA8">
                  <w:pPr>
                    <w:adjustRightInd w:val="0"/>
                    <w:snapToGrid w:val="0"/>
                    <w:spacing w:line="240" w:lineRule="auto"/>
                    <w:ind w:firstLine="0" w:firstLineChars="0"/>
                    <w:jc w:val="left"/>
                    <w:rPr>
                      <w:rFonts w:hint="eastAsia"/>
                      <w:iCs/>
                      <w:color w:val="auto"/>
                      <w:kern w:val="0"/>
                      <w:sz w:val="21"/>
                      <w:szCs w:val="21"/>
                      <w:highlight w:val="none"/>
                    </w:rPr>
                  </w:pPr>
                </w:p>
              </w:tc>
            </w:tr>
            <w:tr w14:paraId="66CE14A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184" w:hRule="atLeast"/>
              </w:trPr>
              <w:tc>
                <w:tcPr>
                  <w:tcW w:w="735" w:type="dxa"/>
                  <w:vMerge w:val="continue"/>
                  <w:noWrap w:val="0"/>
                  <w:vAlign w:val="center"/>
                </w:tcPr>
                <w:p w14:paraId="06BA39ED">
                  <w:pPr>
                    <w:adjustRightInd w:val="0"/>
                    <w:snapToGrid w:val="0"/>
                    <w:spacing w:line="240" w:lineRule="auto"/>
                    <w:ind w:firstLine="0" w:firstLineChars="0"/>
                    <w:jc w:val="left"/>
                    <w:rPr>
                      <w:rFonts w:hint="eastAsia"/>
                      <w:iCs/>
                      <w:color w:val="auto"/>
                      <w:kern w:val="0"/>
                      <w:sz w:val="21"/>
                      <w:szCs w:val="21"/>
                      <w:highlight w:val="none"/>
                    </w:rPr>
                  </w:pPr>
                </w:p>
              </w:tc>
              <w:tc>
                <w:tcPr>
                  <w:tcW w:w="419" w:type="dxa"/>
                  <w:vMerge w:val="continue"/>
                  <w:noWrap w:val="0"/>
                  <w:vAlign w:val="center"/>
                </w:tcPr>
                <w:p w14:paraId="02DB8793">
                  <w:pPr>
                    <w:adjustRightInd w:val="0"/>
                    <w:snapToGrid w:val="0"/>
                    <w:spacing w:line="240" w:lineRule="auto"/>
                    <w:ind w:firstLine="0" w:firstLineChars="0"/>
                    <w:jc w:val="left"/>
                    <w:rPr>
                      <w:rFonts w:hint="eastAsia"/>
                      <w:iCs/>
                      <w:color w:val="auto"/>
                      <w:kern w:val="0"/>
                      <w:sz w:val="21"/>
                      <w:szCs w:val="21"/>
                      <w:highlight w:val="none"/>
                    </w:rPr>
                  </w:pPr>
                </w:p>
              </w:tc>
              <w:tc>
                <w:tcPr>
                  <w:tcW w:w="3891" w:type="dxa"/>
                  <w:noWrap w:val="0"/>
                  <w:vAlign w:val="center"/>
                </w:tcPr>
                <w:p w14:paraId="25DC06AD">
                  <w:pPr>
                    <w:adjustRightInd w:val="0"/>
                    <w:snapToGrid w:val="0"/>
                    <w:spacing w:line="240" w:lineRule="auto"/>
                    <w:ind w:firstLine="0" w:firstLineChars="0"/>
                    <w:jc w:val="left"/>
                    <w:rPr>
                      <w:rFonts w:hint="eastAsia"/>
                      <w:iCs/>
                      <w:color w:val="auto"/>
                      <w:kern w:val="0"/>
                      <w:sz w:val="21"/>
                      <w:szCs w:val="21"/>
                      <w:highlight w:val="none"/>
                    </w:rPr>
                  </w:pPr>
                  <w:r>
                    <w:rPr>
                      <w:rFonts w:hint="eastAsia"/>
                      <w:iCs/>
                      <w:color w:val="auto"/>
                      <w:kern w:val="0"/>
                      <w:sz w:val="21"/>
                      <w:szCs w:val="21"/>
                      <w:highlight w:val="none"/>
                    </w:rPr>
                    <w:t>3.禁止在通风廊道和主导风向的上风向布局大气重污染企业，推进建成区大气重污染企业搬迁或升级改造、环境风险企业搬迁或关闭退出。</w:t>
                  </w:r>
                </w:p>
              </w:tc>
              <w:tc>
                <w:tcPr>
                  <w:tcW w:w="1410" w:type="dxa"/>
                  <w:vMerge w:val="continue"/>
                  <w:noWrap w:val="0"/>
                  <w:vAlign w:val="center"/>
                </w:tcPr>
                <w:p w14:paraId="0B1A5B9B">
                  <w:pPr>
                    <w:adjustRightInd w:val="0"/>
                    <w:snapToGrid w:val="0"/>
                    <w:spacing w:line="240" w:lineRule="auto"/>
                    <w:ind w:firstLine="0" w:firstLineChars="0"/>
                    <w:jc w:val="left"/>
                    <w:rPr>
                      <w:rFonts w:hint="eastAsia"/>
                      <w:iCs/>
                      <w:color w:val="auto"/>
                      <w:kern w:val="0"/>
                      <w:sz w:val="21"/>
                      <w:szCs w:val="21"/>
                      <w:highlight w:val="none"/>
                    </w:rPr>
                  </w:pPr>
                </w:p>
              </w:tc>
              <w:tc>
                <w:tcPr>
                  <w:tcW w:w="478" w:type="dxa"/>
                  <w:vMerge w:val="continue"/>
                  <w:noWrap w:val="0"/>
                  <w:vAlign w:val="center"/>
                </w:tcPr>
                <w:p w14:paraId="3C85850E">
                  <w:pPr>
                    <w:adjustRightInd w:val="0"/>
                    <w:snapToGrid w:val="0"/>
                    <w:spacing w:line="240" w:lineRule="auto"/>
                    <w:ind w:firstLine="0" w:firstLineChars="0"/>
                    <w:jc w:val="left"/>
                    <w:rPr>
                      <w:rFonts w:hint="eastAsia"/>
                      <w:iCs/>
                      <w:color w:val="auto"/>
                      <w:kern w:val="0"/>
                      <w:sz w:val="21"/>
                      <w:szCs w:val="21"/>
                      <w:highlight w:val="none"/>
                    </w:rPr>
                  </w:pPr>
                </w:p>
              </w:tc>
            </w:tr>
            <w:tr w14:paraId="3F2190D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02" w:hRule="atLeast"/>
              </w:trPr>
              <w:tc>
                <w:tcPr>
                  <w:tcW w:w="735" w:type="dxa"/>
                  <w:vMerge w:val="continue"/>
                  <w:noWrap w:val="0"/>
                  <w:vAlign w:val="center"/>
                </w:tcPr>
                <w:p w14:paraId="4C100047">
                  <w:pPr>
                    <w:adjustRightInd w:val="0"/>
                    <w:snapToGrid w:val="0"/>
                    <w:spacing w:line="240" w:lineRule="auto"/>
                    <w:ind w:firstLine="0" w:firstLineChars="0"/>
                    <w:jc w:val="left"/>
                    <w:rPr>
                      <w:rFonts w:hint="eastAsia"/>
                      <w:iCs/>
                      <w:color w:val="auto"/>
                      <w:kern w:val="0"/>
                      <w:sz w:val="21"/>
                      <w:szCs w:val="21"/>
                      <w:highlight w:val="none"/>
                    </w:rPr>
                  </w:pPr>
                </w:p>
              </w:tc>
              <w:tc>
                <w:tcPr>
                  <w:tcW w:w="419" w:type="dxa"/>
                  <w:vMerge w:val="continue"/>
                  <w:noWrap w:val="0"/>
                  <w:vAlign w:val="center"/>
                </w:tcPr>
                <w:p w14:paraId="7F5FEB6B">
                  <w:pPr>
                    <w:adjustRightInd w:val="0"/>
                    <w:snapToGrid w:val="0"/>
                    <w:spacing w:line="240" w:lineRule="auto"/>
                    <w:ind w:firstLine="0" w:firstLineChars="0"/>
                    <w:jc w:val="left"/>
                    <w:rPr>
                      <w:rFonts w:hint="eastAsia"/>
                      <w:iCs/>
                      <w:color w:val="auto"/>
                      <w:kern w:val="0"/>
                      <w:sz w:val="21"/>
                      <w:szCs w:val="21"/>
                      <w:highlight w:val="none"/>
                    </w:rPr>
                  </w:pPr>
                </w:p>
              </w:tc>
              <w:tc>
                <w:tcPr>
                  <w:tcW w:w="3891" w:type="dxa"/>
                  <w:noWrap w:val="0"/>
                  <w:vAlign w:val="center"/>
                </w:tcPr>
                <w:p w14:paraId="54CDC014">
                  <w:pPr>
                    <w:adjustRightInd w:val="0"/>
                    <w:snapToGrid w:val="0"/>
                    <w:spacing w:line="240" w:lineRule="auto"/>
                    <w:ind w:firstLine="0" w:firstLineChars="0"/>
                    <w:jc w:val="left"/>
                    <w:rPr>
                      <w:rFonts w:hint="eastAsia"/>
                      <w:iCs/>
                      <w:color w:val="auto"/>
                      <w:kern w:val="0"/>
                      <w:sz w:val="21"/>
                      <w:szCs w:val="21"/>
                      <w:highlight w:val="none"/>
                    </w:rPr>
                  </w:pPr>
                  <w:r>
                    <w:rPr>
                      <w:rFonts w:hint="eastAsia"/>
                      <w:iCs/>
                      <w:color w:val="auto"/>
                      <w:kern w:val="0"/>
                      <w:sz w:val="21"/>
                      <w:szCs w:val="21"/>
                      <w:highlight w:val="none"/>
                    </w:rPr>
                    <w:t>4.禁止新、改、扩建生产高VOCs含量有机溶剂型涂料、油墨和胶黏剂的项目。</w:t>
                  </w:r>
                </w:p>
              </w:tc>
              <w:tc>
                <w:tcPr>
                  <w:tcW w:w="1410" w:type="dxa"/>
                  <w:vMerge w:val="continue"/>
                  <w:noWrap w:val="0"/>
                  <w:vAlign w:val="center"/>
                </w:tcPr>
                <w:p w14:paraId="4726D321">
                  <w:pPr>
                    <w:adjustRightInd w:val="0"/>
                    <w:snapToGrid w:val="0"/>
                    <w:spacing w:line="240" w:lineRule="auto"/>
                    <w:ind w:firstLine="0" w:firstLineChars="0"/>
                    <w:jc w:val="left"/>
                    <w:rPr>
                      <w:rFonts w:hint="eastAsia"/>
                      <w:iCs/>
                      <w:color w:val="auto"/>
                      <w:kern w:val="0"/>
                      <w:sz w:val="21"/>
                      <w:szCs w:val="21"/>
                      <w:highlight w:val="none"/>
                    </w:rPr>
                  </w:pPr>
                </w:p>
              </w:tc>
              <w:tc>
                <w:tcPr>
                  <w:tcW w:w="478" w:type="dxa"/>
                  <w:vMerge w:val="continue"/>
                  <w:noWrap w:val="0"/>
                  <w:vAlign w:val="center"/>
                </w:tcPr>
                <w:p w14:paraId="19580579">
                  <w:pPr>
                    <w:adjustRightInd w:val="0"/>
                    <w:snapToGrid w:val="0"/>
                    <w:spacing w:line="240" w:lineRule="auto"/>
                    <w:ind w:firstLine="0" w:firstLineChars="0"/>
                    <w:jc w:val="left"/>
                    <w:rPr>
                      <w:rFonts w:hint="eastAsia"/>
                      <w:iCs/>
                      <w:color w:val="auto"/>
                      <w:kern w:val="0"/>
                      <w:sz w:val="21"/>
                      <w:szCs w:val="21"/>
                      <w:highlight w:val="none"/>
                    </w:rPr>
                  </w:pPr>
                </w:p>
              </w:tc>
            </w:tr>
            <w:tr w14:paraId="7D190A0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77" w:hRule="atLeast"/>
              </w:trPr>
              <w:tc>
                <w:tcPr>
                  <w:tcW w:w="735" w:type="dxa"/>
                  <w:vMerge w:val="continue"/>
                  <w:noWrap w:val="0"/>
                  <w:vAlign w:val="center"/>
                </w:tcPr>
                <w:p w14:paraId="6A50B8F8">
                  <w:pPr>
                    <w:adjustRightInd w:val="0"/>
                    <w:snapToGrid w:val="0"/>
                    <w:spacing w:line="240" w:lineRule="auto"/>
                    <w:ind w:firstLine="0" w:firstLineChars="0"/>
                    <w:jc w:val="left"/>
                    <w:rPr>
                      <w:rFonts w:hint="eastAsia"/>
                      <w:iCs/>
                      <w:color w:val="auto"/>
                      <w:kern w:val="0"/>
                      <w:sz w:val="21"/>
                      <w:szCs w:val="21"/>
                      <w:highlight w:val="none"/>
                    </w:rPr>
                  </w:pPr>
                </w:p>
              </w:tc>
              <w:tc>
                <w:tcPr>
                  <w:tcW w:w="419" w:type="dxa"/>
                  <w:vMerge w:val="continue"/>
                  <w:noWrap w:val="0"/>
                  <w:vAlign w:val="center"/>
                </w:tcPr>
                <w:p w14:paraId="63C0B6A3">
                  <w:pPr>
                    <w:adjustRightInd w:val="0"/>
                    <w:snapToGrid w:val="0"/>
                    <w:spacing w:line="240" w:lineRule="auto"/>
                    <w:ind w:firstLine="0" w:firstLineChars="0"/>
                    <w:jc w:val="left"/>
                    <w:rPr>
                      <w:rFonts w:hint="eastAsia"/>
                      <w:iCs/>
                      <w:color w:val="auto"/>
                      <w:kern w:val="0"/>
                      <w:sz w:val="21"/>
                      <w:szCs w:val="21"/>
                      <w:highlight w:val="none"/>
                    </w:rPr>
                  </w:pPr>
                </w:p>
              </w:tc>
              <w:tc>
                <w:tcPr>
                  <w:tcW w:w="3891" w:type="dxa"/>
                  <w:noWrap w:val="0"/>
                  <w:vAlign w:val="center"/>
                </w:tcPr>
                <w:p w14:paraId="23070860">
                  <w:pPr>
                    <w:adjustRightInd w:val="0"/>
                    <w:snapToGrid w:val="0"/>
                    <w:spacing w:line="240" w:lineRule="auto"/>
                    <w:ind w:firstLine="0" w:firstLineChars="0"/>
                    <w:jc w:val="left"/>
                    <w:rPr>
                      <w:rFonts w:hint="eastAsia"/>
                      <w:iCs/>
                      <w:color w:val="auto"/>
                      <w:kern w:val="0"/>
                      <w:sz w:val="21"/>
                      <w:szCs w:val="21"/>
                      <w:highlight w:val="none"/>
                    </w:rPr>
                  </w:pPr>
                  <w:r>
                    <w:rPr>
                      <w:rFonts w:hint="eastAsia"/>
                      <w:iCs/>
                      <w:color w:val="auto"/>
                      <w:kern w:val="0"/>
                      <w:sz w:val="21"/>
                      <w:szCs w:val="21"/>
                      <w:highlight w:val="none"/>
                    </w:rPr>
                    <w:t>5.持续加强闽清等地建陶产业的环境综合治理，充分衔接国土空间规划和生态环境分区管控，并对照产业政策、城市总体发展规划等要求，进一步明确发展定位，优化产业布局和规模。</w:t>
                  </w:r>
                </w:p>
              </w:tc>
              <w:tc>
                <w:tcPr>
                  <w:tcW w:w="1410" w:type="dxa"/>
                  <w:vMerge w:val="continue"/>
                  <w:noWrap w:val="0"/>
                  <w:vAlign w:val="center"/>
                </w:tcPr>
                <w:p w14:paraId="0CF496DA">
                  <w:pPr>
                    <w:adjustRightInd w:val="0"/>
                    <w:snapToGrid w:val="0"/>
                    <w:spacing w:line="240" w:lineRule="auto"/>
                    <w:ind w:firstLine="0" w:firstLineChars="0"/>
                    <w:jc w:val="left"/>
                    <w:rPr>
                      <w:rFonts w:hint="eastAsia"/>
                      <w:iCs/>
                      <w:color w:val="auto"/>
                      <w:kern w:val="0"/>
                      <w:sz w:val="21"/>
                      <w:szCs w:val="21"/>
                      <w:highlight w:val="none"/>
                    </w:rPr>
                  </w:pPr>
                </w:p>
              </w:tc>
              <w:tc>
                <w:tcPr>
                  <w:tcW w:w="478" w:type="dxa"/>
                  <w:vMerge w:val="continue"/>
                  <w:noWrap w:val="0"/>
                  <w:vAlign w:val="center"/>
                </w:tcPr>
                <w:p w14:paraId="1AE19C8E">
                  <w:pPr>
                    <w:adjustRightInd w:val="0"/>
                    <w:snapToGrid w:val="0"/>
                    <w:spacing w:line="240" w:lineRule="auto"/>
                    <w:ind w:firstLine="0" w:firstLineChars="0"/>
                    <w:jc w:val="left"/>
                    <w:rPr>
                      <w:rFonts w:hint="eastAsia"/>
                      <w:iCs/>
                      <w:color w:val="auto"/>
                      <w:kern w:val="0"/>
                      <w:sz w:val="21"/>
                      <w:szCs w:val="21"/>
                      <w:highlight w:val="none"/>
                    </w:rPr>
                  </w:pPr>
                </w:p>
              </w:tc>
            </w:tr>
            <w:tr w14:paraId="39D414E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77" w:hRule="atLeast"/>
              </w:trPr>
              <w:tc>
                <w:tcPr>
                  <w:tcW w:w="735" w:type="dxa"/>
                  <w:vMerge w:val="continue"/>
                  <w:noWrap w:val="0"/>
                  <w:vAlign w:val="center"/>
                </w:tcPr>
                <w:p w14:paraId="425898AA">
                  <w:pPr>
                    <w:adjustRightInd w:val="0"/>
                    <w:snapToGrid w:val="0"/>
                    <w:spacing w:line="240" w:lineRule="auto"/>
                    <w:ind w:firstLine="0" w:firstLineChars="0"/>
                    <w:jc w:val="left"/>
                    <w:rPr>
                      <w:rFonts w:hint="eastAsia"/>
                      <w:iCs/>
                      <w:color w:val="auto"/>
                      <w:kern w:val="0"/>
                      <w:sz w:val="21"/>
                      <w:szCs w:val="21"/>
                      <w:highlight w:val="none"/>
                    </w:rPr>
                  </w:pPr>
                </w:p>
              </w:tc>
              <w:tc>
                <w:tcPr>
                  <w:tcW w:w="419" w:type="dxa"/>
                  <w:vMerge w:val="continue"/>
                  <w:noWrap w:val="0"/>
                  <w:vAlign w:val="center"/>
                </w:tcPr>
                <w:p w14:paraId="51A26261">
                  <w:pPr>
                    <w:adjustRightInd w:val="0"/>
                    <w:snapToGrid w:val="0"/>
                    <w:spacing w:line="240" w:lineRule="auto"/>
                    <w:ind w:firstLine="0" w:firstLineChars="0"/>
                    <w:jc w:val="left"/>
                    <w:rPr>
                      <w:rFonts w:hint="eastAsia"/>
                      <w:iCs/>
                      <w:color w:val="auto"/>
                      <w:kern w:val="0"/>
                      <w:sz w:val="21"/>
                      <w:szCs w:val="21"/>
                      <w:highlight w:val="none"/>
                    </w:rPr>
                  </w:pPr>
                </w:p>
              </w:tc>
              <w:tc>
                <w:tcPr>
                  <w:tcW w:w="3891" w:type="dxa"/>
                  <w:noWrap w:val="0"/>
                  <w:vAlign w:val="center"/>
                </w:tcPr>
                <w:p w14:paraId="5A1D55B9">
                  <w:pPr>
                    <w:adjustRightInd w:val="0"/>
                    <w:snapToGrid w:val="0"/>
                    <w:spacing w:line="240" w:lineRule="auto"/>
                    <w:ind w:firstLine="0" w:firstLineChars="0"/>
                    <w:jc w:val="left"/>
                    <w:rPr>
                      <w:rFonts w:hint="eastAsia"/>
                      <w:iCs/>
                      <w:color w:val="auto"/>
                      <w:kern w:val="0"/>
                      <w:sz w:val="21"/>
                      <w:szCs w:val="21"/>
                      <w:highlight w:val="none"/>
                    </w:rPr>
                  </w:pPr>
                  <w:r>
                    <w:rPr>
                      <w:rFonts w:hint="eastAsia"/>
                      <w:iCs/>
                      <w:color w:val="auto"/>
                      <w:kern w:val="0"/>
                      <w:sz w:val="21"/>
                      <w:szCs w:val="21"/>
                      <w:highlight w:val="none"/>
                    </w:rPr>
                    <w:t>6.新建、扩建的涉及重点重金属污染物的有色金属冶炼、电镀、制革、铅蓄电池制造企业应优先选择布设在依法合规设立并经规划环评、环境基础设施和环境风险防范措施齐全的产业园区。禁止低端落后产能向闽江中上游地区转移。禁止新建用汞的电石法（聚）氯乙烯生产工艺。加快推进专业电镀企业入园，到2025年底专业电镀企业入园率达到90%以上。</w:t>
                  </w:r>
                </w:p>
              </w:tc>
              <w:tc>
                <w:tcPr>
                  <w:tcW w:w="1410" w:type="dxa"/>
                  <w:vMerge w:val="continue"/>
                  <w:noWrap w:val="0"/>
                  <w:vAlign w:val="center"/>
                </w:tcPr>
                <w:p w14:paraId="33329864">
                  <w:pPr>
                    <w:adjustRightInd w:val="0"/>
                    <w:snapToGrid w:val="0"/>
                    <w:spacing w:line="240" w:lineRule="auto"/>
                    <w:ind w:firstLine="0" w:firstLineChars="0"/>
                    <w:jc w:val="left"/>
                    <w:rPr>
                      <w:rFonts w:hint="eastAsia"/>
                      <w:iCs/>
                      <w:color w:val="auto"/>
                      <w:kern w:val="0"/>
                      <w:sz w:val="21"/>
                      <w:szCs w:val="21"/>
                      <w:highlight w:val="none"/>
                    </w:rPr>
                  </w:pPr>
                </w:p>
              </w:tc>
              <w:tc>
                <w:tcPr>
                  <w:tcW w:w="478" w:type="dxa"/>
                  <w:vMerge w:val="continue"/>
                  <w:noWrap w:val="0"/>
                  <w:vAlign w:val="center"/>
                </w:tcPr>
                <w:p w14:paraId="4216825F">
                  <w:pPr>
                    <w:adjustRightInd w:val="0"/>
                    <w:snapToGrid w:val="0"/>
                    <w:spacing w:line="240" w:lineRule="auto"/>
                    <w:ind w:firstLine="0" w:firstLineChars="0"/>
                    <w:jc w:val="left"/>
                    <w:rPr>
                      <w:rFonts w:hint="eastAsia"/>
                      <w:iCs/>
                      <w:color w:val="auto"/>
                      <w:kern w:val="0"/>
                      <w:sz w:val="21"/>
                      <w:szCs w:val="21"/>
                      <w:highlight w:val="none"/>
                    </w:rPr>
                  </w:pPr>
                </w:p>
              </w:tc>
            </w:tr>
            <w:tr w14:paraId="38DF4CB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7" w:hRule="atLeast"/>
              </w:trPr>
              <w:tc>
                <w:tcPr>
                  <w:tcW w:w="735" w:type="dxa"/>
                  <w:vMerge w:val="continue"/>
                  <w:noWrap w:val="0"/>
                  <w:vAlign w:val="center"/>
                </w:tcPr>
                <w:p w14:paraId="6FCDF611">
                  <w:pPr>
                    <w:adjustRightInd w:val="0"/>
                    <w:snapToGrid w:val="0"/>
                    <w:spacing w:line="240" w:lineRule="auto"/>
                    <w:ind w:firstLine="0" w:firstLineChars="0"/>
                    <w:jc w:val="left"/>
                    <w:rPr>
                      <w:rFonts w:hint="eastAsia"/>
                      <w:iCs/>
                      <w:color w:val="auto"/>
                      <w:kern w:val="0"/>
                      <w:sz w:val="21"/>
                      <w:szCs w:val="21"/>
                      <w:highlight w:val="none"/>
                    </w:rPr>
                  </w:pPr>
                </w:p>
              </w:tc>
              <w:tc>
                <w:tcPr>
                  <w:tcW w:w="419" w:type="dxa"/>
                  <w:vMerge w:val="continue"/>
                  <w:noWrap w:val="0"/>
                  <w:vAlign w:val="center"/>
                </w:tcPr>
                <w:p w14:paraId="01D9F2F8">
                  <w:pPr>
                    <w:adjustRightInd w:val="0"/>
                    <w:snapToGrid w:val="0"/>
                    <w:spacing w:line="240" w:lineRule="auto"/>
                    <w:ind w:firstLine="0" w:firstLineChars="0"/>
                    <w:jc w:val="left"/>
                    <w:rPr>
                      <w:rFonts w:hint="eastAsia"/>
                      <w:iCs/>
                      <w:color w:val="auto"/>
                      <w:kern w:val="0"/>
                      <w:sz w:val="21"/>
                      <w:szCs w:val="21"/>
                      <w:highlight w:val="none"/>
                    </w:rPr>
                  </w:pPr>
                </w:p>
              </w:tc>
              <w:tc>
                <w:tcPr>
                  <w:tcW w:w="3891" w:type="dxa"/>
                  <w:noWrap w:val="0"/>
                  <w:vAlign w:val="center"/>
                </w:tcPr>
                <w:p w14:paraId="1BD35603">
                  <w:pPr>
                    <w:adjustRightInd w:val="0"/>
                    <w:snapToGrid w:val="0"/>
                    <w:spacing w:line="240" w:lineRule="auto"/>
                    <w:ind w:firstLine="0" w:firstLineChars="0"/>
                    <w:jc w:val="left"/>
                    <w:rPr>
                      <w:rFonts w:hint="eastAsia"/>
                      <w:iCs/>
                      <w:color w:val="auto"/>
                      <w:kern w:val="0"/>
                      <w:sz w:val="21"/>
                      <w:szCs w:val="21"/>
                      <w:highlight w:val="none"/>
                    </w:rPr>
                  </w:pPr>
                  <w:r>
                    <w:rPr>
                      <w:rFonts w:hint="eastAsia"/>
                      <w:iCs/>
                      <w:color w:val="auto"/>
                      <w:kern w:val="0"/>
                      <w:sz w:val="21"/>
                      <w:szCs w:val="21"/>
                      <w:highlight w:val="none"/>
                    </w:rPr>
                    <w:t>7.禁止在流域上游新建、扩建重污染企业和项目。</w:t>
                  </w:r>
                </w:p>
              </w:tc>
              <w:tc>
                <w:tcPr>
                  <w:tcW w:w="1410" w:type="dxa"/>
                  <w:vMerge w:val="continue"/>
                  <w:noWrap w:val="0"/>
                  <w:vAlign w:val="center"/>
                </w:tcPr>
                <w:p w14:paraId="3DFCB4CF">
                  <w:pPr>
                    <w:adjustRightInd w:val="0"/>
                    <w:snapToGrid w:val="0"/>
                    <w:spacing w:line="240" w:lineRule="auto"/>
                    <w:ind w:firstLine="0" w:firstLineChars="0"/>
                    <w:jc w:val="left"/>
                    <w:rPr>
                      <w:rFonts w:hint="eastAsia"/>
                      <w:iCs/>
                      <w:color w:val="auto"/>
                      <w:kern w:val="0"/>
                      <w:sz w:val="21"/>
                      <w:szCs w:val="21"/>
                      <w:highlight w:val="none"/>
                    </w:rPr>
                  </w:pPr>
                </w:p>
              </w:tc>
              <w:tc>
                <w:tcPr>
                  <w:tcW w:w="478" w:type="dxa"/>
                  <w:vMerge w:val="continue"/>
                  <w:noWrap w:val="0"/>
                  <w:vAlign w:val="center"/>
                </w:tcPr>
                <w:p w14:paraId="1839F349">
                  <w:pPr>
                    <w:adjustRightInd w:val="0"/>
                    <w:snapToGrid w:val="0"/>
                    <w:spacing w:line="240" w:lineRule="auto"/>
                    <w:ind w:firstLine="0" w:firstLineChars="0"/>
                    <w:jc w:val="left"/>
                    <w:rPr>
                      <w:rFonts w:hint="eastAsia"/>
                      <w:iCs/>
                      <w:color w:val="auto"/>
                      <w:kern w:val="0"/>
                      <w:sz w:val="21"/>
                      <w:szCs w:val="21"/>
                      <w:highlight w:val="none"/>
                    </w:rPr>
                  </w:pPr>
                </w:p>
              </w:tc>
            </w:tr>
            <w:tr w14:paraId="20DACDA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7" w:hRule="atLeast"/>
              </w:trPr>
              <w:tc>
                <w:tcPr>
                  <w:tcW w:w="735" w:type="dxa"/>
                  <w:vMerge w:val="continue"/>
                  <w:noWrap w:val="0"/>
                  <w:vAlign w:val="center"/>
                </w:tcPr>
                <w:p w14:paraId="11919D8D">
                  <w:pPr>
                    <w:adjustRightInd w:val="0"/>
                    <w:snapToGrid w:val="0"/>
                    <w:spacing w:line="240" w:lineRule="auto"/>
                    <w:ind w:firstLine="0" w:firstLineChars="0"/>
                    <w:jc w:val="left"/>
                    <w:rPr>
                      <w:rFonts w:hint="eastAsia"/>
                      <w:iCs/>
                      <w:color w:val="auto"/>
                      <w:kern w:val="0"/>
                      <w:sz w:val="21"/>
                      <w:szCs w:val="21"/>
                      <w:highlight w:val="none"/>
                    </w:rPr>
                  </w:pPr>
                </w:p>
              </w:tc>
              <w:tc>
                <w:tcPr>
                  <w:tcW w:w="419" w:type="dxa"/>
                  <w:vMerge w:val="continue"/>
                  <w:noWrap w:val="0"/>
                  <w:vAlign w:val="center"/>
                </w:tcPr>
                <w:p w14:paraId="057A7ECF">
                  <w:pPr>
                    <w:adjustRightInd w:val="0"/>
                    <w:snapToGrid w:val="0"/>
                    <w:spacing w:line="240" w:lineRule="auto"/>
                    <w:ind w:firstLine="0" w:firstLineChars="0"/>
                    <w:jc w:val="left"/>
                    <w:rPr>
                      <w:rFonts w:hint="eastAsia"/>
                      <w:iCs/>
                      <w:color w:val="auto"/>
                      <w:kern w:val="0"/>
                      <w:sz w:val="21"/>
                      <w:szCs w:val="21"/>
                      <w:highlight w:val="none"/>
                    </w:rPr>
                  </w:pPr>
                </w:p>
              </w:tc>
              <w:tc>
                <w:tcPr>
                  <w:tcW w:w="3891" w:type="dxa"/>
                  <w:noWrap w:val="0"/>
                  <w:vAlign w:val="center"/>
                </w:tcPr>
                <w:p w14:paraId="7CA27688">
                  <w:pPr>
                    <w:adjustRightInd w:val="0"/>
                    <w:snapToGrid w:val="0"/>
                    <w:spacing w:line="240" w:lineRule="auto"/>
                    <w:ind w:firstLine="0" w:firstLineChars="0"/>
                    <w:jc w:val="left"/>
                    <w:rPr>
                      <w:rFonts w:hint="eastAsia"/>
                      <w:iCs/>
                      <w:color w:val="auto"/>
                      <w:kern w:val="0"/>
                      <w:sz w:val="21"/>
                      <w:szCs w:val="21"/>
                      <w:highlight w:val="none"/>
                    </w:rPr>
                  </w:pPr>
                  <w:r>
                    <w:rPr>
                      <w:rFonts w:hint="eastAsia"/>
                      <w:iCs/>
                      <w:color w:val="auto"/>
                      <w:kern w:val="0"/>
                      <w:sz w:val="21"/>
                      <w:szCs w:val="21"/>
                      <w:highlight w:val="none"/>
                    </w:rPr>
                    <w:t>8.重要敏感水体及富营养化湖库生态缓冲带除相关政府部门批准的科学研究活动外，禁止其它可能对保护区构成危害或不良影响的大规模生产、建设活动。</w:t>
                  </w:r>
                </w:p>
              </w:tc>
              <w:tc>
                <w:tcPr>
                  <w:tcW w:w="1410" w:type="dxa"/>
                  <w:vMerge w:val="continue"/>
                  <w:noWrap w:val="0"/>
                  <w:vAlign w:val="center"/>
                </w:tcPr>
                <w:p w14:paraId="59E4E932">
                  <w:pPr>
                    <w:adjustRightInd w:val="0"/>
                    <w:snapToGrid w:val="0"/>
                    <w:spacing w:line="240" w:lineRule="auto"/>
                    <w:ind w:firstLine="0" w:firstLineChars="0"/>
                    <w:jc w:val="left"/>
                    <w:rPr>
                      <w:rFonts w:hint="eastAsia"/>
                      <w:iCs/>
                      <w:color w:val="auto"/>
                      <w:kern w:val="0"/>
                      <w:sz w:val="21"/>
                      <w:szCs w:val="21"/>
                      <w:highlight w:val="none"/>
                    </w:rPr>
                  </w:pPr>
                </w:p>
              </w:tc>
              <w:tc>
                <w:tcPr>
                  <w:tcW w:w="478" w:type="dxa"/>
                  <w:vMerge w:val="continue"/>
                  <w:noWrap w:val="0"/>
                  <w:vAlign w:val="center"/>
                </w:tcPr>
                <w:p w14:paraId="27FB1D18">
                  <w:pPr>
                    <w:adjustRightInd w:val="0"/>
                    <w:snapToGrid w:val="0"/>
                    <w:spacing w:line="240" w:lineRule="auto"/>
                    <w:ind w:firstLine="0" w:firstLineChars="0"/>
                    <w:jc w:val="left"/>
                    <w:rPr>
                      <w:rFonts w:hint="eastAsia"/>
                      <w:iCs/>
                      <w:color w:val="auto"/>
                      <w:kern w:val="0"/>
                      <w:sz w:val="21"/>
                      <w:szCs w:val="21"/>
                      <w:highlight w:val="none"/>
                    </w:rPr>
                  </w:pPr>
                </w:p>
              </w:tc>
            </w:tr>
            <w:tr w14:paraId="6E091A6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7" w:hRule="atLeast"/>
              </w:trPr>
              <w:tc>
                <w:tcPr>
                  <w:tcW w:w="735" w:type="dxa"/>
                  <w:vMerge w:val="continue"/>
                  <w:noWrap w:val="0"/>
                  <w:vAlign w:val="center"/>
                </w:tcPr>
                <w:p w14:paraId="2DBFF8A1">
                  <w:pPr>
                    <w:adjustRightInd w:val="0"/>
                    <w:snapToGrid w:val="0"/>
                    <w:spacing w:line="240" w:lineRule="auto"/>
                    <w:ind w:firstLine="0" w:firstLineChars="0"/>
                    <w:jc w:val="left"/>
                    <w:rPr>
                      <w:rFonts w:hint="eastAsia"/>
                      <w:iCs/>
                      <w:color w:val="auto"/>
                      <w:kern w:val="0"/>
                      <w:sz w:val="21"/>
                      <w:szCs w:val="21"/>
                      <w:highlight w:val="none"/>
                    </w:rPr>
                  </w:pPr>
                </w:p>
              </w:tc>
              <w:tc>
                <w:tcPr>
                  <w:tcW w:w="419" w:type="dxa"/>
                  <w:vMerge w:val="continue"/>
                  <w:noWrap w:val="0"/>
                  <w:vAlign w:val="center"/>
                </w:tcPr>
                <w:p w14:paraId="301C06BD">
                  <w:pPr>
                    <w:adjustRightInd w:val="0"/>
                    <w:snapToGrid w:val="0"/>
                    <w:spacing w:line="240" w:lineRule="auto"/>
                    <w:ind w:firstLine="0" w:firstLineChars="0"/>
                    <w:jc w:val="left"/>
                    <w:rPr>
                      <w:rFonts w:hint="eastAsia"/>
                      <w:iCs/>
                      <w:color w:val="auto"/>
                      <w:kern w:val="0"/>
                      <w:sz w:val="21"/>
                      <w:szCs w:val="21"/>
                      <w:highlight w:val="none"/>
                    </w:rPr>
                  </w:pPr>
                </w:p>
              </w:tc>
              <w:tc>
                <w:tcPr>
                  <w:tcW w:w="3891" w:type="dxa"/>
                  <w:noWrap w:val="0"/>
                  <w:vAlign w:val="center"/>
                </w:tcPr>
                <w:p w14:paraId="1F6C490C">
                  <w:pPr>
                    <w:adjustRightInd w:val="0"/>
                    <w:snapToGrid w:val="0"/>
                    <w:spacing w:line="240" w:lineRule="auto"/>
                    <w:ind w:firstLine="0" w:firstLineChars="0"/>
                    <w:jc w:val="left"/>
                    <w:rPr>
                      <w:rFonts w:hint="eastAsia"/>
                      <w:iCs/>
                      <w:color w:val="auto"/>
                      <w:kern w:val="0"/>
                      <w:sz w:val="21"/>
                      <w:szCs w:val="21"/>
                      <w:highlight w:val="none"/>
                    </w:rPr>
                  </w:pPr>
                  <w:r>
                    <w:rPr>
                      <w:rFonts w:hint="eastAsia"/>
                      <w:iCs/>
                      <w:color w:val="auto"/>
                      <w:kern w:val="0"/>
                      <w:sz w:val="21"/>
                      <w:szCs w:val="21"/>
                      <w:highlight w:val="none"/>
                    </w:rPr>
                    <w:t>9.新、改、扩建煤电、钢铁、建材、石化、化工等“两高”项目，严格落实国家、省、市产业规划、产业政策、“三线一单”、规划环评，以及产能置换、煤炭消费减量替代、区域污染削减等相关要求。</w:t>
                  </w:r>
                </w:p>
              </w:tc>
              <w:tc>
                <w:tcPr>
                  <w:tcW w:w="1410" w:type="dxa"/>
                  <w:noWrap w:val="0"/>
                  <w:vAlign w:val="center"/>
                </w:tcPr>
                <w:p w14:paraId="79F4EE64">
                  <w:pPr>
                    <w:adjustRightInd w:val="0"/>
                    <w:snapToGrid w:val="0"/>
                    <w:spacing w:line="240" w:lineRule="auto"/>
                    <w:ind w:firstLine="0" w:firstLineChars="0"/>
                    <w:jc w:val="left"/>
                    <w:rPr>
                      <w:rFonts w:hint="eastAsia" w:ascii="Times New Roman" w:hAnsi="Times New Roman" w:eastAsia="宋体" w:cs="Times New Roman"/>
                      <w:iCs/>
                      <w:color w:val="auto"/>
                      <w:kern w:val="0"/>
                      <w:sz w:val="21"/>
                      <w:szCs w:val="21"/>
                      <w:highlight w:val="none"/>
                      <w:lang w:val="en-US" w:eastAsia="zh-CN"/>
                    </w:rPr>
                  </w:pPr>
                  <w:r>
                    <w:rPr>
                      <w:rFonts w:hint="eastAsia" w:ascii="Times New Roman" w:hAnsi="Times New Roman" w:eastAsia="宋体" w:cs="Times New Roman"/>
                      <w:iCs/>
                      <w:color w:val="auto"/>
                      <w:kern w:val="0"/>
                      <w:sz w:val="21"/>
                      <w:szCs w:val="21"/>
                      <w:highlight w:val="none"/>
                    </w:rPr>
                    <w:t>本项目</w:t>
                  </w:r>
                  <w:r>
                    <w:rPr>
                      <w:rFonts w:hint="eastAsia" w:ascii="Times New Roman" w:hAnsi="Times New Roman" w:eastAsia="宋体" w:cs="Times New Roman"/>
                      <w:iCs/>
                      <w:color w:val="auto"/>
                      <w:kern w:val="0"/>
                      <w:sz w:val="21"/>
                      <w:szCs w:val="21"/>
                      <w:highlight w:val="none"/>
                      <w:lang w:val="en-US" w:eastAsia="zh-CN"/>
                    </w:rPr>
                    <w:t>将</w:t>
                  </w:r>
                  <w:r>
                    <w:rPr>
                      <w:rFonts w:hint="eastAsia" w:ascii="Times New Roman" w:hAnsi="Times New Roman" w:eastAsia="宋体" w:cs="Times New Roman"/>
                      <w:iCs/>
                      <w:color w:val="auto"/>
                      <w:kern w:val="0"/>
                      <w:sz w:val="21"/>
                      <w:szCs w:val="21"/>
                      <w:highlight w:val="none"/>
                    </w:rPr>
                    <w:t>严格落实国家、省、市产业规划、产业政策、“三线一单”、规划环评，以及产能置换、煤炭消费减量替代、区域污染削减等相关要求。</w:t>
                  </w:r>
                </w:p>
              </w:tc>
              <w:tc>
                <w:tcPr>
                  <w:tcW w:w="478" w:type="dxa"/>
                  <w:vMerge w:val="continue"/>
                  <w:noWrap w:val="0"/>
                  <w:vAlign w:val="center"/>
                </w:tcPr>
                <w:p w14:paraId="1DE7E987">
                  <w:pPr>
                    <w:adjustRightInd w:val="0"/>
                    <w:snapToGrid w:val="0"/>
                    <w:spacing w:line="240" w:lineRule="auto"/>
                    <w:ind w:firstLine="0" w:firstLineChars="0"/>
                    <w:jc w:val="left"/>
                    <w:rPr>
                      <w:rFonts w:hint="eastAsia"/>
                      <w:iCs/>
                      <w:color w:val="auto"/>
                      <w:kern w:val="0"/>
                      <w:sz w:val="21"/>
                      <w:szCs w:val="21"/>
                      <w:highlight w:val="none"/>
                    </w:rPr>
                  </w:pPr>
                </w:p>
              </w:tc>
            </w:tr>
            <w:tr w14:paraId="41934DB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7" w:hRule="atLeast"/>
              </w:trPr>
              <w:tc>
                <w:tcPr>
                  <w:tcW w:w="735" w:type="dxa"/>
                  <w:vMerge w:val="continue"/>
                  <w:noWrap w:val="0"/>
                  <w:vAlign w:val="center"/>
                </w:tcPr>
                <w:p w14:paraId="6A19C88D">
                  <w:pPr>
                    <w:adjustRightInd w:val="0"/>
                    <w:snapToGrid w:val="0"/>
                    <w:spacing w:line="240" w:lineRule="auto"/>
                    <w:ind w:firstLine="0" w:firstLineChars="0"/>
                    <w:jc w:val="left"/>
                    <w:rPr>
                      <w:rFonts w:hint="eastAsia"/>
                      <w:iCs/>
                      <w:color w:val="auto"/>
                      <w:kern w:val="0"/>
                      <w:sz w:val="21"/>
                      <w:szCs w:val="21"/>
                      <w:highlight w:val="none"/>
                    </w:rPr>
                  </w:pPr>
                </w:p>
              </w:tc>
              <w:tc>
                <w:tcPr>
                  <w:tcW w:w="419" w:type="dxa"/>
                  <w:vMerge w:val="continue"/>
                  <w:noWrap w:val="0"/>
                  <w:vAlign w:val="center"/>
                </w:tcPr>
                <w:p w14:paraId="36798EF5">
                  <w:pPr>
                    <w:adjustRightInd w:val="0"/>
                    <w:snapToGrid w:val="0"/>
                    <w:spacing w:line="240" w:lineRule="auto"/>
                    <w:ind w:firstLine="0" w:firstLineChars="0"/>
                    <w:jc w:val="left"/>
                    <w:rPr>
                      <w:rFonts w:hint="eastAsia"/>
                      <w:iCs/>
                      <w:color w:val="auto"/>
                      <w:kern w:val="0"/>
                      <w:sz w:val="21"/>
                      <w:szCs w:val="21"/>
                      <w:highlight w:val="none"/>
                    </w:rPr>
                  </w:pPr>
                </w:p>
              </w:tc>
              <w:tc>
                <w:tcPr>
                  <w:tcW w:w="3891" w:type="dxa"/>
                  <w:noWrap w:val="0"/>
                  <w:vAlign w:val="center"/>
                </w:tcPr>
                <w:p w14:paraId="38C85706">
                  <w:pPr>
                    <w:adjustRightInd w:val="0"/>
                    <w:snapToGrid w:val="0"/>
                    <w:spacing w:line="240" w:lineRule="auto"/>
                    <w:ind w:firstLine="0" w:firstLineChars="0"/>
                    <w:jc w:val="left"/>
                    <w:rPr>
                      <w:rFonts w:hint="eastAsia"/>
                      <w:iCs/>
                      <w:color w:val="auto"/>
                      <w:kern w:val="0"/>
                      <w:sz w:val="21"/>
                      <w:szCs w:val="21"/>
                      <w:highlight w:val="none"/>
                    </w:rPr>
                  </w:pPr>
                  <w:r>
                    <w:rPr>
                      <w:rFonts w:hint="eastAsia"/>
                      <w:iCs/>
                      <w:color w:val="auto"/>
                      <w:kern w:val="0"/>
                      <w:sz w:val="21"/>
                      <w:szCs w:val="21"/>
                      <w:highlight w:val="none"/>
                    </w:rPr>
                    <w:t>10.单元内涉及永久基本农田的，应按照《福建省基本农田保护条例》（2010 年修正本）、《国土资源部关于全面实行永久共本农田特殊保护的通知》（国土资规〔2018〕1号）、《中共中央国务院关于加强耕地保护和改进占补平衡的意见》（2017 年 1 月 9 日）等相关文件要求进行格管理，一般建设项目不得占用永久基本农田，重大建设项目选址确实难以避让永久基本农田的，必须依法依规办理。严禁通过擅自调整县乡国土空间规划，规避占用永久基本农田的审批。禁止随意砍伐防风固沙林和农田保护林。严格按照自然资源部、农业农村部、国家林业和草原局《关于严格耕地用途管制有关问题的通知》（自然资发〔2021〕166 号）要求全面落实耕地用途管制。</w:t>
                  </w:r>
                </w:p>
              </w:tc>
              <w:tc>
                <w:tcPr>
                  <w:tcW w:w="1410" w:type="dxa"/>
                  <w:noWrap w:val="0"/>
                  <w:vAlign w:val="center"/>
                </w:tcPr>
                <w:p w14:paraId="7DC306E6">
                  <w:pPr>
                    <w:adjustRightInd w:val="0"/>
                    <w:snapToGrid w:val="0"/>
                    <w:spacing w:line="240" w:lineRule="auto"/>
                    <w:ind w:firstLine="0" w:firstLineChars="0"/>
                    <w:jc w:val="left"/>
                    <w:rPr>
                      <w:rFonts w:hint="eastAsia" w:ascii="Times New Roman" w:hAnsi="Times New Roman" w:eastAsia="宋体" w:cs="Times New Roman"/>
                      <w:iCs/>
                      <w:color w:val="auto"/>
                      <w:kern w:val="0"/>
                      <w:sz w:val="21"/>
                      <w:szCs w:val="21"/>
                      <w:highlight w:val="none"/>
                    </w:rPr>
                  </w:pPr>
                  <w:r>
                    <w:rPr>
                      <w:rFonts w:hint="eastAsia" w:ascii="Times New Roman" w:hAnsi="Times New Roman" w:eastAsia="宋体" w:cs="Times New Roman"/>
                      <w:iCs/>
                      <w:color w:val="auto"/>
                      <w:kern w:val="0"/>
                      <w:sz w:val="21"/>
                      <w:szCs w:val="21"/>
                      <w:highlight w:val="none"/>
                      <w:lang w:val="en-US" w:eastAsia="zh-CN"/>
                    </w:rPr>
                    <w:t>本项目地块</w:t>
                  </w:r>
                  <w:r>
                    <w:rPr>
                      <w:rFonts w:hint="eastAsia" w:ascii="Times New Roman" w:hAnsi="Times New Roman" w:eastAsia="宋体" w:cs="Times New Roman"/>
                      <w:iCs/>
                      <w:color w:val="auto"/>
                      <w:kern w:val="0"/>
                      <w:sz w:val="21"/>
                      <w:szCs w:val="21"/>
                      <w:highlight w:val="none"/>
                    </w:rPr>
                    <w:t>用地类型为工业用地</w:t>
                  </w:r>
                  <w:r>
                    <w:rPr>
                      <w:rFonts w:hint="eastAsia" w:ascii="Times New Roman" w:hAnsi="Times New Roman" w:eastAsia="宋体" w:cs="Times New Roman"/>
                      <w:iCs/>
                      <w:color w:val="auto"/>
                      <w:kern w:val="0"/>
                      <w:sz w:val="21"/>
                      <w:szCs w:val="21"/>
                      <w:highlight w:val="none"/>
                      <w:lang w:eastAsia="zh-CN"/>
                    </w:rPr>
                    <w:t>，</w:t>
                  </w:r>
                  <w:r>
                    <w:rPr>
                      <w:rFonts w:hint="eastAsia" w:ascii="Times New Roman" w:hAnsi="Times New Roman" w:eastAsia="宋体" w:cs="Times New Roman"/>
                      <w:iCs/>
                      <w:color w:val="auto"/>
                      <w:kern w:val="0"/>
                      <w:sz w:val="21"/>
                      <w:szCs w:val="21"/>
                      <w:highlight w:val="none"/>
                      <w:lang w:val="en-US" w:eastAsia="zh-CN"/>
                    </w:rPr>
                    <w:t>不涉及</w:t>
                  </w:r>
                  <w:r>
                    <w:rPr>
                      <w:rFonts w:hint="eastAsia"/>
                      <w:iCs/>
                      <w:color w:val="auto"/>
                      <w:kern w:val="0"/>
                      <w:sz w:val="21"/>
                      <w:szCs w:val="21"/>
                      <w:highlight w:val="none"/>
                    </w:rPr>
                    <w:t>永久基本农田</w:t>
                  </w:r>
                  <w:r>
                    <w:rPr>
                      <w:rFonts w:hint="eastAsia" w:ascii="Times New Roman" w:hAnsi="Times New Roman" w:eastAsia="宋体" w:cs="Times New Roman"/>
                      <w:iCs/>
                      <w:color w:val="auto"/>
                      <w:kern w:val="0"/>
                      <w:sz w:val="21"/>
                      <w:szCs w:val="21"/>
                      <w:highlight w:val="none"/>
                      <w:lang w:eastAsia="zh-CN"/>
                    </w:rPr>
                    <w:t>。</w:t>
                  </w:r>
                </w:p>
              </w:tc>
              <w:tc>
                <w:tcPr>
                  <w:tcW w:w="478" w:type="dxa"/>
                  <w:vMerge w:val="continue"/>
                  <w:noWrap w:val="0"/>
                  <w:vAlign w:val="center"/>
                </w:tcPr>
                <w:p w14:paraId="55295A20">
                  <w:pPr>
                    <w:adjustRightInd w:val="0"/>
                    <w:snapToGrid w:val="0"/>
                    <w:spacing w:line="240" w:lineRule="auto"/>
                    <w:ind w:firstLine="0" w:firstLineChars="0"/>
                    <w:jc w:val="left"/>
                    <w:rPr>
                      <w:rFonts w:hint="eastAsia"/>
                      <w:iCs/>
                      <w:color w:val="auto"/>
                      <w:kern w:val="0"/>
                      <w:sz w:val="21"/>
                      <w:szCs w:val="21"/>
                      <w:highlight w:val="none"/>
                    </w:rPr>
                  </w:pPr>
                </w:p>
              </w:tc>
            </w:tr>
            <w:tr w14:paraId="25047EE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735" w:type="dxa"/>
                  <w:vMerge w:val="continue"/>
                  <w:noWrap w:val="0"/>
                  <w:vAlign w:val="center"/>
                </w:tcPr>
                <w:p w14:paraId="71F0D444">
                  <w:pPr>
                    <w:adjustRightInd w:val="0"/>
                    <w:snapToGrid w:val="0"/>
                    <w:spacing w:line="240" w:lineRule="auto"/>
                    <w:ind w:firstLine="0" w:firstLineChars="0"/>
                    <w:jc w:val="center"/>
                    <w:rPr>
                      <w:rFonts w:hint="eastAsia"/>
                      <w:iCs/>
                      <w:color w:val="auto"/>
                      <w:kern w:val="0"/>
                      <w:sz w:val="21"/>
                      <w:szCs w:val="21"/>
                      <w:highlight w:val="none"/>
                    </w:rPr>
                  </w:pPr>
                </w:p>
              </w:tc>
              <w:tc>
                <w:tcPr>
                  <w:tcW w:w="419" w:type="dxa"/>
                  <w:vMerge w:val="restart"/>
                  <w:noWrap w:val="0"/>
                  <w:vAlign w:val="center"/>
                </w:tcPr>
                <w:p w14:paraId="60AC136B">
                  <w:pPr>
                    <w:adjustRightInd w:val="0"/>
                    <w:snapToGrid w:val="0"/>
                    <w:spacing w:line="240" w:lineRule="auto"/>
                    <w:ind w:firstLine="0" w:firstLineChars="0"/>
                    <w:jc w:val="center"/>
                    <w:rPr>
                      <w:rFonts w:hint="eastAsia"/>
                      <w:iCs/>
                      <w:color w:val="auto"/>
                      <w:kern w:val="0"/>
                      <w:sz w:val="21"/>
                      <w:szCs w:val="21"/>
                      <w:highlight w:val="none"/>
                    </w:rPr>
                  </w:pPr>
                  <w:r>
                    <w:rPr>
                      <w:rFonts w:hint="eastAsia"/>
                      <w:iCs/>
                      <w:color w:val="auto"/>
                      <w:kern w:val="0"/>
                      <w:sz w:val="21"/>
                      <w:szCs w:val="21"/>
                      <w:highlight w:val="none"/>
                    </w:rPr>
                    <w:t>污染物排放管控</w:t>
                  </w:r>
                </w:p>
              </w:tc>
              <w:tc>
                <w:tcPr>
                  <w:tcW w:w="3891" w:type="dxa"/>
                  <w:noWrap w:val="0"/>
                  <w:vAlign w:val="center"/>
                </w:tcPr>
                <w:p w14:paraId="16ABD75D">
                  <w:pPr>
                    <w:adjustRightInd w:val="0"/>
                    <w:snapToGrid w:val="0"/>
                    <w:spacing w:line="240" w:lineRule="auto"/>
                    <w:ind w:firstLine="0" w:firstLineChars="0"/>
                    <w:jc w:val="left"/>
                    <w:rPr>
                      <w:rFonts w:hint="eastAsia"/>
                      <w:iCs/>
                      <w:color w:val="auto"/>
                      <w:kern w:val="0"/>
                      <w:sz w:val="21"/>
                      <w:szCs w:val="21"/>
                      <w:highlight w:val="none"/>
                    </w:rPr>
                  </w:pPr>
                  <w:r>
                    <w:rPr>
                      <w:rFonts w:hint="eastAsia"/>
                      <w:iCs/>
                      <w:color w:val="auto"/>
                      <w:kern w:val="0"/>
                      <w:sz w:val="21"/>
                      <w:szCs w:val="21"/>
                      <w:highlight w:val="none"/>
                    </w:rPr>
                    <w:t>1.工业类新（改、扩）建项目新增主要污染物（水污染物化学需氧量、氨氮和大气污染物二氧化硫、氮氧化物）排放总量指标应符合区域环境质量和总量控制要求，立足于通过“以新带老”、削减存量，努力实现区域、企业自身总量平衡。总量指标来源、审核和监督管理按照“榕环保综〔2017〕90 号”等相关文件执行。</w:t>
                  </w:r>
                </w:p>
              </w:tc>
              <w:tc>
                <w:tcPr>
                  <w:tcW w:w="1410" w:type="dxa"/>
                  <w:noWrap w:val="0"/>
                  <w:vAlign w:val="center"/>
                </w:tcPr>
                <w:p w14:paraId="7A46193A">
                  <w:pPr>
                    <w:adjustRightInd w:val="0"/>
                    <w:snapToGrid w:val="0"/>
                    <w:spacing w:line="240" w:lineRule="auto"/>
                    <w:ind w:firstLine="0" w:firstLineChars="0"/>
                    <w:jc w:val="left"/>
                    <w:rPr>
                      <w:rFonts w:hint="eastAsia" w:eastAsia="宋体"/>
                      <w:iCs/>
                      <w:color w:val="auto"/>
                      <w:kern w:val="0"/>
                      <w:sz w:val="21"/>
                      <w:szCs w:val="21"/>
                      <w:highlight w:val="none"/>
                      <w:lang w:val="en-US" w:eastAsia="zh-CN"/>
                    </w:rPr>
                  </w:pPr>
                  <w:r>
                    <w:rPr>
                      <w:rFonts w:hint="eastAsia"/>
                      <w:iCs/>
                      <w:color w:val="auto"/>
                      <w:kern w:val="0"/>
                      <w:sz w:val="21"/>
                      <w:szCs w:val="21"/>
                      <w:highlight w:val="none"/>
                    </w:rPr>
                    <w:t>本项目</w:t>
                  </w:r>
                  <w:r>
                    <w:rPr>
                      <w:rFonts w:hint="eastAsia"/>
                      <w:iCs/>
                      <w:color w:val="auto"/>
                      <w:kern w:val="0"/>
                      <w:sz w:val="21"/>
                      <w:szCs w:val="21"/>
                      <w:highlight w:val="none"/>
                      <w:lang w:val="en-US" w:eastAsia="zh-CN"/>
                    </w:rPr>
                    <w:t>新增SO</w:t>
                  </w:r>
                  <w:r>
                    <w:rPr>
                      <w:rFonts w:hint="eastAsia"/>
                      <w:iCs/>
                      <w:color w:val="auto"/>
                      <w:kern w:val="0"/>
                      <w:sz w:val="21"/>
                      <w:szCs w:val="21"/>
                      <w:highlight w:val="none"/>
                      <w:vertAlign w:val="subscript"/>
                      <w:lang w:val="en-US" w:eastAsia="zh-CN"/>
                    </w:rPr>
                    <w:t>2</w:t>
                  </w:r>
                  <w:r>
                    <w:rPr>
                      <w:rFonts w:hint="eastAsia"/>
                      <w:iCs/>
                      <w:color w:val="auto"/>
                      <w:kern w:val="0"/>
                      <w:sz w:val="21"/>
                      <w:szCs w:val="21"/>
                      <w:highlight w:val="none"/>
                      <w:lang w:val="en-US" w:eastAsia="zh-CN"/>
                    </w:rPr>
                    <w:t>、NO</w:t>
                  </w:r>
                  <w:r>
                    <w:rPr>
                      <w:rFonts w:hint="eastAsia"/>
                      <w:iCs/>
                      <w:color w:val="auto"/>
                      <w:kern w:val="0"/>
                      <w:sz w:val="21"/>
                      <w:szCs w:val="21"/>
                      <w:highlight w:val="none"/>
                      <w:vertAlign w:val="subscript"/>
                      <w:lang w:val="en-US" w:eastAsia="zh-CN"/>
                    </w:rPr>
                    <w:t>X</w:t>
                  </w:r>
                  <w:r>
                    <w:rPr>
                      <w:rFonts w:hint="eastAsia"/>
                      <w:iCs/>
                      <w:color w:val="auto"/>
                      <w:kern w:val="0"/>
                      <w:sz w:val="21"/>
                      <w:szCs w:val="21"/>
                      <w:highlight w:val="none"/>
                    </w:rPr>
                    <w:t>排放总量符合区域环境质量和总量控制要求</w:t>
                  </w:r>
                  <w:r>
                    <w:rPr>
                      <w:rFonts w:hint="eastAsia"/>
                      <w:iCs/>
                      <w:color w:val="auto"/>
                      <w:kern w:val="0"/>
                      <w:sz w:val="21"/>
                      <w:szCs w:val="21"/>
                      <w:highlight w:val="none"/>
                      <w:lang w:eastAsia="zh-CN"/>
                    </w:rPr>
                    <w:t>。</w:t>
                  </w:r>
                </w:p>
              </w:tc>
              <w:tc>
                <w:tcPr>
                  <w:tcW w:w="478" w:type="dxa"/>
                  <w:noWrap w:val="0"/>
                  <w:vAlign w:val="center"/>
                </w:tcPr>
                <w:p w14:paraId="039DDAD1">
                  <w:pPr>
                    <w:adjustRightInd w:val="0"/>
                    <w:snapToGrid w:val="0"/>
                    <w:spacing w:line="240" w:lineRule="auto"/>
                    <w:ind w:firstLine="0" w:firstLineChars="0"/>
                    <w:jc w:val="center"/>
                    <w:rPr>
                      <w:rFonts w:hint="eastAsia"/>
                      <w:iCs/>
                      <w:color w:val="auto"/>
                      <w:kern w:val="0"/>
                      <w:sz w:val="21"/>
                      <w:szCs w:val="21"/>
                      <w:highlight w:val="none"/>
                    </w:rPr>
                  </w:pPr>
                  <w:r>
                    <w:rPr>
                      <w:rFonts w:hint="eastAsia"/>
                      <w:iCs/>
                      <w:color w:val="auto"/>
                      <w:kern w:val="0"/>
                      <w:sz w:val="21"/>
                      <w:szCs w:val="21"/>
                      <w:highlight w:val="none"/>
                    </w:rPr>
                    <w:t>符合</w:t>
                  </w:r>
                </w:p>
              </w:tc>
            </w:tr>
            <w:tr w14:paraId="533D8ED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62" w:hRule="atLeast"/>
              </w:trPr>
              <w:tc>
                <w:tcPr>
                  <w:tcW w:w="735" w:type="dxa"/>
                  <w:vMerge w:val="continue"/>
                  <w:noWrap w:val="0"/>
                  <w:vAlign w:val="center"/>
                </w:tcPr>
                <w:p w14:paraId="06D206FC">
                  <w:pPr>
                    <w:adjustRightInd w:val="0"/>
                    <w:snapToGrid w:val="0"/>
                    <w:spacing w:line="240" w:lineRule="auto"/>
                    <w:ind w:firstLine="0" w:firstLineChars="0"/>
                    <w:jc w:val="left"/>
                    <w:rPr>
                      <w:color w:val="auto"/>
                      <w:highlight w:val="none"/>
                    </w:rPr>
                  </w:pPr>
                </w:p>
              </w:tc>
              <w:tc>
                <w:tcPr>
                  <w:tcW w:w="419" w:type="dxa"/>
                  <w:vMerge w:val="continue"/>
                  <w:noWrap w:val="0"/>
                  <w:vAlign w:val="center"/>
                </w:tcPr>
                <w:p w14:paraId="6F5095EE">
                  <w:pPr>
                    <w:adjustRightInd w:val="0"/>
                    <w:snapToGrid w:val="0"/>
                    <w:spacing w:line="240" w:lineRule="auto"/>
                    <w:ind w:firstLine="0" w:firstLineChars="0"/>
                    <w:jc w:val="left"/>
                    <w:rPr>
                      <w:color w:val="auto"/>
                      <w:highlight w:val="none"/>
                    </w:rPr>
                  </w:pPr>
                </w:p>
              </w:tc>
              <w:tc>
                <w:tcPr>
                  <w:tcW w:w="3891" w:type="dxa"/>
                  <w:noWrap w:val="0"/>
                  <w:vAlign w:val="center"/>
                </w:tcPr>
                <w:p w14:paraId="737628E1">
                  <w:pPr>
                    <w:adjustRightInd w:val="0"/>
                    <w:snapToGrid w:val="0"/>
                    <w:spacing w:line="240" w:lineRule="auto"/>
                    <w:ind w:firstLine="0" w:firstLineChars="0"/>
                    <w:jc w:val="left"/>
                    <w:rPr>
                      <w:rFonts w:hint="eastAsia"/>
                      <w:iCs/>
                      <w:color w:val="auto"/>
                      <w:kern w:val="0"/>
                      <w:sz w:val="21"/>
                      <w:szCs w:val="21"/>
                      <w:highlight w:val="none"/>
                    </w:rPr>
                  </w:pPr>
                  <w:r>
                    <w:rPr>
                      <w:rFonts w:hint="eastAsia"/>
                      <w:iCs/>
                      <w:color w:val="auto"/>
                      <w:kern w:val="0"/>
                      <w:sz w:val="21"/>
                      <w:szCs w:val="21"/>
                      <w:highlight w:val="none"/>
                    </w:rPr>
                    <w:t>2.新、改、扩建涉VOCs排放项目污染物排放量应满足《福州市“十四五”空气质量持续改善计划》（榕环保综〔2023〕40号），应从源头加强控制，使用低（无）VOCs含量的原辅材料。</w:t>
                  </w:r>
                </w:p>
              </w:tc>
              <w:tc>
                <w:tcPr>
                  <w:tcW w:w="1410" w:type="dxa"/>
                  <w:noWrap w:val="0"/>
                  <w:vAlign w:val="center"/>
                </w:tcPr>
                <w:p w14:paraId="7B40C8DE">
                  <w:pPr>
                    <w:adjustRightInd w:val="0"/>
                    <w:snapToGrid w:val="0"/>
                    <w:spacing w:line="240" w:lineRule="auto"/>
                    <w:ind w:firstLine="0" w:firstLineChars="0"/>
                    <w:jc w:val="left"/>
                    <w:rPr>
                      <w:rFonts w:hint="eastAsia" w:eastAsia="宋体"/>
                      <w:iCs/>
                      <w:color w:val="auto"/>
                      <w:kern w:val="0"/>
                      <w:sz w:val="21"/>
                      <w:szCs w:val="21"/>
                      <w:highlight w:val="none"/>
                      <w:lang w:val="en-US" w:eastAsia="zh-CN"/>
                    </w:rPr>
                  </w:pPr>
                  <w:r>
                    <w:rPr>
                      <w:rFonts w:hint="eastAsia"/>
                      <w:iCs/>
                      <w:color w:val="auto"/>
                      <w:kern w:val="0"/>
                      <w:sz w:val="21"/>
                      <w:szCs w:val="21"/>
                      <w:highlight w:val="none"/>
                    </w:rPr>
                    <w:t>本项目VOCs排放量</w:t>
                  </w:r>
                  <w:r>
                    <w:rPr>
                      <w:rFonts w:hint="eastAsia"/>
                      <w:iCs/>
                      <w:color w:val="auto"/>
                      <w:kern w:val="0"/>
                      <w:sz w:val="21"/>
                      <w:szCs w:val="21"/>
                      <w:highlight w:val="none"/>
                      <w:lang w:val="en-US" w:eastAsia="zh-CN"/>
                    </w:rPr>
                    <w:t>较少，能</w:t>
                  </w:r>
                  <w:r>
                    <w:rPr>
                      <w:rFonts w:hint="eastAsia"/>
                      <w:iCs/>
                      <w:color w:val="auto"/>
                      <w:kern w:val="0"/>
                      <w:sz w:val="21"/>
                      <w:szCs w:val="21"/>
                      <w:highlight w:val="none"/>
                    </w:rPr>
                    <w:t>满足《福州市“十四五”空气质量持续改善计划》（榕环保综〔2023〕40号）</w:t>
                  </w:r>
                  <w:r>
                    <w:rPr>
                      <w:rFonts w:hint="eastAsia"/>
                      <w:iCs/>
                      <w:color w:val="auto"/>
                      <w:kern w:val="0"/>
                      <w:sz w:val="21"/>
                      <w:szCs w:val="21"/>
                      <w:highlight w:val="none"/>
                      <w:lang w:val="en-US" w:eastAsia="zh-CN"/>
                    </w:rPr>
                    <w:t>要求</w:t>
                  </w:r>
                </w:p>
              </w:tc>
              <w:tc>
                <w:tcPr>
                  <w:tcW w:w="478" w:type="dxa"/>
                  <w:noWrap w:val="0"/>
                  <w:vAlign w:val="center"/>
                </w:tcPr>
                <w:p w14:paraId="421A315C">
                  <w:pPr>
                    <w:adjustRightInd w:val="0"/>
                    <w:snapToGrid w:val="0"/>
                    <w:spacing w:line="240" w:lineRule="auto"/>
                    <w:ind w:firstLine="0" w:firstLineChars="0"/>
                    <w:jc w:val="left"/>
                    <w:rPr>
                      <w:rFonts w:hint="eastAsia"/>
                      <w:iCs/>
                      <w:color w:val="auto"/>
                      <w:kern w:val="0"/>
                      <w:sz w:val="21"/>
                      <w:szCs w:val="21"/>
                      <w:highlight w:val="none"/>
                    </w:rPr>
                  </w:pPr>
                  <w:r>
                    <w:rPr>
                      <w:rFonts w:hint="eastAsia"/>
                      <w:iCs/>
                      <w:color w:val="auto"/>
                      <w:kern w:val="0"/>
                      <w:sz w:val="21"/>
                      <w:szCs w:val="21"/>
                      <w:highlight w:val="none"/>
                    </w:rPr>
                    <w:t>符合</w:t>
                  </w:r>
                </w:p>
              </w:tc>
            </w:tr>
            <w:tr w14:paraId="7B18325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2" w:hRule="atLeast"/>
              </w:trPr>
              <w:tc>
                <w:tcPr>
                  <w:tcW w:w="735" w:type="dxa"/>
                  <w:vMerge w:val="continue"/>
                  <w:noWrap w:val="0"/>
                  <w:vAlign w:val="center"/>
                </w:tcPr>
                <w:p w14:paraId="5FC3445E">
                  <w:pPr>
                    <w:adjustRightInd w:val="0"/>
                    <w:snapToGrid w:val="0"/>
                    <w:spacing w:line="240" w:lineRule="auto"/>
                    <w:ind w:firstLine="0" w:firstLineChars="0"/>
                    <w:jc w:val="left"/>
                    <w:rPr>
                      <w:rFonts w:hint="eastAsia"/>
                      <w:iCs/>
                      <w:color w:val="auto"/>
                      <w:kern w:val="0"/>
                      <w:sz w:val="21"/>
                      <w:szCs w:val="21"/>
                      <w:highlight w:val="none"/>
                    </w:rPr>
                  </w:pPr>
                </w:p>
              </w:tc>
              <w:tc>
                <w:tcPr>
                  <w:tcW w:w="419" w:type="dxa"/>
                  <w:vMerge w:val="continue"/>
                  <w:noWrap w:val="0"/>
                  <w:vAlign w:val="center"/>
                </w:tcPr>
                <w:p w14:paraId="16D19B59">
                  <w:pPr>
                    <w:adjustRightInd w:val="0"/>
                    <w:snapToGrid w:val="0"/>
                    <w:spacing w:line="240" w:lineRule="auto"/>
                    <w:ind w:firstLine="0" w:firstLineChars="0"/>
                    <w:jc w:val="left"/>
                    <w:rPr>
                      <w:rFonts w:hint="eastAsia"/>
                      <w:iCs/>
                      <w:color w:val="auto"/>
                      <w:kern w:val="0"/>
                      <w:sz w:val="21"/>
                      <w:szCs w:val="21"/>
                      <w:highlight w:val="none"/>
                    </w:rPr>
                  </w:pPr>
                </w:p>
              </w:tc>
              <w:tc>
                <w:tcPr>
                  <w:tcW w:w="3891" w:type="dxa"/>
                  <w:noWrap w:val="0"/>
                  <w:vAlign w:val="center"/>
                </w:tcPr>
                <w:p w14:paraId="57F874BE">
                  <w:pPr>
                    <w:adjustRightInd w:val="0"/>
                    <w:snapToGrid w:val="0"/>
                    <w:spacing w:line="240" w:lineRule="auto"/>
                    <w:ind w:firstLine="0" w:firstLineChars="0"/>
                    <w:jc w:val="left"/>
                    <w:rPr>
                      <w:rFonts w:hint="eastAsia"/>
                      <w:iCs/>
                      <w:color w:val="auto"/>
                      <w:kern w:val="0"/>
                      <w:sz w:val="21"/>
                      <w:szCs w:val="21"/>
                      <w:highlight w:val="none"/>
                    </w:rPr>
                  </w:pPr>
                  <w:r>
                    <w:rPr>
                      <w:rFonts w:hint="eastAsia"/>
                      <w:iCs/>
                      <w:color w:val="auto"/>
                      <w:kern w:val="0"/>
                      <w:sz w:val="21"/>
                      <w:szCs w:val="21"/>
                      <w:highlight w:val="none"/>
                    </w:rPr>
                    <w:t>3.严格控制新建、改建、扩建钢铁、水泥、平板玻璃、有色金属冶炼、化工等工业项目。新改扩建钢铁、火电项目应执行超低排放限值，有色项目应当执行大气污染物特别排放限值。重点控制区新建化工、石化应当执行大气污染物特别排放限值。</w:t>
                  </w:r>
                </w:p>
              </w:tc>
              <w:tc>
                <w:tcPr>
                  <w:tcW w:w="1410" w:type="dxa"/>
                  <w:noWrap w:val="0"/>
                  <w:vAlign w:val="center"/>
                </w:tcPr>
                <w:p w14:paraId="1127C82D">
                  <w:pPr>
                    <w:adjustRightInd w:val="0"/>
                    <w:snapToGrid w:val="0"/>
                    <w:spacing w:line="240" w:lineRule="auto"/>
                    <w:ind w:firstLine="0" w:firstLineChars="0"/>
                    <w:jc w:val="left"/>
                    <w:rPr>
                      <w:iCs/>
                      <w:color w:val="auto"/>
                      <w:kern w:val="0"/>
                      <w:sz w:val="21"/>
                      <w:szCs w:val="21"/>
                      <w:highlight w:val="none"/>
                    </w:rPr>
                  </w:pPr>
                  <w:r>
                    <w:rPr>
                      <w:rFonts w:hint="eastAsia"/>
                      <w:iCs/>
                      <w:color w:val="auto"/>
                      <w:kern w:val="0"/>
                      <w:sz w:val="21"/>
                      <w:szCs w:val="21"/>
                      <w:highlight w:val="none"/>
                    </w:rPr>
                    <w:t>本项目不属于钢铁、水泥、平板玻璃、有色金属冶炼、化工等工业项目</w:t>
                  </w:r>
                </w:p>
              </w:tc>
              <w:tc>
                <w:tcPr>
                  <w:tcW w:w="478" w:type="dxa"/>
                  <w:noWrap w:val="0"/>
                  <w:vAlign w:val="center"/>
                </w:tcPr>
                <w:p w14:paraId="1BBFF9E9">
                  <w:pPr>
                    <w:adjustRightInd w:val="0"/>
                    <w:snapToGrid w:val="0"/>
                    <w:spacing w:line="240" w:lineRule="auto"/>
                    <w:ind w:firstLine="0" w:firstLineChars="0"/>
                    <w:jc w:val="center"/>
                    <w:rPr>
                      <w:iCs/>
                      <w:color w:val="auto"/>
                      <w:kern w:val="0"/>
                      <w:sz w:val="21"/>
                      <w:szCs w:val="21"/>
                      <w:highlight w:val="none"/>
                    </w:rPr>
                  </w:pPr>
                  <w:r>
                    <w:rPr>
                      <w:rFonts w:hint="eastAsia"/>
                      <w:iCs/>
                      <w:color w:val="auto"/>
                      <w:kern w:val="0"/>
                      <w:sz w:val="21"/>
                      <w:szCs w:val="21"/>
                      <w:highlight w:val="none"/>
                    </w:rPr>
                    <w:t>符合</w:t>
                  </w:r>
                </w:p>
              </w:tc>
            </w:tr>
            <w:tr w14:paraId="51CE8F7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7" w:hRule="atLeast"/>
              </w:trPr>
              <w:tc>
                <w:tcPr>
                  <w:tcW w:w="735" w:type="dxa"/>
                  <w:vMerge w:val="continue"/>
                  <w:noWrap w:val="0"/>
                  <w:vAlign w:val="center"/>
                </w:tcPr>
                <w:p w14:paraId="7407366F">
                  <w:pPr>
                    <w:adjustRightInd w:val="0"/>
                    <w:snapToGrid w:val="0"/>
                    <w:spacing w:line="240" w:lineRule="auto"/>
                    <w:ind w:firstLine="0" w:firstLineChars="0"/>
                    <w:jc w:val="left"/>
                    <w:rPr>
                      <w:rFonts w:hint="eastAsia"/>
                      <w:iCs/>
                      <w:color w:val="auto"/>
                      <w:kern w:val="0"/>
                      <w:sz w:val="21"/>
                      <w:szCs w:val="21"/>
                      <w:highlight w:val="none"/>
                    </w:rPr>
                  </w:pPr>
                </w:p>
              </w:tc>
              <w:tc>
                <w:tcPr>
                  <w:tcW w:w="419" w:type="dxa"/>
                  <w:vMerge w:val="continue"/>
                  <w:noWrap w:val="0"/>
                  <w:vAlign w:val="center"/>
                </w:tcPr>
                <w:p w14:paraId="27CC34C8">
                  <w:pPr>
                    <w:adjustRightInd w:val="0"/>
                    <w:snapToGrid w:val="0"/>
                    <w:spacing w:line="240" w:lineRule="auto"/>
                    <w:ind w:firstLine="0" w:firstLineChars="0"/>
                    <w:jc w:val="left"/>
                    <w:rPr>
                      <w:rFonts w:hint="eastAsia"/>
                      <w:iCs/>
                      <w:color w:val="auto"/>
                      <w:kern w:val="0"/>
                      <w:sz w:val="21"/>
                      <w:szCs w:val="21"/>
                      <w:highlight w:val="none"/>
                    </w:rPr>
                  </w:pPr>
                </w:p>
              </w:tc>
              <w:tc>
                <w:tcPr>
                  <w:tcW w:w="3891" w:type="dxa"/>
                  <w:noWrap w:val="0"/>
                  <w:vAlign w:val="center"/>
                </w:tcPr>
                <w:p w14:paraId="602CA39C">
                  <w:pPr>
                    <w:adjustRightInd w:val="0"/>
                    <w:snapToGrid w:val="0"/>
                    <w:spacing w:line="240" w:lineRule="auto"/>
                    <w:ind w:firstLine="0" w:firstLineChars="0"/>
                    <w:jc w:val="left"/>
                    <w:rPr>
                      <w:rFonts w:hint="eastAsia"/>
                      <w:iCs/>
                      <w:color w:val="auto"/>
                      <w:kern w:val="0"/>
                      <w:sz w:val="21"/>
                      <w:szCs w:val="21"/>
                      <w:highlight w:val="none"/>
                    </w:rPr>
                  </w:pPr>
                  <w:r>
                    <w:rPr>
                      <w:rFonts w:hint="eastAsia"/>
                      <w:iCs/>
                      <w:color w:val="auto"/>
                      <w:kern w:val="0"/>
                      <w:sz w:val="21"/>
                      <w:szCs w:val="21"/>
                      <w:highlight w:val="none"/>
                    </w:rPr>
                    <w:t>4.氟化工、印染、电镀等行业企业实行水污染物特别排放限值。</w:t>
                  </w:r>
                </w:p>
              </w:tc>
              <w:tc>
                <w:tcPr>
                  <w:tcW w:w="1410" w:type="dxa"/>
                  <w:noWrap w:val="0"/>
                  <w:vAlign w:val="center"/>
                </w:tcPr>
                <w:p w14:paraId="09D86316">
                  <w:pPr>
                    <w:adjustRightInd w:val="0"/>
                    <w:snapToGrid w:val="0"/>
                    <w:spacing w:line="240" w:lineRule="auto"/>
                    <w:ind w:firstLine="0" w:firstLineChars="0"/>
                    <w:jc w:val="left"/>
                    <w:rPr>
                      <w:rFonts w:hint="eastAsia" w:ascii="Times New Roman" w:hAnsi="Times New Roman" w:eastAsia="宋体" w:cs="Times New Roman"/>
                      <w:iCs/>
                      <w:color w:val="auto"/>
                      <w:kern w:val="0"/>
                      <w:sz w:val="21"/>
                      <w:szCs w:val="21"/>
                      <w:highlight w:val="none"/>
                      <w:lang w:val="en-US" w:eastAsia="zh-CN"/>
                    </w:rPr>
                  </w:pPr>
                  <w:r>
                    <w:rPr>
                      <w:rFonts w:hint="eastAsia" w:ascii="Times New Roman" w:hAnsi="Times New Roman" w:eastAsia="宋体" w:cs="Times New Roman"/>
                      <w:iCs/>
                      <w:color w:val="auto"/>
                      <w:kern w:val="0"/>
                      <w:sz w:val="21"/>
                      <w:szCs w:val="21"/>
                      <w:highlight w:val="none"/>
                      <w:lang w:val="en-US" w:eastAsia="zh-CN"/>
                    </w:rPr>
                    <w:t>本项目不属于氟化工、印染、电镀等行业</w:t>
                  </w:r>
                </w:p>
              </w:tc>
              <w:tc>
                <w:tcPr>
                  <w:tcW w:w="478" w:type="dxa"/>
                  <w:noWrap w:val="0"/>
                  <w:vAlign w:val="center"/>
                </w:tcPr>
                <w:p w14:paraId="42A34632">
                  <w:pPr>
                    <w:adjustRightInd w:val="0"/>
                    <w:snapToGrid w:val="0"/>
                    <w:spacing w:line="240" w:lineRule="auto"/>
                    <w:ind w:firstLine="0" w:firstLineChars="0"/>
                    <w:jc w:val="left"/>
                    <w:rPr>
                      <w:rFonts w:hint="eastAsia"/>
                      <w:iCs/>
                      <w:color w:val="auto"/>
                      <w:kern w:val="0"/>
                      <w:sz w:val="21"/>
                      <w:szCs w:val="21"/>
                      <w:highlight w:val="none"/>
                    </w:rPr>
                  </w:pPr>
                  <w:r>
                    <w:rPr>
                      <w:rFonts w:hint="eastAsia"/>
                      <w:iCs/>
                      <w:color w:val="auto"/>
                      <w:kern w:val="0"/>
                      <w:sz w:val="21"/>
                      <w:szCs w:val="21"/>
                      <w:highlight w:val="none"/>
                    </w:rPr>
                    <w:t>符合</w:t>
                  </w:r>
                </w:p>
              </w:tc>
            </w:tr>
            <w:tr w14:paraId="6249E74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2" w:hRule="atLeast"/>
              </w:trPr>
              <w:tc>
                <w:tcPr>
                  <w:tcW w:w="735" w:type="dxa"/>
                  <w:vMerge w:val="continue"/>
                  <w:noWrap w:val="0"/>
                  <w:vAlign w:val="center"/>
                </w:tcPr>
                <w:p w14:paraId="7EE3C69A">
                  <w:pPr>
                    <w:adjustRightInd w:val="0"/>
                    <w:snapToGrid w:val="0"/>
                    <w:spacing w:line="240" w:lineRule="auto"/>
                    <w:ind w:firstLine="0" w:firstLineChars="0"/>
                    <w:jc w:val="left"/>
                    <w:rPr>
                      <w:rFonts w:hint="eastAsia"/>
                      <w:iCs/>
                      <w:color w:val="auto"/>
                      <w:kern w:val="0"/>
                      <w:sz w:val="21"/>
                      <w:szCs w:val="21"/>
                      <w:highlight w:val="none"/>
                    </w:rPr>
                  </w:pPr>
                </w:p>
              </w:tc>
              <w:tc>
                <w:tcPr>
                  <w:tcW w:w="419" w:type="dxa"/>
                  <w:vMerge w:val="continue"/>
                  <w:noWrap w:val="0"/>
                  <w:vAlign w:val="center"/>
                </w:tcPr>
                <w:p w14:paraId="05E09244">
                  <w:pPr>
                    <w:adjustRightInd w:val="0"/>
                    <w:snapToGrid w:val="0"/>
                    <w:spacing w:line="240" w:lineRule="auto"/>
                    <w:ind w:firstLine="0" w:firstLineChars="0"/>
                    <w:jc w:val="left"/>
                    <w:rPr>
                      <w:rFonts w:hint="eastAsia"/>
                      <w:iCs/>
                      <w:color w:val="auto"/>
                      <w:kern w:val="0"/>
                      <w:sz w:val="21"/>
                      <w:szCs w:val="21"/>
                      <w:highlight w:val="none"/>
                    </w:rPr>
                  </w:pPr>
                </w:p>
              </w:tc>
              <w:tc>
                <w:tcPr>
                  <w:tcW w:w="3891" w:type="dxa"/>
                  <w:noWrap w:val="0"/>
                  <w:vAlign w:val="center"/>
                </w:tcPr>
                <w:p w14:paraId="0DF2AA28">
                  <w:pPr>
                    <w:adjustRightInd w:val="0"/>
                    <w:snapToGrid w:val="0"/>
                    <w:spacing w:line="240" w:lineRule="auto"/>
                    <w:ind w:firstLine="0" w:firstLineChars="0"/>
                    <w:jc w:val="left"/>
                    <w:rPr>
                      <w:rFonts w:hint="eastAsia"/>
                      <w:iCs/>
                      <w:color w:val="auto"/>
                      <w:kern w:val="0"/>
                      <w:sz w:val="21"/>
                      <w:szCs w:val="21"/>
                      <w:highlight w:val="none"/>
                    </w:rPr>
                  </w:pPr>
                  <w:r>
                    <w:rPr>
                      <w:rFonts w:hint="eastAsia"/>
                      <w:iCs/>
                      <w:color w:val="auto"/>
                      <w:kern w:val="0"/>
                      <w:sz w:val="21"/>
                      <w:szCs w:val="21"/>
                      <w:highlight w:val="none"/>
                    </w:rPr>
                    <w:t>5.新、改、扩建重点行业建设项目要遵循重点重金属污染物排放“等量替代”原则，总量来源原则上应是同一重点行业内的削减量，当同一重点行业无法满足时可从其他重点行业调剂。</w:t>
                  </w:r>
                </w:p>
              </w:tc>
              <w:tc>
                <w:tcPr>
                  <w:tcW w:w="1410" w:type="dxa"/>
                  <w:noWrap w:val="0"/>
                  <w:vAlign w:val="center"/>
                </w:tcPr>
                <w:p w14:paraId="31912E70">
                  <w:pPr>
                    <w:adjustRightInd w:val="0"/>
                    <w:snapToGrid w:val="0"/>
                    <w:spacing w:line="240" w:lineRule="auto"/>
                    <w:ind w:firstLine="0" w:firstLineChars="0"/>
                    <w:jc w:val="left"/>
                    <w:rPr>
                      <w:rFonts w:hint="default" w:ascii="Times New Roman" w:hAnsi="Times New Roman" w:eastAsia="宋体" w:cs="Times New Roman"/>
                      <w:iCs/>
                      <w:color w:val="auto"/>
                      <w:kern w:val="0"/>
                      <w:sz w:val="21"/>
                      <w:szCs w:val="21"/>
                      <w:highlight w:val="none"/>
                      <w:lang w:val="en-US" w:eastAsia="zh-CN"/>
                    </w:rPr>
                  </w:pPr>
                  <w:r>
                    <w:rPr>
                      <w:rFonts w:hint="eastAsia" w:ascii="Times New Roman" w:hAnsi="Times New Roman" w:eastAsia="宋体" w:cs="Times New Roman"/>
                      <w:iCs/>
                      <w:color w:val="auto"/>
                      <w:kern w:val="0"/>
                      <w:sz w:val="21"/>
                      <w:szCs w:val="21"/>
                      <w:highlight w:val="none"/>
                      <w:lang w:val="en-US" w:eastAsia="zh-CN"/>
                    </w:rPr>
                    <w:t>本项目不涉及重金属排放</w:t>
                  </w:r>
                </w:p>
              </w:tc>
              <w:tc>
                <w:tcPr>
                  <w:tcW w:w="478" w:type="dxa"/>
                  <w:noWrap w:val="0"/>
                  <w:vAlign w:val="center"/>
                </w:tcPr>
                <w:p w14:paraId="742788CE">
                  <w:pPr>
                    <w:adjustRightInd w:val="0"/>
                    <w:snapToGrid w:val="0"/>
                    <w:spacing w:line="240" w:lineRule="auto"/>
                    <w:ind w:firstLine="0" w:firstLineChars="0"/>
                    <w:jc w:val="center"/>
                    <w:rPr>
                      <w:rFonts w:hint="eastAsia"/>
                      <w:iCs/>
                      <w:color w:val="auto"/>
                      <w:kern w:val="0"/>
                      <w:sz w:val="21"/>
                      <w:szCs w:val="21"/>
                      <w:highlight w:val="none"/>
                    </w:rPr>
                  </w:pPr>
                  <w:r>
                    <w:rPr>
                      <w:rFonts w:hint="eastAsia"/>
                      <w:iCs/>
                      <w:color w:val="auto"/>
                      <w:kern w:val="0"/>
                      <w:sz w:val="21"/>
                      <w:szCs w:val="21"/>
                      <w:highlight w:val="none"/>
                    </w:rPr>
                    <w:t>符合</w:t>
                  </w:r>
                </w:p>
              </w:tc>
            </w:tr>
            <w:tr w14:paraId="425549A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2" w:hRule="atLeast"/>
              </w:trPr>
              <w:tc>
                <w:tcPr>
                  <w:tcW w:w="735" w:type="dxa"/>
                  <w:vMerge w:val="continue"/>
                  <w:noWrap w:val="0"/>
                  <w:vAlign w:val="center"/>
                </w:tcPr>
                <w:p w14:paraId="4BAC47A7">
                  <w:pPr>
                    <w:adjustRightInd w:val="0"/>
                    <w:snapToGrid w:val="0"/>
                    <w:spacing w:line="240" w:lineRule="auto"/>
                    <w:ind w:firstLine="0" w:firstLineChars="0"/>
                    <w:jc w:val="left"/>
                    <w:rPr>
                      <w:rFonts w:hint="eastAsia"/>
                      <w:iCs/>
                      <w:color w:val="auto"/>
                      <w:kern w:val="0"/>
                      <w:sz w:val="21"/>
                      <w:szCs w:val="21"/>
                      <w:highlight w:val="none"/>
                    </w:rPr>
                  </w:pPr>
                </w:p>
              </w:tc>
              <w:tc>
                <w:tcPr>
                  <w:tcW w:w="419" w:type="dxa"/>
                  <w:vMerge w:val="continue"/>
                  <w:noWrap w:val="0"/>
                  <w:vAlign w:val="center"/>
                </w:tcPr>
                <w:p w14:paraId="441A8B72">
                  <w:pPr>
                    <w:adjustRightInd w:val="0"/>
                    <w:snapToGrid w:val="0"/>
                    <w:spacing w:line="240" w:lineRule="auto"/>
                    <w:ind w:firstLine="0" w:firstLineChars="0"/>
                    <w:jc w:val="left"/>
                    <w:rPr>
                      <w:rFonts w:hint="eastAsia"/>
                      <w:iCs/>
                      <w:color w:val="auto"/>
                      <w:kern w:val="0"/>
                      <w:sz w:val="21"/>
                      <w:szCs w:val="21"/>
                      <w:highlight w:val="none"/>
                    </w:rPr>
                  </w:pPr>
                </w:p>
              </w:tc>
              <w:tc>
                <w:tcPr>
                  <w:tcW w:w="3891" w:type="dxa"/>
                  <w:noWrap w:val="0"/>
                  <w:vAlign w:val="center"/>
                </w:tcPr>
                <w:p w14:paraId="1F209ED8">
                  <w:pPr>
                    <w:adjustRightInd w:val="0"/>
                    <w:snapToGrid w:val="0"/>
                    <w:spacing w:line="240" w:lineRule="auto"/>
                    <w:ind w:firstLine="0" w:firstLineChars="0"/>
                    <w:jc w:val="left"/>
                    <w:rPr>
                      <w:rFonts w:hint="eastAsia"/>
                      <w:iCs/>
                      <w:color w:val="auto"/>
                      <w:kern w:val="0"/>
                      <w:sz w:val="21"/>
                      <w:szCs w:val="21"/>
                      <w:highlight w:val="none"/>
                    </w:rPr>
                  </w:pPr>
                  <w:r>
                    <w:rPr>
                      <w:rFonts w:hint="eastAsia"/>
                      <w:iCs/>
                      <w:color w:val="auto"/>
                      <w:kern w:val="0"/>
                      <w:sz w:val="21"/>
                      <w:szCs w:val="21"/>
                      <w:highlight w:val="none"/>
                    </w:rPr>
                    <w:t>6.每小时35（含）—65蒸吨燃煤锅炉和位于县级及以上城市建成区内保留的燃煤、燃油、燃生物质锅炉，原则上2024年底前必须全面实现超低排放。</w:t>
                  </w:r>
                </w:p>
              </w:tc>
              <w:tc>
                <w:tcPr>
                  <w:tcW w:w="1410" w:type="dxa"/>
                  <w:noWrap w:val="0"/>
                  <w:vAlign w:val="center"/>
                </w:tcPr>
                <w:p w14:paraId="2D062060">
                  <w:pPr>
                    <w:adjustRightInd w:val="0"/>
                    <w:snapToGrid w:val="0"/>
                    <w:spacing w:line="240" w:lineRule="auto"/>
                    <w:ind w:firstLine="0" w:firstLineChars="0"/>
                    <w:jc w:val="left"/>
                    <w:rPr>
                      <w:iCs/>
                      <w:color w:val="auto"/>
                      <w:kern w:val="0"/>
                      <w:sz w:val="21"/>
                      <w:szCs w:val="21"/>
                      <w:highlight w:val="none"/>
                    </w:rPr>
                  </w:pPr>
                  <w:r>
                    <w:rPr>
                      <w:rFonts w:hint="eastAsia"/>
                      <w:iCs/>
                      <w:color w:val="auto"/>
                      <w:kern w:val="0"/>
                      <w:sz w:val="21"/>
                      <w:szCs w:val="21"/>
                      <w:highlight w:val="none"/>
                    </w:rPr>
                    <w:t>本项目不涉及燃煤锅炉</w:t>
                  </w:r>
                </w:p>
              </w:tc>
              <w:tc>
                <w:tcPr>
                  <w:tcW w:w="478" w:type="dxa"/>
                  <w:noWrap w:val="0"/>
                  <w:vAlign w:val="center"/>
                </w:tcPr>
                <w:p w14:paraId="53964204">
                  <w:pPr>
                    <w:adjustRightInd w:val="0"/>
                    <w:snapToGrid w:val="0"/>
                    <w:spacing w:line="240" w:lineRule="auto"/>
                    <w:ind w:firstLine="0" w:firstLineChars="0"/>
                    <w:jc w:val="left"/>
                    <w:rPr>
                      <w:rFonts w:hint="eastAsia"/>
                      <w:iCs/>
                      <w:color w:val="auto"/>
                      <w:kern w:val="0"/>
                      <w:sz w:val="21"/>
                      <w:szCs w:val="21"/>
                      <w:highlight w:val="none"/>
                    </w:rPr>
                  </w:pPr>
                  <w:r>
                    <w:rPr>
                      <w:rFonts w:hint="eastAsia"/>
                      <w:iCs/>
                      <w:color w:val="auto"/>
                      <w:kern w:val="0"/>
                      <w:sz w:val="21"/>
                      <w:szCs w:val="21"/>
                      <w:highlight w:val="none"/>
                    </w:rPr>
                    <w:t>符合</w:t>
                  </w:r>
                </w:p>
              </w:tc>
            </w:tr>
            <w:tr w14:paraId="04A8D25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2" w:hRule="atLeast"/>
              </w:trPr>
              <w:tc>
                <w:tcPr>
                  <w:tcW w:w="735" w:type="dxa"/>
                  <w:vMerge w:val="continue"/>
                  <w:noWrap w:val="0"/>
                  <w:vAlign w:val="center"/>
                </w:tcPr>
                <w:p w14:paraId="38919689">
                  <w:pPr>
                    <w:adjustRightInd w:val="0"/>
                    <w:snapToGrid w:val="0"/>
                    <w:spacing w:line="240" w:lineRule="auto"/>
                    <w:ind w:firstLine="0" w:firstLineChars="0"/>
                    <w:jc w:val="left"/>
                    <w:rPr>
                      <w:rFonts w:hint="eastAsia"/>
                      <w:iCs/>
                      <w:color w:val="auto"/>
                      <w:kern w:val="0"/>
                      <w:sz w:val="21"/>
                      <w:szCs w:val="21"/>
                      <w:highlight w:val="none"/>
                    </w:rPr>
                  </w:pPr>
                </w:p>
              </w:tc>
              <w:tc>
                <w:tcPr>
                  <w:tcW w:w="419" w:type="dxa"/>
                  <w:vMerge w:val="continue"/>
                  <w:noWrap w:val="0"/>
                  <w:vAlign w:val="center"/>
                </w:tcPr>
                <w:p w14:paraId="611EE012">
                  <w:pPr>
                    <w:adjustRightInd w:val="0"/>
                    <w:snapToGrid w:val="0"/>
                    <w:spacing w:line="240" w:lineRule="auto"/>
                    <w:ind w:firstLine="0" w:firstLineChars="0"/>
                    <w:jc w:val="left"/>
                    <w:rPr>
                      <w:rFonts w:hint="eastAsia"/>
                      <w:iCs/>
                      <w:color w:val="auto"/>
                      <w:kern w:val="0"/>
                      <w:sz w:val="21"/>
                      <w:szCs w:val="21"/>
                      <w:highlight w:val="none"/>
                    </w:rPr>
                  </w:pPr>
                </w:p>
              </w:tc>
              <w:tc>
                <w:tcPr>
                  <w:tcW w:w="3891" w:type="dxa"/>
                  <w:noWrap w:val="0"/>
                  <w:vAlign w:val="center"/>
                </w:tcPr>
                <w:p w14:paraId="5124CE70">
                  <w:pPr>
                    <w:adjustRightInd w:val="0"/>
                    <w:snapToGrid w:val="0"/>
                    <w:spacing w:line="240" w:lineRule="auto"/>
                    <w:ind w:firstLine="0" w:firstLineChars="0"/>
                    <w:jc w:val="left"/>
                    <w:rPr>
                      <w:rFonts w:hint="eastAsia"/>
                      <w:iCs/>
                      <w:color w:val="auto"/>
                      <w:kern w:val="0"/>
                      <w:sz w:val="21"/>
                      <w:szCs w:val="21"/>
                      <w:highlight w:val="none"/>
                    </w:rPr>
                  </w:pPr>
                  <w:r>
                    <w:rPr>
                      <w:rFonts w:hint="eastAsia"/>
                      <w:iCs/>
                      <w:color w:val="auto"/>
                      <w:kern w:val="0"/>
                      <w:sz w:val="21"/>
                      <w:szCs w:val="21"/>
                      <w:highlight w:val="none"/>
                    </w:rPr>
                    <w:t>7.水泥行业新改扩建项目严格对照超低排放、能效标杆水平建设实施；现有项目超低排放改造应按文件（闽环规〔2023〕2号）的时限要求分步推进，2025年底前全面完成。</w:t>
                  </w:r>
                </w:p>
              </w:tc>
              <w:tc>
                <w:tcPr>
                  <w:tcW w:w="1410" w:type="dxa"/>
                  <w:noWrap w:val="0"/>
                  <w:vAlign w:val="center"/>
                </w:tcPr>
                <w:p w14:paraId="3B409771">
                  <w:pPr>
                    <w:adjustRightInd w:val="0"/>
                    <w:snapToGrid w:val="0"/>
                    <w:spacing w:line="240" w:lineRule="auto"/>
                    <w:ind w:firstLine="0" w:firstLineChars="0"/>
                    <w:jc w:val="left"/>
                    <w:rPr>
                      <w:iCs/>
                      <w:color w:val="auto"/>
                      <w:kern w:val="0"/>
                      <w:sz w:val="21"/>
                      <w:szCs w:val="21"/>
                      <w:highlight w:val="none"/>
                    </w:rPr>
                  </w:pPr>
                  <w:r>
                    <w:rPr>
                      <w:rFonts w:hint="eastAsia"/>
                      <w:iCs/>
                      <w:color w:val="auto"/>
                      <w:kern w:val="0"/>
                      <w:sz w:val="21"/>
                      <w:szCs w:val="21"/>
                      <w:highlight w:val="none"/>
                    </w:rPr>
                    <w:t>本项目不属于水泥行业</w:t>
                  </w:r>
                </w:p>
              </w:tc>
              <w:tc>
                <w:tcPr>
                  <w:tcW w:w="478" w:type="dxa"/>
                  <w:noWrap w:val="0"/>
                  <w:vAlign w:val="center"/>
                </w:tcPr>
                <w:p w14:paraId="75C601B8">
                  <w:pPr>
                    <w:adjustRightInd w:val="0"/>
                    <w:snapToGrid w:val="0"/>
                    <w:spacing w:line="240" w:lineRule="auto"/>
                    <w:ind w:firstLine="0" w:firstLineChars="0"/>
                    <w:jc w:val="center"/>
                    <w:rPr>
                      <w:rFonts w:hint="eastAsia"/>
                      <w:iCs/>
                      <w:color w:val="auto"/>
                      <w:kern w:val="0"/>
                      <w:sz w:val="21"/>
                      <w:szCs w:val="21"/>
                      <w:highlight w:val="none"/>
                    </w:rPr>
                  </w:pPr>
                  <w:r>
                    <w:rPr>
                      <w:rFonts w:hint="eastAsia"/>
                      <w:iCs/>
                      <w:color w:val="auto"/>
                      <w:kern w:val="0"/>
                      <w:sz w:val="21"/>
                      <w:szCs w:val="21"/>
                      <w:highlight w:val="none"/>
                    </w:rPr>
                    <w:t>符合</w:t>
                  </w:r>
                </w:p>
              </w:tc>
            </w:tr>
            <w:tr w14:paraId="64A15BA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2" w:hRule="atLeast"/>
              </w:trPr>
              <w:tc>
                <w:tcPr>
                  <w:tcW w:w="735" w:type="dxa"/>
                  <w:vMerge w:val="continue"/>
                  <w:noWrap w:val="0"/>
                  <w:vAlign w:val="center"/>
                </w:tcPr>
                <w:p w14:paraId="35F8CEED">
                  <w:pPr>
                    <w:adjustRightInd w:val="0"/>
                    <w:snapToGrid w:val="0"/>
                    <w:spacing w:line="240" w:lineRule="auto"/>
                    <w:ind w:firstLine="0" w:firstLineChars="0"/>
                    <w:jc w:val="left"/>
                    <w:rPr>
                      <w:rFonts w:hint="eastAsia"/>
                      <w:iCs/>
                      <w:color w:val="auto"/>
                      <w:kern w:val="0"/>
                      <w:sz w:val="21"/>
                      <w:szCs w:val="21"/>
                      <w:highlight w:val="none"/>
                    </w:rPr>
                  </w:pPr>
                </w:p>
              </w:tc>
              <w:tc>
                <w:tcPr>
                  <w:tcW w:w="419" w:type="dxa"/>
                  <w:vMerge w:val="continue"/>
                  <w:noWrap w:val="0"/>
                  <w:vAlign w:val="center"/>
                </w:tcPr>
                <w:p w14:paraId="02B51E83">
                  <w:pPr>
                    <w:adjustRightInd w:val="0"/>
                    <w:snapToGrid w:val="0"/>
                    <w:spacing w:line="240" w:lineRule="auto"/>
                    <w:ind w:firstLine="0" w:firstLineChars="0"/>
                    <w:jc w:val="left"/>
                    <w:rPr>
                      <w:rFonts w:hint="eastAsia"/>
                      <w:iCs/>
                      <w:color w:val="auto"/>
                      <w:kern w:val="0"/>
                      <w:sz w:val="21"/>
                      <w:szCs w:val="21"/>
                      <w:highlight w:val="none"/>
                    </w:rPr>
                  </w:pPr>
                </w:p>
              </w:tc>
              <w:tc>
                <w:tcPr>
                  <w:tcW w:w="3891" w:type="dxa"/>
                  <w:noWrap w:val="0"/>
                  <w:vAlign w:val="center"/>
                </w:tcPr>
                <w:p w14:paraId="5B9CC5FE">
                  <w:pPr>
                    <w:adjustRightInd w:val="0"/>
                    <w:snapToGrid w:val="0"/>
                    <w:spacing w:line="240" w:lineRule="auto"/>
                    <w:ind w:firstLine="0" w:firstLineChars="0"/>
                    <w:jc w:val="left"/>
                    <w:rPr>
                      <w:rFonts w:hint="eastAsia"/>
                      <w:iCs/>
                      <w:color w:val="auto"/>
                      <w:kern w:val="0"/>
                      <w:sz w:val="21"/>
                      <w:szCs w:val="21"/>
                      <w:highlight w:val="none"/>
                    </w:rPr>
                  </w:pPr>
                  <w:r>
                    <w:rPr>
                      <w:rFonts w:hint="eastAsia"/>
                      <w:iCs/>
                      <w:color w:val="auto"/>
                      <w:kern w:val="0"/>
                      <w:sz w:val="21"/>
                      <w:szCs w:val="21"/>
                      <w:highlight w:val="none"/>
                    </w:rPr>
                    <w:t>8.化工园区新建项目实施“禁限控”化学物质管控措施，项目在开展环境影响评价时应严格落实相关要求，严格涉新污染物建设项目源头防控和准入管理。以印染、皮革、农药、医药、涂料等行业为重点，推进有毒有害化学物质替代。严格落实废药品、废农药以及抗生素生产过程中产生的废母液、废反应基和废培养基等废物的收集利用处置要求。</w:t>
                  </w:r>
                </w:p>
              </w:tc>
              <w:tc>
                <w:tcPr>
                  <w:tcW w:w="1410" w:type="dxa"/>
                  <w:noWrap w:val="0"/>
                  <w:vAlign w:val="center"/>
                </w:tcPr>
                <w:p w14:paraId="5F54B68E">
                  <w:pPr>
                    <w:adjustRightInd w:val="0"/>
                    <w:snapToGrid w:val="0"/>
                    <w:spacing w:line="240" w:lineRule="auto"/>
                    <w:ind w:firstLine="0" w:firstLineChars="0"/>
                    <w:jc w:val="left"/>
                    <w:rPr>
                      <w:rFonts w:hint="eastAsia" w:ascii="Times New Roman" w:hAnsi="Times New Roman" w:eastAsia="宋体" w:cs="Times New Roman"/>
                      <w:iCs/>
                      <w:color w:val="auto"/>
                      <w:kern w:val="0"/>
                      <w:sz w:val="21"/>
                      <w:szCs w:val="21"/>
                      <w:highlight w:val="none"/>
                      <w:lang w:val="en-US" w:eastAsia="zh-CN"/>
                    </w:rPr>
                  </w:pPr>
                  <w:r>
                    <w:rPr>
                      <w:rFonts w:hint="eastAsia" w:ascii="Times New Roman" w:hAnsi="Times New Roman" w:eastAsia="宋体" w:cs="Times New Roman"/>
                      <w:iCs/>
                      <w:color w:val="auto"/>
                      <w:kern w:val="0"/>
                      <w:sz w:val="21"/>
                      <w:szCs w:val="21"/>
                      <w:highlight w:val="none"/>
                    </w:rPr>
                    <w:t>本项目</w:t>
                  </w:r>
                  <w:r>
                    <w:rPr>
                      <w:rFonts w:hint="eastAsia" w:ascii="Times New Roman" w:hAnsi="Times New Roman" w:eastAsia="宋体" w:cs="Times New Roman"/>
                      <w:iCs/>
                      <w:color w:val="auto"/>
                      <w:kern w:val="0"/>
                      <w:sz w:val="21"/>
                      <w:szCs w:val="21"/>
                      <w:highlight w:val="none"/>
                      <w:lang w:val="en-US" w:eastAsia="zh-CN"/>
                    </w:rPr>
                    <w:t>不属于化工项目</w:t>
                  </w:r>
                </w:p>
              </w:tc>
              <w:tc>
                <w:tcPr>
                  <w:tcW w:w="478" w:type="dxa"/>
                  <w:noWrap w:val="0"/>
                  <w:vAlign w:val="center"/>
                </w:tcPr>
                <w:p w14:paraId="34F31D99">
                  <w:pPr>
                    <w:adjustRightInd w:val="0"/>
                    <w:snapToGrid w:val="0"/>
                    <w:spacing w:line="240" w:lineRule="auto"/>
                    <w:ind w:firstLine="0" w:firstLineChars="0"/>
                    <w:jc w:val="left"/>
                    <w:rPr>
                      <w:rFonts w:hint="eastAsia"/>
                      <w:iCs/>
                      <w:color w:val="auto"/>
                      <w:kern w:val="0"/>
                      <w:sz w:val="21"/>
                      <w:szCs w:val="21"/>
                      <w:highlight w:val="none"/>
                    </w:rPr>
                  </w:pPr>
                  <w:r>
                    <w:rPr>
                      <w:rFonts w:hint="eastAsia"/>
                      <w:iCs/>
                      <w:color w:val="auto"/>
                      <w:kern w:val="0"/>
                      <w:sz w:val="21"/>
                      <w:szCs w:val="21"/>
                      <w:highlight w:val="none"/>
                    </w:rPr>
                    <w:t>符合</w:t>
                  </w:r>
                </w:p>
              </w:tc>
            </w:tr>
            <w:tr w14:paraId="6C335CC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2" w:hRule="atLeast"/>
              </w:trPr>
              <w:tc>
                <w:tcPr>
                  <w:tcW w:w="735" w:type="dxa"/>
                  <w:vMerge w:val="continue"/>
                  <w:noWrap w:val="0"/>
                  <w:vAlign w:val="center"/>
                </w:tcPr>
                <w:p w14:paraId="110B0237">
                  <w:pPr>
                    <w:adjustRightInd w:val="0"/>
                    <w:snapToGrid w:val="0"/>
                    <w:spacing w:line="240" w:lineRule="auto"/>
                    <w:ind w:firstLine="0" w:firstLineChars="0"/>
                    <w:jc w:val="left"/>
                    <w:rPr>
                      <w:rFonts w:hint="eastAsia"/>
                      <w:iCs/>
                      <w:color w:val="auto"/>
                      <w:kern w:val="0"/>
                      <w:sz w:val="21"/>
                      <w:szCs w:val="21"/>
                      <w:highlight w:val="none"/>
                    </w:rPr>
                  </w:pPr>
                </w:p>
              </w:tc>
              <w:tc>
                <w:tcPr>
                  <w:tcW w:w="419" w:type="dxa"/>
                  <w:vMerge w:val="restart"/>
                  <w:noWrap w:val="0"/>
                  <w:vAlign w:val="center"/>
                </w:tcPr>
                <w:p w14:paraId="724E97CE">
                  <w:pPr>
                    <w:adjustRightInd w:val="0"/>
                    <w:snapToGrid w:val="0"/>
                    <w:spacing w:line="240" w:lineRule="auto"/>
                    <w:ind w:firstLine="0" w:firstLineChars="0"/>
                    <w:jc w:val="center"/>
                    <w:rPr>
                      <w:rFonts w:hint="eastAsia"/>
                      <w:iCs/>
                      <w:color w:val="auto"/>
                      <w:kern w:val="0"/>
                      <w:sz w:val="21"/>
                      <w:szCs w:val="21"/>
                      <w:highlight w:val="none"/>
                    </w:rPr>
                  </w:pPr>
                  <w:r>
                    <w:rPr>
                      <w:rFonts w:hint="eastAsia"/>
                      <w:iCs/>
                      <w:color w:val="auto"/>
                      <w:kern w:val="0"/>
                      <w:sz w:val="21"/>
                      <w:szCs w:val="21"/>
                      <w:highlight w:val="none"/>
                    </w:rPr>
                    <w:t>资源开发效率要求</w:t>
                  </w:r>
                </w:p>
              </w:tc>
              <w:tc>
                <w:tcPr>
                  <w:tcW w:w="3891" w:type="dxa"/>
                  <w:noWrap w:val="0"/>
                  <w:vAlign w:val="center"/>
                </w:tcPr>
                <w:p w14:paraId="3AFE328B">
                  <w:pPr>
                    <w:adjustRightInd w:val="0"/>
                    <w:snapToGrid w:val="0"/>
                    <w:spacing w:line="240" w:lineRule="auto"/>
                    <w:ind w:firstLine="0" w:firstLineChars="0"/>
                    <w:jc w:val="left"/>
                    <w:rPr>
                      <w:rFonts w:hint="eastAsia"/>
                      <w:iCs/>
                      <w:color w:val="auto"/>
                      <w:kern w:val="0"/>
                      <w:sz w:val="21"/>
                      <w:szCs w:val="21"/>
                      <w:highlight w:val="none"/>
                    </w:rPr>
                  </w:pPr>
                  <w:r>
                    <w:rPr>
                      <w:rFonts w:hint="eastAsia"/>
                      <w:iCs/>
                      <w:color w:val="auto"/>
                      <w:kern w:val="0"/>
                      <w:sz w:val="21"/>
                      <w:szCs w:val="21"/>
                      <w:highlight w:val="none"/>
                    </w:rPr>
                    <w:t>1.到2024年底，全市范围内每小时10蒸吨及以下燃煤锅炉全面淘汰；到2025年底，全市范围内每小时35蒸吨以下燃煤锅炉通过集中供热、清洁能源替代、深度治理等方式全面实现转型、升级、退出，县级及以上城市建成区在用锅炉（燃煤、燃油、燃生物质）全面改用电能等清洁能源或治理达到超低排放水平；禁止新建每小时35蒸吨以下燃煤锅炉，以及每小时10蒸吨及以下燃生物质和其他使用高污染燃料的锅炉。集中供热管网覆盖范围内禁止新建、扩建分散燃煤、燃油等供热锅炉。</w:t>
                  </w:r>
                </w:p>
              </w:tc>
              <w:tc>
                <w:tcPr>
                  <w:tcW w:w="1410" w:type="dxa"/>
                  <w:vMerge w:val="restart"/>
                  <w:noWrap w:val="0"/>
                  <w:vAlign w:val="center"/>
                </w:tcPr>
                <w:p w14:paraId="46CF85FE">
                  <w:pPr>
                    <w:adjustRightInd w:val="0"/>
                    <w:snapToGrid w:val="0"/>
                    <w:spacing w:line="240" w:lineRule="auto"/>
                    <w:ind w:firstLine="0" w:firstLineChars="0"/>
                    <w:jc w:val="left"/>
                    <w:rPr>
                      <w:rFonts w:hint="eastAsia" w:ascii="Times New Roman" w:hAnsi="Times New Roman" w:eastAsia="宋体" w:cs="Times New Roman"/>
                      <w:iCs/>
                      <w:color w:val="auto"/>
                      <w:kern w:val="0"/>
                      <w:sz w:val="21"/>
                      <w:szCs w:val="21"/>
                      <w:highlight w:val="none"/>
                    </w:rPr>
                  </w:pPr>
                  <w:r>
                    <w:rPr>
                      <w:rFonts w:hint="eastAsia" w:ascii="Times New Roman" w:hAnsi="Times New Roman" w:eastAsia="宋体" w:cs="Times New Roman"/>
                      <w:iCs/>
                      <w:color w:val="auto"/>
                      <w:kern w:val="0"/>
                      <w:sz w:val="21"/>
                      <w:szCs w:val="21"/>
                      <w:highlight w:val="none"/>
                    </w:rPr>
                    <w:t>本项目不涉及燃煤锅炉的使用。</w:t>
                  </w:r>
                </w:p>
              </w:tc>
              <w:tc>
                <w:tcPr>
                  <w:tcW w:w="478" w:type="dxa"/>
                  <w:vMerge w:val="restart"/>
                  <w:noWrap w:val="0"/>
                  <w:vAlign w:val="center"/>
                </w:tcPr>
                <w:p w14:paraId="77FD8F56">
                  <w:pPr>
                    <w:adjustRightInd w:val="0"/>
                    <w:snapToGrid w:val="0"/>
                    <w:spacing w:line="240" w:lineRule="auto"/>
                    <w:ind w:firstLine="0" w:firstLineChars="0"/>
                    <w:jc w:val="left"/>
                    <w:rPr>
                      <w:rFonts w:hint="eastAsia"/>
                      <w:iCs/>
                      <w:color w:val="auto"/>
                      <w:kern w:val="0"/>
                      <w:sz w:val="21"/>
                      <w:szCs w:val="21"/>
                      <w:highlight w:val="none"/>
                    </w:rPr>
                  </w:pPr>
                  <w:r>
                    <w:rPr>
                      <w:rFonts w:hint="eastAsia"/>
                      <w:iCs/>
                      <w:color w:val="auto"/>
                      <w:kern w:val="0"/>
                      <w:sz w:val="21"/>
                      <w:szCs w:val="21"/>
                      <w:highlight w:val="none"/>
                    </w:rPr>
                    <w:t>符合</w:t>
                  </w:r>
                </w:p>
              </w:tc>
            </w:tr>
            <w:tr w14:paraId="387D369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2" w:hRule="atLeast"/>
              </w:trPr>
              <w:tc>
                <w:tcPr>
                  <w:tcW w:w="735" w:type="dxa"/>
                  <w:vMerge w:val="continue"/>
                  <w:noWrap w:val="0"/>
                  <w:vAlign w:val="center"/>
                </w:tcPr>
                <w:p w14:paraId="4C414170">
                  <w:pPr>
                    <w:adjustRightInd w:val="0"/>
                    <w:snapToGrid w:val="0"/>
                    <w:spacing w:line="240" w:lineRule="auto"/>
                    <w:ind w:firstLine="0" w:firstLineChars="0"/>
                    <w:jc w:val="left"/>
                    <w:rPr>
                      <w:rFonts w:hint="eastAsia"/>
                      <w:iCs/>
                      <w:color w:val="auto"/>
                      <w:kern w:val="0"/>
                      <w:sz w:val="21"/>
                      <w:szCs w:val="21"/>
                      <w:highlight w:val="none"/>
                    </w:rPr>
                  </w:pPr>
                </w:p>
              </w:tc>
              <w:tc>
                <w:tcPr>
                  <w:tcW w:w="419" w:type="dxa"/>
                  <w:vMerge w:val="continue"/>
                  <w:noWrap w:val="0"/>
                  <w:vAlign w:val="center"/>
                </w:tcPr>
                <w:p w14:paraId="25DFD3E6">
                  <w:pPr>
                    <w:adjustRightInd w:val="0"/>
                    <w:snapToGrid w:val="0"/>
                    <w:spacing w:line="240" w:lineRule="auto"/>
                    <w:ind w:firstLine="0" w:firstLineChars="0"/>
                    <w:jc w:val="center"/>
                    <w:rPr>
                      <w:rFonts w:hint="eastAsia"/>
                      <w:iCs/>
                      <w:color w:val="auto"/>
                      <w:kern w:val="0"/>
                      <w:sz w:val="21"/>
                      <w:szCs w:val="21"/>
                      <w:highlight w:val="none"/>
                    </w:rPr>
                  </w:pPr>
                </w:p>
              </w:tc>
              <w:tc>
                <w:tcPr>
                  <w:tcW w:w="3891" w:type="dxa"/>
                  <w:noWrap w:val="0"/>
                  <w:vAlign w:val="center"/>
                </w:tcPr>
                <w:p w14:paraId="05925314">
                  <w:pPr>
                    <w:adjustRightInd w:val="0"/>
                    <w:snapToGrid w:val="0"/>
                    <w:spacing w:line="240" w:lineRule="auto"/>
                    <w:ind w:firstLine="0" w:firstLineChars="0"/>
                    <w:jc w:val="left"/>
                    <w:rPr>
                      <w:rFonts w:hint="eastAsia"/>
                      <w:iCs/>
                      <w:color w:val="auto"/>
                      <w:kern w:val="0"/>
                      <w:sz w:val="21"/>
                      <w:szCs w:val="21"/>
                      <w:highlight w:val="none"/>
                    </w:rPr>
                  </w:pPr>
                  <w:r>
                    <w:rPr>
                      <w:rFonts w:hint="eastAsia"/>
                      <w:iCs/>
                      <w:color w:val="auto"/>
                      <w:kern w:val="0"/>
                      <w:sz w:val="21"/>
                      <w:szCs w:val="21"/>
                      <w:highlight w:val="none"/>
                    </w:rPr>
                    <w:t>2.按照“提气、转电、控煤”的发展思路，推动陶瓷行业进一步优化用能结构，实现能源消费清洁低碳化。</w:t>
                  </w:r>
                </w:p>
              </w:tc>
              <w:tc>
                <w:tcPr>
                  <w:tcW w:w="1410" w:type="dxa"/>
                  <w:vMerge w:val="continue"/>
                  <w:noWrap w:val="0"/>
                  <w:vAlign w:val="center"/>
                </w:tcPr>
                <w:p w14:paraId="0ADB6206">
                  <w:pPr>
                    <w:adjustRightInd w:val="0"/>
                    <w:snapToGrid w:val="0"/>
                    <w:spacing w:line="240" w:lineRule="auto"/>
                    <w:ind w:firstLine="0" w:firstLineChars="0"/>
                    <w:jc w:val="left"/>
                    <w:rPr>
                      <w:rFonts w:hint="eastAsia"/>
                      <w:iCs/>
                      <w:color w:val="auto"/>
                      <w:kern w:val="0"/>
                      <w:sz w:val="21"/>
                      <w:szCs w:val="21"/>
                      <w:highlight w:val="none"/>
                    </w:rPr>
                  </w:pPr>
                </w:p>
              </w:tc>
              <w:tc>
                <w:tcPr>
                  <w:tcW w:w="478" w:type="dxa"/>
                  <w:vMerge w:val="continue"/>
                  <w:noWrap w:val="0"/>
                  <w:vAlign w:val="center"/>
                </w:tcPr>
                <w:p w14:paraId="77CAF638">
                  <w:pPr>
                    <w:adjustRightInd w:val="0"/>
                    <w:snapToGrid w:val="0"/>
                    <w:spacing w:line="240" w:lineRule="auto"/>
                    <w:ind w:firstLine="0" w:firstLineChars="0"/>
                    <w:jc w:val="left"/>
                    <w:rPr>
                      <w:rFonts w:hint="eastAsia"/>
                      <w:iCs/>
                      <w:color w:val="auto"/>
                      <w:kern w:val="0"/>
                      <w:sz w:val="21"/>
                      <w:szCs w:val="21"/>
                      <w:highlight w:val="none"/>
                    </w:rPr>
                  </w:pPr>
                </w:p>
              </w:tc>
            </w:tr>
          </w:tbl>
          <w:p w14:paraId="02BC8CAD">
            <w:pPr>
              <w:pStyle w:val="104"/>
              <w:jc w:val="both"/>
              <w:rPr>
                <w:rFonts w:hint="eastAsia"/>
                <w:color w:val="auto"/>
                <w:highlight w:val="none"/>
              </w:rPr>
            </w:pPr>
          </w:p>
          <w:p w14:paraId="1E7E3E89">
            <w:pPr>
              <w:pStyle w:val="104"/>
              <w:rPr>
                <w:rFonts w:hint="eastAsia"/>
                <w:color w:val="auto"/>
                <w:highlight w:val="none"/>
              </w:rPr>
            </w:pPr>
            <w:r>
              <w:rPr>
                <w:rFonts w:hint="eastAsia"/>
                <w:color w:val="auto"/>
                <w:highlight w:val="none"/>
              </w:rPr>
              <w:t>表1.</w:t>
            </w:r>
            <w:r>
              <w:rPr>
                <w:rFonts w:hint="eastAsia"/>
                <w:color w:val="auto"/>
                <w:highlight w:val="none"/>
                <w:lang w:val="en-US" w:eastAsia="zh-CN"/>
              </w:rPr>
              <w:t>4</w:t>
            </w:r>
            <w:r>
              <w:rPr>
                <w:rFonts w:hint="eastAsia"/>
                <w:color w:val="auto"/>
                <w:highlight w:val="none"/>
              </w:rPr>
              <w:t>-</w:t>
            </w:r>
            <w:r>
              <w:rPr>
                <w:rFonts w:hint="eastAsia"/>
                <w:color w:val="auto"/>
                <w:highlight w:val="none"/>
                <w:lang w:val="en-US" w:eastAsia="zh-CN"/>
              </w:rPr>
              <w:t>2</w:t>
            </w:r>
            <w:r>
              <w:rPr>
                <w:rFonts w:hint="eastAsia"/>
                <w:color w:val="auto"/>
                <w:highlight w:val="none"/>
              </w:rPr>
              <w:t xml:space="preserve">  与</w:t>
            </w:r>
            <w:r>
              <w:rPr>
                <w:rFonts w:hint="eastAsia"/>
                <w:color w:val="auto"/>
                <w:highlight w:val="none"/>
                <w:lang w:val="en-US" w:eastAsia="zh-CN"/>
              </w:rPr>
              <w:t>罗源县</w:t>
            </w:r>
            <w:r>
              <w:rPr>
                <w:rFonts w:hint="eastAsia"/>
                <w:color w:val="auto"/>
                <w:highlight w:val="none"/>
              </w:rPr>
              <w:t>生态环境准入清单要符合性分析</w:t>
            </w:r>
          </w:p>
          <w:tbl>
            <w:tblPr>
              <w:tblStyle w:val="27"/>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818"/>
              <w:gridCol w:w="716"/>
              <w:gridCol w:w="579"/>
              <w:gridCol w:w="2200"/>
              <w:gridCol w:w="1885"/>
              <w:gridCol w:w="739"/>
            </w:tblGrid>
            <w:tr w14:paraId="42E351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25" w:hRule="atLeast"/>
                <w:jc w:val="center"/>
              </w:trPr>
              <w:tc>
                <w:tcPr>
                  <w:tcW w:w="589" w:type="pct"/>
                  <w:noWrap w:val="0"/>
                  <w:tcMar>
                    <w:left w:w="57" w:type="dxa"/>
                    <w:right w:w="57" w:type="dxa"/>
                  </w:tcMar>
                  <w:vAlign w:val="center"/>
                </w:tcPr>
                <w:p w14:paraId="1A88CBD0">
                  <w:pPr>
                    <w:adjustRightInd w:val="0"/>
                    <w:snapToGrid w:val="0"/>
                    <w:spacing w:line="240" w:lineRule="auto"/>
                    <w:ind w:firstLine="0" w:firstLineChars="0"/>
                    <w:jc w:val="center"/>
                    <w:rPr>
                      <w:b/>
                      <w:bCs/>
                      <w:iCs/>
                      <w:color w:val="auto"/>
                      <w:kern w:val="0"/>
                      <w:sz w:val="21"/>
                      <w:szCs w:val="21"/>
                      <w:highlight w:val="none"/>
                    </w:rPr>
                  </w:pPr>
                  <w:r>
                    <w:rPr>
                      <w:rFonts w:hint="eastAsia"/>
                      <w:b/>
                      <w:bCs/>
                      <w:iCs/>
                      <w:color w:val="auto"/>
                      <w:kern w:val="0"/>
                      <w:sz w:val="21"/>
                      <w:szCs w:val="21"/>
                      <w:highlight w:val="none"/>
                    </w:rPr>
                    <w:t>环境管控单元名称</w:t>
                  </w:r>
                </w:p>
              </w:tc>
              <w:tc>
                <w:tcPr>
                  <w:tcW w:w="516" w:type="pct"/>
                  <w:noWrap w:val="0"/>
                  <w:tcMar>
                    <w:left w:w="57" w:type="dxa"/>
                    <w:right w:w="57" w:type="dxa"/>
                  </w:tcMar>
                  <w:vAlign w:val="center"/>
                </w:tcPr>
                <w:p w14:paraId="4D1AB4E1">
                  <w:pPr>
                    <w:adjustRightInd w:val="0"/>
                    <w:snapToGrid w:val="0"/>
                    <w:spacing w:line="240" w:lineRule="auto"/>
                    <w:ind w:firstLine="0" w:firstLineChars="0"/>
                    <w:jc w:val="center"/>
                    <w:rPr>
                      <w:b/>
                      <w:bCs/>
                      <w:iCs/>
                      <w:color w:val="auto"/>
                      <w:kern w:val="0"/>
                      <w:sz w:val="21"/>
                      <w:szCs w:val="21"/>
                      <w:highlight w:val="none"/>
                    </w:rPr>
                  </w:pPr>
                  <w:r>
                    <w:rPr>
                      <w:rFonts w:hint="eastAsia"/>
                      <w:b/>
                      <w:bCs/>
                      <w:iCs/>
                      <w:color w:val="auto"/>
                      <w:kern w:val="0"/>
                      <w:sz w:val="21"/>
                      <w:szCs w:val="21"/>
                      <w:highlight w:val="none"/>
                    </w:rPr>
                    <w:t>管控单元类别</w:t>
                  </w:r>
                </w:p>
              </w:tc>
              <w:tc>
                <w:tcPr>
                  <w:tcW w:w="2003" w:type="pct"/>
                  <w:gridSpan w:val="2"/>
                  <w:noWrap w:val="0"/>
                  <w:tcMar>
                    <w:left w:w="57" w:type="dxa"/>
                    <w:right w:w="57" w:type="dxa"/>
                  </w:tcMar>
                  <w:vAlign w:val="center"/>
                </w:tcPr>
                <w:p w14:paraId="6A5274E5">
                  <w:pPr>
                    <w:adjustRightInd w:val="0"/>
                    <w:snapToGrid w:val="0"/>
                    <w:spacing w:line="240" w:lineRule="auto"/>
                    <w:ind w:firstLine="0" w:firstLineChars="0"/>
                    <w:jc w:val="center"/>
                    <w:rPr>
                      <w:b/>
                      <w:bCs/>
                      <w:iCs/>
                      <w:color w:val="auto"/>
                      <w:kern w:val="0"/>
                      <w:sz w:val="21"/>
                      <w:szCs w:val="21"/>
                      <w:highlight w:val="none"/>
                    </w:rPr>
                  </w:pPr>
                  <w:r>
                    <w:rPr>
                      <w:rFonts w:hint="eastAsia"/>
                      <w:b/>
                      <w:bCs/>
                      <w:iCs/>
                      <w:color w:val="auto"/>
                      <w:kern w:val="0"/>
                      <w:sz w:val="21"/>
                      <w:szCs w:val="21"/>
                      <w:highlight w:val="none"/>
                    </w:rPr>
                    <w:t>管控要求</w:t>
                  </w:r>
                </w:p>
              </w:tc>
              <w:tc>
                <w:tcPr>
                  <w:tcW w:w="1358" w:type="pct"/>
                  <w:noWrap w:val="0"/>
                  <w:tcMar>
                    <w:left w:w="57" w:type="dxa"/>
                    <w:right w:w="57" w:type="dxa"/>
                  </w:tcMar>
                  <w:vAlign w:val="center"/>
                </w:tcPr>
                <w:p w14:paraId="1DFAEE05">
                  <w:pPr>
                    <w:adjustRightInd w:val="0"/>
                    <w:snapToGrid w:val="0"/>
                    <w:spacing w:line="240" w:lineRule="auto"/>
                    <w:ind w:firstLine="0" w:firstLineChars="0"/>
                    <w:jc w:val="center"/>
                    <w:rPr>
                      <w:b/>
                      <w:bCs/>
                      <w:iCs/>
                      <w:color w:val="auto"/>
                      <w:kern w:val="0"/>
                      <w:sz w:val="21"/>
                      <w:szCs w:val="21"/>
                      <w:highlight w:val="none"/>
                    </w:rPr>
                  </w:pPr>
                  <w:r>
                    <w:rPr>
                      <w:rFonts w:hint="eastAsia"/>
                      <w:b/>
                      <w:bCs/>
                      <w:iCs/>
                      <w:color w:val="auto"/>
                      <w:kern w:val="0"/>
                      <w:sz w:val="21"/>
                      <w:szCs w:val="21"/>
                      <w:highlight w:val="none"/>
                    </w:rPr>
                    <w:t>本项目情况</w:t>
                  </w:r>
                </w:p>
              </w:tc>
              <w:tc>
                <w:tcPr>
                  <w:tcW w:w="532" w:type="pct"/>
                  <w:noWrap w:val="0"/>
                  <w:tcMar>
                    <w:left w:w="57" w:type="dxa"/>
                    <w:right w:w="57" w:type="dxa"/>
                  </w:tcMar>
                  <w:vAlign w:val="center"/>
                </w:tcPr>
                <w:p w14:paraId="1E30DB40">
                  <w:pPr>
                    <w:adjustRightInd w:val="0"/>
                    <w:snapToGrid w:val="0"/>
                    <w:spacing w:line="240" w:lineRule="auto"/>
                    <w:ind w:firstLine="0" w:firstLineChars="0"/>
                    <w:jc w:val="center"/>
                    <w:rPr>
                      <w:b/>
                      <w:bCs/>
                      <w:iCs/>
                      <w:color w:val="auto"/>
                      <w:kern w:val="0"/>
                      <w:sz w:val="21"/>
                      <w:szCs w:val="21"/>
                      <w:highlight w:val="none"/>
                    </w:rPr>
                  </w:pPr>
                  <w:r>
                    <w:rPr>
                      <w:rFonts w:hint="eastAsia"/>
                      <w:b/>
                      <w:bCs/>
                      <w:iCs/>
                      <w:color w:val="auto"/>
                      <w:kern w:val="0"/>
                      <w:sz w:val="21"/>
                      <w:szCs w:val="21"/>
                      <w:highlight w:val="none"/>
                    </w:rPr>
                    <w:t>符合性</w:t>
                  </w:r>
                </w:p>
              </w:tc>
            </w:tr>
            <w:tr w14:paraId="2033FF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32" w:hRule="atLeast"/>
                <w:jc w:val="center"/>
              </w:trPr>
              <w:tc>
                <w:tcPr>
                  <w:tcW w:w="589" w:type="pct"/>
                  <w:vMerge w:val="restart"/>
                  <w:noWrap w:val="0"/>
                  <w:tcMar>
                    <w:left w:w="57" w:type="dxa"/>
                    <w:right w:w="57" w:type="dxa"/>
                  </w:tcMar>
                  <w:vAlign w:val="center"/>
                </w:tcPr>
                <w:p w14:paraId="595E06B0">
                  <w:pPr>
                    <w:adjustRightInd w:val="0"/>
                    <w:snapToGrid w:val="0"/>
                    <w:spacing w:line="240" w:lineRule="auto"/>
                    <w:ind w:firstLine="0" w:firstLineChars="0"/>
                    <w:jc w:val="center"/>
                    <w:rPr>
                      <w:rFonts w:hint="eastAsia" w:ascii="Times New Roman" w:hAnsi="Times New Roman" w:eastAsia="宋体" w:cs="Times New Roman"/>
                      <w:iCs/>
                      <w:color w:val="auto"/>
                      <w:kern w:val="0"/>
                      <w:sz w:val="21"/>
                      <w:szCs w:val="21"/>
                      <w:highlight w:val="none"/>
                    </w:rPr>
                  </w:pPr>
                  <w:r>
                    <w:rPr>
                      <w:rFonts w:hint="eastAsia" w:ascii="Times New Roman" w:hAnsi="Times New Roman" w:eastAsia="宋体" w:cs="Times New Roman"/>
                      <w:iCs/>
                      <w:color w:val="auto"/>
                      <w:kern w:val="0"/>
                      <w:sz w:val="21"/>
                      <w:szCs w:val="21"/>
                      <w:highlight w:val="none"/>
                      <w:lang w:val="en-US" w:eastAsia="zh-CN"/>
                    </w:rPr>
                    <w:t>金港工业园区</w:t>
                  </w:r>
                  <w:r>
                    <w:rPr>
                      <w:rFonts w:hint="eastAsia" w:ascii="Times New Roman" w:hAnsi="Times New Roman" w:eastAsia="宋体" w:cs="Times New Roman"/>
                      <w:iCs/>
                      <w:color w:val="auto"/>
                      <w:kern w:val="0"/>
                      <w:sz w:val="21"/>
                      <w:szCs w:val="21"/>
                      <w:highlight w:val="none"/>
                    </w:rPr>
                    <w:t>（</w:t>
                  </w:r>
                  <w:r>
                    <w:rPr>
                      <w:rFonts w:hint="eastAsia" w:ascii="Times New Roman" w:hAnsi="Times New Roman" w:eastAsia="宋体" w:cs="Times New Roman"/>
                      <w:iCs/>
                      <w:color w:val="auto"/>
                      <w:kern w:val="0"/>
                      <w:sz w:val="21"/>
                      <w:szCs w:val="21"/>
                      <w:highlight w:val="none"/>
                      <w:lang w:val="en-US" w:eastAsia="zh-CN"/>
                    </w:rPr>
                    <w:t>ZH35012320007</w:t>
                  </w:r>
                  <w:r>
                    <w:rPr>
                      <w:rFonts w:hint="eastAsia" w:ascii="Times New Roman" w:hAnsi="Times New Roman" w:eastAsia="宋体" w:cs="Times New Roman"/>
                      <w:iCs/>
                      <w:color w:val="auto"/>
                      <w:kern w:val="0"/>
                      <w:sz w:val="21"/>
                      <w:szCs w:val="21"/>
                      <w:highlight w:val="none"/>
                    </w:rPr>
                    <w:t>）</w:t>
                  </w:r>
                </w:p>
              </w:tc>
              <w:tc>
                <w:tcPr>
                  <w:tcW w:w="516" w:type="pct"/>
                  <w:vMerge w:val="restart"/>
                  <w:noWrap w:val="0"/>
                  <w:tcMar>
                    <w:left w:w="57" w:type="dxa"/>
                    <w:right w:w="57" w:type="dxa"/>
                  </w:tcMar>
                  <w:vAlign w:val="center"/>
                </w:tcPr>
                <w:p w14:paraId="5BFCB9AC">
                  <w:pPr>
                    <w:adjustRightInd w:val="0"/>
                    <w:snapToGrid w:val="0"/>
                    <w:spacing w:line="240" w:lineRule="auto"/>
                    <w:ind w:firstLine="0" w:firstLineChars="0"/>
                    <w:jc w:val="center"/>
                    <w:rPr>
                      <w:rFonts w:hint="eastAsia" w:ascii="Times New Roman" w:hAnsi="Times New Roman" w:eastAsia="宋体" w:cs="Times New Roman"/>
                      <w:iCs/>
                      <w:color w:val="auto"/>
                      <w:kern w:val="0"/>
                      <w:sz w:val="21"/>
                      <w:szCs w:val="21"/>
                      <w:highlight w:val="none"/>
                    </w:rPr>
                  </w:pPr>
                  <w:r>
                    <w:rPr>
                      <w:rFonts w:hint="eastAsia" w:ascii="Times New Roman" w:hAnsi="Times New Roman" w:eastAsia="宋体" w:cs="Times New Roman"/>
                      <w:iCs/>
                      <w:color w:val="auto"/>
                      <w:kern w:val="0"/>
                      <w:sz w:val="21"/>
                      <w:szCs w:val="21"/>
                      <w:highlight w:val="none"/>
                    </w:rPr>
                    <w:t>重点管控单元</w:t>
                  </w:r>
                </w:p>
              </w:tc>
              <w:tc>
                <w:tcPr>
                  <w:tcW w:w="417" w:type="pct"/>
                  <w:vMerge w:val="restart"/>
                  <w:noWrap w:val="0"/>
                  <w:tcMar>
                    <w:left w:w="57" w:type="dxa"/>
                    <w:right w:w="57" w:type="dxa"/>
                  </w:tcMar>
                  <w:vAlign w:val="center"/>
                </w:tcPr>
                <w:p w14:paraId="1579E9DC">
                  <w:pPr>
                    <w:adjustRightInd w:val="0"/>
                    <w:snapToGrid w:val="0"/>
                    <w:spacing w:line="240" w:lineRule="auto"/>
                    <w:ind w:firstLine="0" w:firstLineChars="0"/>
                    <w:jc w:val="center"/>
                    <w:rPr>
                      <w:iCs/>
                      <w:color w:val="auto"/>
                      <w:kern w:val="0"/>
                      <w:sz w:val="21"/>
                      <w:szCs w:val="21"/>
                      <w:highlight w:val="none"/>
                    </w:rPr>
                  </w:pPr>
                  <w:r>
                    <w:rPr>
                      <w:rFonts w:hint="eastAsia"/>
                      <w:iCs/>
                      <w:color w:val="auto"/>
                      <w:kern w:val="0"/>
                      <w:sz w:val="21"/>
                      <w:szCs w:val="21"/>
                      <w:highlight w:val="none"/>
                    </w:rPr>
                    <w:t>空间布局约束</w:t>
                  </w:r>
                </w:p>
              </w:tc>
              <w:tc>
                <w:tcPr>
                  <w:tcW w:w="1585" w:type="pct"/>
                  <w:noWrap w:val="0"/>
                  <w:tcMar>
                    <w:left w:w="57" w:type="dxa"/>
                    <w:right w:w="57" w:type="dxa"/>
                  </w:tcMar>
                  <w:vAlign w:val="center"/>
                </w:tcPr>
                <w:p w14:paraId="7C730944">
                  <w:pPr>
                    <w:adjustRightInd w:val="0"/>
                    <w:snapToGrid w:val="0"/>
                    <w:spacing w:line="240" w:lineRule="auto"/>
                    <w:ind w:firstLine="0" w:firstLineChars="0"/>
                    <w:jc w:val="left"/>
                    <w:rPr>
                      <w:rFonts w:hint="eastAsia" w:ascii="Times New Roman" w:hAnsi="Times New Roman" w:eastAsia="宋体" w:cs="Times New Roman"/>
                      <w:iCs/>
                      <w:color w:val="auto"/>
                      <w:kern w:val="0"/>
                      <w:sz w:val="21"/>
                      <w:szCs w:val="21"/>
                      <w:highlight w:val="none"/>
                    </w:rPr>
                  </w:pPr>
                  <w:r>
                    <w:rPr>
                      <w:rFonts w:hint="eastAsia" w:ascii="Times New Roman" w:hAnsi="Times New Roman" w:eastAsia="宋体" w:cs="Times New Roman"/>
                      <w:iCs/>
                      <w:color w:val="auto"/>
                      <w:kern w:val="0"/>
                      <w:sz w:val="21"/>
                      <w:szCs w:val="21"/>
                      <w:highlight w:val="none"/>
                    </w:rPr>
                    <w:t>1.</w:t>
                  </w:r>
                  <w:r>
                    <w:rPr>
                      <w:rFonts w:hint="eastAsia" w:ascii="Times New Roman" w:hAnsi="Times New Roman" w:eastAsia="宋体" w:cs="Times New Roman"/>
                      <w:iCs/>
                      <w:color w:val="auto"/>
                      <w:kern w:val="0"/>
                      <w:sz w:val="21"/>
                      <w:szCs w:val="21"/>
                      <w:highlight w:val="none"/>
                      <w:lang w:val="en-US" w:eastAsia="zh-CN"/>
                    </w:rPr>
                    <w:t>推进园区内钢铁企业产能置换，要求做到增产不增污。</w:t>
                  </w:r>
                </w:p>
              </w:tc>
              <w:tc>
                <w:tcPr>
                  <w:tcW w:w="1358" w:type="pct"/>
                  <w:noWrap w:val="0"/>
                  <w:tcMar>
                    <w:left w:w="57" w:type="dxa"/>
                    <w:right w:w="57" w:type="dxa"/>
                  </w:tcMar>
                  <w:vAlign w:val="center"/>
                </w:tcPr>
                <w:p w14:paraId="106A9B84">
                  <w:pPr>
                    <w:adjustRightInd w:val="0"/>
                    <w:snapToGrid w:val="0"/>
                    <w:spacing w:line="240" w:lineRule="auto"/>
                    <w:ind w:firstLine="0" w:firstLineChars="0"/>
                    <w:jc w:val="center"/>
                    <w:rPr>
                      <w:rFonts w:hint="default" w:eastAsia="宋体"/>
                      <w:iCs/>
                      <w:color w:val="auto"/>
                      <w:kern w:val="0"/>
                      <w:sz w:val="21"/>
                      <w:szCs w:val="21"/>
                      <w:highlight w:val="none"/>
                      <w:lang w:val="en-US" w:eastAsia="zh-CN"/>
                    </w:rPr>
                  </w:pPr>
                  <w:r>
                    <w:rPr>
                      <w:rFonts w:hint="eastAsia"/>
                      <w:iCs/>
                      <w:color w:val="auto"/>
                      <w:kern w:val="0"/>
                      <w:sz w:val="21"/>
                      <w:szCs w:val="21"/>
                      <w:highlight w:val="none"/>
                      <w:lang w:val="en-US" w:eastAsia="zh-CN"/>
                    </w:rPr>
                    <w:t>本项目企业不属于</w:t>
                  </w:r>
                  <w:r>
                    <w:rPr>
                      <w:rFonts w:hint="eastAsia" w:ascii="Times New Roman" w:hAnsi="Times New Roman" w:eastAsia="宋体" w:cs="Times New Roman"/>
                      <w:iCs/>
                      <w:color w:val="auto"/>
                      <w:kern w:val="0"/>
                      <w:sz w:val="21"/>
                      <w:szCs w:val="21"/>
                      <w:highlight w:val="none"/>
                      <w:lang w:val="en-US" w:eastAsia="zh-CN"/>
                    </w:rPr>
                    <w:t>钢铁企业</w:t>
                  </w:r>
                </w:p>
              </w:tc>
              <w:tc>
                <w:tcPr>
                  <w:tcW w:w="532" w:type="pct"/>
                  <w:vMerge w:val="restart"/>
                  <w:noWrap w:val="0"/>
                  <w:tcMar>
                    <w:left w:w="57" w:type="dxa"/>
                    <w:right w:w="57" w:type="dxa"/>
                  </w:tcMar>
                  <w:vAlign w:val="center"/>
                </w:tcPr>
                <w:p w14:paraId="4A4336F9">
                  <w:pPr>
                    <w:adjustRightInd w:val="0"/>
                    <w:snapToGrid w:val="0"/>
                    <w:spacing w:line="240" w:lineRule="auto"/>
                    <w:ind w:firstLine="0" w:firstLineChars="0"/>
                    <w:jc w:val="center"/>
                    <w:rPr>
                      <w:iCs/>
                      <w:color w:val="auto"/>
                      <w:kern w:val="0"/>
                      <w:sz w:val="21"/>
                      <w:szCs w:val="21"/>
                      <w:highlight w:val="none"/>
                    </w:rPr>
                  </w:pPr>
                  <w:r>
                    <w:rPr>
                      <w:rFonts w:hint="eastAsia"/>
                      <w:iCs/>
                      <w:color w:val="auto"/>
                      <w:kern w:val="0"/>
                      <w:sz w:val="21"/>
                      <w:szCs w:val="21"/>
                      <w:highlight w:val="none"/>
                    </w:rPr>
                    <w:t>符合</w:t>
                  </w:r>
                </w:p>
              </w:tc>
            </w:tr>
            <w:tr w14:paraId="030D78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32" w:hRule="atLeast"/>
                <w:jc w:val="center"/>
              </w:trPr>
              <w:tc>
                <w:tcPr>
                  <w:tcW w:w="589" w:type="pct"/>
                  <w:vMerge w:val="continue"/>
                  <w:noWrap w:val="0"/>
                  <w:tcMar>
                    <w:left w:w="57" w:type="dxa"/>
                    <w:right w:w="57" w:type="dxa"/>
                  </w:tcMar>
                  <w:vAlign w:val="center"/>
                </w:tcPr>
                <w:p w14:paraId="696AABEA">
                  <w:pPr>
                    <w:adjustRightInd w:val="0"/>
                    <w:snapToGrid w:val="0"/>
                    <w:spacing w:line="240" w:lineRule="auto"/>
                    <w:ind w:firstLine="0" w:firstLineChars="0"/>
                    <w:jc w:val="left"/>
                    <w:rPr>
                      <w:color w:val="auto"/>
                      <w:highlight w:val="none"/>
                    </w:rPr>
                  </w:pPr>
                </w:p>
              </w:tc>
              <w:tc>
                <w:tcPr>
                  <w:tcW w:w="516" w:type="pct"/>
                  <w:vMerge w:val="continue"/>
                  <w:noWrap w:val="0"/>
                  <w:tcMar>
                    <w:left w:w="57" w:type="dxa"/>
                    <w:right w:w="57" w:type="dxa"/>
                  </w:tcMar>
                  <w:vAlign w:val="center"/>
                </w:tcPr>
                <w:p w14:paraId="3AF222E3">
                  <w:pPr>
                    <w:adjustRightInd w:val="0"/>
                    <w:snapToGrid w:val="0"/>
                    <w:spacing w:line="240" w:lineRule="auto"/>
                    <w:ind w:firstLine="0" w:firstLineChars="0"/>
                    <w:jc w:val="left"/>
                    <w:rPr>
                      <w:color w:val="auto"/>
                      <w:highlight w:val="none"/>
                    </w:rPr>
                  </w:pPr>
                </w:p>
              </w:tc>
              <w:tc>
                <w:tcPr>
                  <w:tcW w:w="417" w:type="pct"/>
                  <w:vMerge w:val="continue"/>
                  <w:noWrap w:val="0"/>
                  <w:tcMar>
                    <w:left w:w="57" w:type="dxa"/>
                    <w:right w:w="57" w:type="dxa"/>
                  </w:tcMar>
                  <w:vAlign w:val="center"/>
                </w:tcPr>
                <w:p w14:paraId="0EDC5510">
                  <w:pPr>
                    <w:adjustRightInd w:val="0"/>
                    <w:snapToGrid w:val="0"/>
                    <w:spacing w:line="240" w:lineRule="auto"/>
                    <w:ind w:firstLine="0" w:firstLineChars="0"/>
                    <w:jc w:val="left"/>
                    <w:rPr>
                      <w:color w:val="auto"/>
                      <w:highlight w:val="none"/>
                    </w:rPr>
                  </w:pPr>
                </w:p>
              </w:tc>
              <w:tc>
                <w:tcPr>
                  <w:tcW w:w="1585" w:type="pct"/>
                  <w:noWrap w:val="0"/>
                  <w:tcMar>
                    <w:left w:w="57" w:type="dxa"/>
                    <w:right w:w="57" w:type="dxa"/>
                  </w:tcMar>
                  <w:vAlign w:val="center"/>
                </w:tcPr>
                <w:p w14:paraId="61CBADAF">
                  <w:pPr>
                    <w:adjustRightInd w:val="0"/>
                    <w:snapToGrid w:val="0"/>
                    <w:spacing w:line="240" w:lineRule="auto"/>
                    <w:ind w:firstLine="0" w:firstLineChars="0"/>
                    <w:jc w:val="left"/>
                    <w:rPr>
                      <w:rFonts w:hint="eastAsia" w:ascii="Times New Roman" w:hAnsi="Times New Roman" w:eastAsia="宋体" w:cs="Times New Roman"/>
                      <w:iCs/>
                      <w:color w:val="auto"/>
                      <w:kern w:val="0"/>
                      <w:sz w:val="21"/>
                      <w:szCs w:val="21"/>
                      <w:highlight w:val="none"/>
                    </w:rPr>
                  </w:pPr>
                  <w:r>
                    <w:rPr>
                      <w:rFonts w:hint="eastAsia" w:ascii="Times New Roman" w:hAnsi="Times New Roman" w:eastAsia="宋体" w:cs="Times New Roman"/>
                      <w:iCs/>
                      <w:color w:val="auto"/>
                      <w:kern w:val="0"/>
                      <w:sz w:val="21"/>
                      <w:szCs w:val="21"/>
                      <w:highlight w:val="none"/>
                    </w:rPr>
                    <w:t>2.</w:t>
                  </w:r>
                  <w:r>
                    <w:rPr>
                      <w:rFonts w:hint="eastAsia" w:ascii="Times New Roman" w:hAnsi="Times New Roman" w:eastAsia="宋体" w:cs="Times New Roman"/>
                      <w:iCs/>
                      <w:color w:val="auto"/>
                      <w:kern w:val="0"/>
                      <w:sz w:val="21"/>
                      <w:szCs w:val="21"/>
                      <w:highlight w:val="none"/>
                      <w:lang w:val="en-US" w:eastAsia="zh-CN"/>
                    </w:rPr>
                    <w:t>禁止新建焦化生产线。</w:t>
                  </w:r>
                </w:p>
              </w:tc>
              <w:tc>
                <w:tcPr>
                  <w:tcW w:w="1358" w:type="pct"/>
                  <w:noWrap w:val="0"/>
                  <w:tcMar>
                    <w:left w:w="57" w:type="dxa"/>
                    <w:right w:w="57" w:type="dxa"/>
                  </w:tcMar>
                  <w:vAlign w:val="center"/>
                </w:tcPr>
                <w:p w14:paraId="4AE878AF">
                  <w:pPr>
                    <w:adjustRightInd w:val="0"/>
                    <w:snapToGrid w:val="0"/>
                    <w:spacing w:line="240" w:lineRule="auto"/>
                    <w:ind w:firstLine="0" w:firstLineChars="0"/>
                    <w:jc w:val="center"/>
                    <w:rPr>
                      <w:rFonts w:hint="default" w:eastAsia="宋体"/>
                      <w:iCs/>
                      <w:color w:val="auto"/>
                      <w:kern w:val="0"/>
                      <w:sz w:val="21"/>
                      <w:szCs w:val="21"/>
                      <w:highlight w:val="none"/>
                      <w:lang w:val="en-US" w:eastAsia="zh-CN"/>
                    </w:rPr>
                  </w:pPr>
                  <w:r>
                    <w:rPr>
                      <w:rFonts w:hint="eastAsia"/>
                      <w:iCs/>
                      <w:color w:val="auto"/>
                      <w:kern w:val="0"/>
                      <w:sz w:val="21"/>
                      <w:szCs w:val="21"/>
                      <w:highlight w:val="none"/>
                    </w:rPr>
                    <w:t>本项目</w:t>
                  </w:r>
                  <w:r>
                    <w:rPr>
                      <w:rFonts w:hint="eastAsia"/>
                      <w:iCs/>
                      <w:color w:val="auto"/>
                      <w:kern w:val="0"/>
                      <w:sz w:val="21"/>
                      <w:szCs w:val="21"/>
                      <w:highlight w:val="none"/>
                      <w:lang w:val="en-US" w:eastAsia="zh-CN"/>
                    </w:rPr>
                    <w:t>不涉及</w:t>
                  </w:r>
                  <w:r>
                    <w:rPr>
                      <w:rFonts w:hint="eastAsia" w:ascii="Times New Roman" w:hAnsi="Times New Roman" w:eastAsia="宋体" w:cs="Times New Roman"/>
                      <w:iCs/>
                      <w:color w:val="auto"/>
                      <w:kern w:val="0"/>
                      <w:sz w:val="21"/>
                      <w:szCs w:val="21"/>
                      <w:highlight w:val="none"/>
                      <w:lang w:val="en-US" w:eastAsia="zh-CN"/>
                    </w:rPr>
                    <w:t>焦化生产工艺</w:t>
                  </w:r>
                </w:p>
              </w:tc>
              <w:tc>
                <w:tcPr>
                  <w:tcW w:w="532" w:type="pct"/>
                  <w:vMerge w:val="continue"/>
                  <w:noWrap w:val="0"/>
                  <w:tcMar>
                    <w:left w:w="57" w:type="dxa"/>
                    <w:right w:w="57" w:type="dxa"/>
                  </w:tcMar>
                  <w:vAlign w:val="center"/>
                </w:tcPr>
                <w:p w14:paraId="2E23C4FA">
                  <w:pPr>
                    <w:adjustRightInd w:val="0"/>
                    <w:snapToGrid w:val="0"/>
                    <w:spacing w:line="240" w:lineRule="auto"/>
                    <w:ind w:firstLine="0" w:firstLineChars="0"/>
                    <w:jc w:val="left"/>
                    <w:rPr>
                      <w:iCs/>
                      <w:color w:val="auto"/>
                      <w:kern w:val="0"/>
                      <w:sz w:val="21"/>
                      <w:szCs w:val="21"/>
                      <w:highlight w:val="none"/>
                    </w:rPr>
                  </w:pPr>
                </w:p>
              </w:tc>
            </w:tr>
            <w:tr w14:paraId="3D10BC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084" w:hRule="atLeast"/>
                <w:jc w:val="center"/>
              </w:trPr>
              <w:tc>
                <w:tcPr>
                  <w:tcW w:w="589" w:type="pct"/>
                  <w:vMerge w:val="continue"/>
                  <w:noWrap w:val="0"/>
                  <w:tcMar>
                    <w:left w:w="57" w:type="dxa"/>
                    <w:right w:w="57" w:type="dxa"/>
                  </w:tcMar>
                  <w:vAlign w:val="center"/>
                </w:tcPr>
                <w:p w14:paraId="4B06B216">
                  <w:pPr>
                    <w:adjustRightInd w:val="0"/>
                    <w:snapToGrid w:val="0"/>
                    <w:spacing w:line="240" w:lineRule="auto"/>
                    <w:ind w:firstLine="0" w:firstLineChars="0"/>
                    <w:jc w:val="center"/>
                    <w:rPr>
                      <w:iCs/>
                      <w:color w:val="auto"/>
                      <w:kern w:val="0"/>
                      <w:sz w:val="21"/>
                      <w:szCs w:val="21"/>
                      <w:highlight w:val="none"/>
                    </w:rPr>
                  </w:pPr>
                </w:p>
              </w:tc>
              <w:tc>
                <w:tcPr>
                  <w:tcW w:w="516" w:type="pct"/>
                  <w:vMerge w:val="continue"/>
                  <w:noWrap w:val="0"/>
                  <w:tcMar>
                    <w:left w:w="57" w:type="dxa"/>
                    <w:right w:w="57" w:type="dxa"/>
                  </w:tcMar>
                  <w:vAlign w:val="center"/>
                </w:tcPr>
                <w:p w14:paraId="2900C8A4">
                  <w:pPr>
                    <w:adjustRightInd w:val="0"/>
                    <w:snapToGrid w:val="0"/>
                    <w:spacing w:line="240" w:lineRule="auto"/>
                    <w:ind w:firstLine="0" w:firstLineChars="0"/>
                    <w:jc w:val="center"/>
                    <w:rPr>
                      <w:iCs/>
                      <w:color w:val="auto"/>
                      <w:kern w:val="0"/>
                      <w:sz w:val="21"/>
                      <w:szCs w:val="21"/>
                      <w:highlight w:val="none"/>
                    </w:rPr>
                  </w:pPr>
                </w:p>
              </w:tc>
              <w:tc>
                <w:tcPr>
                  <w:tcW w:w="417" w:type="pct"/>
                  <w:vMerge w:val="restart"/>
                  <w:noWrap w:val="0"/>
                  <w:tcMar>
                    <w:left w:w="57" w:type="dxa"/>
                    <w:right w:w="57" w:type="dxa"/>
                  </w:tcMar>
                  <w:vAlign w:val="center"/>
                </w:tcPr>
                <w:p w14:paraId="3FA23459">
                  <w:pPr>
                    <w:adjustRightInd w:val="0"/>
                    <w:snapToGrid w:val="0"/>
                    <w:spacing w:line="240" w:lineRule="auto"/>
                    <w:ind w:firstLine="0" w:firstLineChars="0"/>
                    <w:jc w:val="center"/>
                    <w:rPr>
                      <w:iCs/>
                      <w:color w:val="auto"/>
                      <w:kern w:val="0"/>
                      <w:sz w:val="21"/>
                      <w:szCs w:val="21"/>
                      <w:highlight w:val="none"/>
                    </w:rPr>
                  </w:pPr>
                  <w:r>
                    <w:rPr>
                      <w:rFonts w:hint="eastAsia"/>
                      <w:iCs/>
                      <w:color w:val="auto"/>
                      <w:kern w:val="0"/>
                      <w:sz w:val="21"/>
                      <w:szCs w:val="21"/>
                      <w:highlight w:val="none"/>
                    </w:rPr>
                    <w:t>污染物排放管控</w:t>
                  </w:r>
                </w:p>
              </w:tc>
              <w:tc>
                <w:tcPr>
                  <w:tcW w:w="1585" w:type="pct"/>
                  <w:noWrap w:val="0"/>
                  <w:tcMar>
                    <w:left w:w="57" w:type="dxa"/>
                    <w:right w:w="57" w:type="dxa"/>
                  </w:tcMar>
                  <w:vAlign w:val="center"/>
                </w:tcPr>
                <w:p w14:paraId="3EB65879">
                  <w:pPr>
                    <w:adjustRightInd w:val="0"/>
                    <w:snapToGrid w:val="0"/>
                    <w:spacing w:line="240" w:lineRule="auto"/>
                    <w:ind w:firstLine="0" w:firstLineChars="0"/>
                    <w:jc w:val="left"/>
                    <w:rPr>
                      <w:rFonts w:hint="eastAsia" w:ascii="Times New Roman" w:hAnsi="Times New Roman" w:eastAsia="宋体" w:cs="Times New Roman"/>
                      <w:iCs/>
                      <w:color w:val="auto"/>
                      <w:kern w:val="0"/>
                      <w:sz w:val="21"/>
                      <w:szCs w:val="21"/>
                      <w:highlight w:val="none"/>
                    </w:rPr>
                  </w:pPr>
                  <w:r>
                    <w:rPr>
                      <w:rFonts w:hint="eastAsia" w:ascii="Times New Roman" w:hAnsi="Times New Roman" w:eastAsia="宋体" w:cs="Times New Roman"/>
                      <w:iCs/>
                      <w:color w:val="auto"/>
                      <w:kern w:val="0"/>
                      <w:sz w:val="21"/>
                      <w:szCs w:val="21"/>
                      <w:highlight w:val="none"/>
                    </w:rPr>
                    <w:t>1.</w:t>
                  </w:r>
                  <w:r>
                    <w:rPr>
                      <w:rFonts w:hint="eastAsia" w:ascii="Times New Roman" w:hAnsi="Times New Roman" w:eastAsia="宋体" w:cs="Times New Roman"/>
                      <w:iCs/>
                      <w:color w:val="auto"/>
                      <w:kern w:val="0"/>
                      <w:sz w:val="21"/>
                      <w:szCs w:val="21"/>
                      <w:highlight w:val="none"/>
                      <w:lang w:val="en-US" w:eastAsia="zh-CN"/>
                    </w:rPr>
                    <w:t>区内所有钢铁和焦化企业全部实施颗粒物、二氧化硫、氮氧化物超低排放提标改造。</w:t>
                  </w:r>
                </w:p>
              </w:tc>
              <w:tc>
                <w:tcPr>
                  <w:tcW w:w="1358" w:type="pct"/>
                  <w:noWrap w:val="0"/>
                  <w:tcMar>
                    <w:left w:w="57" w:type="dxa"/>
                    <w:right w:w="57" w:type="dxa"/>
                  </w:tcMar>
                  <w:vAlign w:val="center"/>
                </w:tcPr>
                <w:p w14:paraId="0D05D57F">
                  <w:pPr>
                    <w:adjustRightInd w:val="0"/>
                    <w:snapToGrid w:val="0"/>
                    <w:spacing w:line="240" w:lineRule="auto"/>
                    <w:ind w:firstLine="0" w:firstLineChars="0"/>
                    <w:jc w:val="center"/>
                    <w:rPr>
                      <w:rFonts w:hint="eastAsia" w:eastAsia="宋体"/>
                      <w:iCs/>
                      <w:color w:val="auto"/>
                      <w:kern w:val="0"/>
                      <w:sz w:val="21"/>
                      <w:szCs w:val="21"/>
                      <w:highlight w:val="none"/>
                      <w:lang w:eastAsia="zh-CN"/>
                    </w:rPr>
                  </w:pPr>
                  <w:r>
                    <w:rPr>
                      <w:rFonts w:hint="eastAsia"/>
                      <w:iCs/>
                      <w:color w:val="auto"/>
                      <w:kern w:val="0"/>
                      <w:sz w:val="21"/>
                      <w:szCs w:val="21"/>
                      <w:highlight w:val="none"/>
                    </w:rPr>
                    <w:t>本项目</w:t>
                  </w:r>
                  <w:r>
                    <w:rPr>
                      <w:rFonts w:hint="eastAsia"/>
                      <w:iCs/>
                      <w:color w:val="auto"/>
                      <w:kern w:val="0"/>
                      <w:sz w:val="21"/>
                      <w:szCs w:val="21"/>
                      <w:highlight w:val="none"/>
                      <w:lang w:val="en-US" w:eastAsia="zh-CN"/>
                    </w:rPr>
                    <w:t>企业不属于</w:t>
                  </w:r>
                  <w:r>
                    <w:rPr>
                      <w:rFonts w:hint="eastAsia" w:ascii="Times New Roman" w:hAnsi="Times New Roman" w:eastAsia="宋体" w:cs="Times New Roman"/>
                      <w:iCs/>
                      <w:color w:val="auto"/>
                      <w:kern w:val="0"/>
                      <w:sz w:val="21"/>
                      <w:szCs w:val="21"/>
                      <w:highlight w:val="none"/>
                      <w:lang w:val="en-US" w:eastAsia="zh-CN"/>
                    </w:rPr>
                    <w:t>钢铁和焦化企业</w:t>
                  </w:r>
                </w:p>
              </w:tc>
              <w:tc>
                <w:tcPr>
                  <w:tcW w:w="532" w:type="pct"/>
                  <w:vMerge w:val="restart"/>
                  <w:noWrap w:val="0"/>
                  <w:tcMar>
                    <w:left w:w="57" w:type="dxa"/>
                    <w:right w:w="57" w:type="dxa"/>
                  </w:tcMar>
                  <w:vAlign w:val="center"/>
                </w:tcPr>
                <w:p w14:paraId="01BD764C">
                  <w:pPr>
                    <w:adjustRightInd w:val="0"/>
                    <w:snapToGrid w:val="0"/>
                    <w:spacing w:line="240" w:lineRule="auto"/>
                    <w:ind w:firstLine="0" w:firstLineChars="0"/>
                    <w:jc w:val="center"/>
                    <w:rPr>
                      <w:iCs/>
                      <w:color w:val="auto"/>
                      <w:kern w:val="0"/>
                      <w:sz w:val="21"/>
                      <w:szCs w:val="21"/>
                      <w:highlight w:val="none"/>
                    </w:rPr>
                  </w:pPr>
                  <w:r>
                    <w:rPr>
                      <w:rFonts w:hint="eastAsia"/>
                      <w:iCs/>
                      <w:color w:val="auto"/>
                      <w:kern w:val="0"/>
                      <w:sz w:val="21"/>
                      <w:szCs w:val="21"/>
                      <w:highlight w:val="none"/>
                    </w:rPr>
                    <w:t>符合</w:t>
                  </w:r>
                </w:p>
              </w:tc>
            </w:tr>
            <w:tr w14:paraId="638460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084" w:hRule="atLeast"/>
                <w:jc w:val="center"/>
              </w:trPr>
              <w:tc>
                <w:tcPr>
                  <w:tcW w:w="589" w:type="pct"/>
                  <w:vMerge w:val="continue"/>
                  <w:noWrap w:val="0"/>
                  <w:tcMar>
                    <w:left w:w="57" w:type="dxa"/>
                    <w:right w:w="57" w:type="dxa"/>
                  </w:tcMar>
                  <w:vAlign w:val="center"/>
                </w:tcPr>
                <w:p w14:paraId="769A2EEC">
                  <w:pPr>
                    <w:adjustRightInd w:val="0"/>
                    <w:snapToGrid w:val="0"/>
                    <w:spacing w:line="240" w:lineRule="auto"/>
                    <w:ind w:firstLine="0" w:firstLineChars="0"/>
                    <w:jc w:val="left"/>
                    <w:rPr>
                      <w:color w:val="auto"/>
                      <w:highlight w:val="none"/>
                    </w:rPr>
                  </w:pPr>
                </w:p>
              </w:tc>
              <w:tc>
                <w:tcPr>
                  <w:tcW w:w="516" w:type="pct"/>
                  <w:vMerge w:val="continue"/>
                  <w:noWrap w:val="0"/>
                  <w:tcMar>
                    <w:left w:w="57" w:type="dxa"/>
                    <w:right w:w="57" w:type="dxa"/>
                  </w:tcMar>
                  <w:vAlign w:val="center"/>
                </w:tcPr>
                <w:p w14:paraId="66305ED8">
                  <w:pPr>
                    <w:adjustRightInd w:val="0"/>
                    <w:snapToGrid w:val="0"/>
                    <w:spacing w:line="240" w:lineRule="auto"/>
                    <w:ind w:firstLine="0" w:firstLineChars="0"/>
                    <w:jc w:val="left"/>
                    <w:rPr>
                      <w:color w:val="auto"/>
                      <w:highlight w:val="none"/>
                    </w:rPr>
                  </w:pPr>
                </w:p>
              </w:tc>
              <w:tc>
                <w:tcPr>
                  <w:tcW w:w="417" w:type="pct"/>
                  <w:vMerge w:val="continue"/>
                  <w:noWrap w:val="0"/>
                  <w:tcMar>
                    <w:left w:w="57" w:type="dxa"/>
                    <w:right w:w="57" w:type="dxa"/>
                  </w:tcMar>
                  <w:vAlign w:val="center"/>
                </w:tcPr>
                <w:p w14:paraId="1566D034">
                  <w:pPr>
                    <w:adjustRightInd w:val="0"/>
                    <w:snapToGrid w:val="0"/>
                    <w:spacing w:line="240" w:lineRule="auto"/>
                    <w:ind w:firstLine="0" w:firstLineChars="0"/>
                    <w:jc w:val="left"/>
                    <w:rPr>
                      <w:color w:val="auto"/>
                      <w:highlight w:val="none"/>
                    </w:rPr>
                  </w:pPr>
                </w:p>
              </w:tc>
              <w:tc>
                <w:tcPr>
                  <w:tcW w:w="1585" w:type="pct"/>
                  <w:noWrap w:val="0"/>
                  <w:tcMar>
                    <w:left w:w="57" w:type="dxa"/>
                    <w:right w:w="57" w:type="dxa"/>
                  </w:tcMar>
                  <w:vAlign w:val="center"/>
                </w:tcPr>
                <w:p w14:paraId="5280F178">
                  <w:pPr>
                    <w:adjustRightInd w:val="0"/>
                    <w:snapToGrid w:val="0"/>
                    <w:spacing w:line="240" w:lineRule="auto"/>
                    <w:ind w:firstLine="0" w:firstLineChars="0"/>
                    <w:jc w:val="left"/>
                    <w:rPr>
                      <w:rFonts w:hint="eastAsia" w:ascii="Times New Roman" w:hAnsi="Times New Roman" w:eastAsia="宋体" w:cs="Times New Roman"/>
                      <w:iCs/>
                      <w:color w:val="auto"/>
                      <w:kern w:val="0"/>
                      <w:sz w:val="21"/>
                      <w:szCs w:val="21"/>
                      <w:highlight w:val="none"/>
                    </w:rPr>
                  </w:pPr>
                  <w:r>
                    <w:rPr>
                      <w:rFonts w:hint="eastAsia" w:ascii="Times New Roman" w:hAnsi="Times New Roman" w:eastAsia="宋体" w:cs="Times New Roman"/>
                      <w:iCs/>
                      <w:color w:val="auto"/>
                      <w:kern w:val="0"/>
                      <w:sz w:val="21"/>
                      <w:szCs w:val="21"/>
                      <w:highlight w:val="none"/>
                    </w:rPr>
                    <w:t>2.</w:t>
                  </w:r>
                  <w:r>
                    <w:rPr>
                      <w:rFonts w:hint="eastAsia" w:ascii="Times New Roman" w:hAnsi="Times New Roman" w:eastAsia="宋体" w:cs="Times New Roman"/>
                      <w:iCs/>
                      <w:color w:val="auto"/>
                      <w:kern w:val="0"/>
                      <w:sz w:val="21"/>
                      <w:szCs w:val="21"/>
                      <w:highlight w:val="none"/>
                      <w:lang w:val="en-US" w:eastAsia="zh-CN"/>
                    </w:rPr>
                    <w:t>完善建设污水收集管网，确保园区内所有生活污水纳入污水处理厂处理并达标排放。</w:t>
                  </w:r>
                </w:p>
              </w:tc>
              <w:tc>
                <w:tcPr>
                  <w:tcW w:w="1358" w:type="pct"/>
                  <w:noWrap w:val="0"/>
                  <w:tcMar>
                    <w:left w:w="57" w:type="dxa"/>
                    <w:right w:w="57" w:type="dxa"/>
                  </w:tcMar>
                  <w:vAlign w:val="center"/>
                </w:tcPr>
                <w:p w14:paraId="44DC62AB">
                  <w:pPr>
                    <w:adjustRightInd w:val="0"/>
                    <w:snapToGrid w:val="0"/>
                    <w:spacing w:line="240" w:lineRule="auto"/>
                    <w:ind w:firstLine="0" w:firstLineChars="0"/>
                    <w:jc w:val="center"/>
                    <w:rPr>
                      <w:rFonts w:hint="eastAsia" w:ascii="Times New Roman" w:hAnsi="Times New Roman" w:eastAsia="宋体" w:cs="Times New Roman"/>
                      <w:iCs/>
                      <w:color w:val="auto"/>
                      <w:kern w:val="0"/>
                      <w:sz w:val="21"/>
                      <w:szCs w:val="21"/>
                      <w:highlight w:val="none"/>
                      <w:lang w:val="en-US" w:eastAsia="zh-CN"/>
                    </w:rPr>
                  </w:pPr>
                  <w:r>
                    <w:rPr>
                      <w:rFonts w:hint="eastAsia" w:ascii="Times New Roman" w:hAnsi="Times New Roman" w:eastAsia="宋体" w:cs="Times New Roman"/>
                      <w:iCs/>
                      <w:color w:val="auto"/>
                      <w:kern w:val="0"/>
                      <w:sz w:val="21"/>
                      <w:szCs w:val="21"/>
                      <w:highlight w:val="none"/>
                      <w:lang w:val="en-US" w:eastAsia="zh-CN"/>
                    </w:rPr>
                    <w:t>本项目食堂废水经隔油池预处理后与</w:t>
                  </w:r>
                  <w:r>
                    <w:rPr>
                      <w:rFonts w:hint="eastAsia" w:ascii="Times New Roman" w:hAnsi="Times New Roman" w:eastAsia="宋体" w:cs="Times New Roman"/>
                      <w:iCs/>
                      <w:color w:val="auto"/>
                      <w:kern w:val="0"/>
                      <w:sz w:val="21"/>
                      <w:szCs w:val="21"/>
                      <w:highlight w:val="none"/>
                    </w:rPr>
                    <w:t>生活废水一起经</w:t>
                  </w:r>
                  <w:r>
                    <w:rPr>
                      <w:rFonts w:hint="eastAsia" w:ascii="Times New Roman" w:hAnsi="Times New Roman" w:eastAsia="宋体" w:cs="Times New Roman"/>
                      <w:iCs/>
                      <w:color w:val="auto"/>
                      <w:kern w:val="0"/>
                      <w:sz w:val="21"/>
                      <w:szCs w:val="21"/>
                      <w:highlight w:val="none"/>
                      <w:lang w:val="en-US" w:eastAsia="zh-CN"/>
                    </w:rPr>
                    <w:t>厂区</w:t>
                  </w:r>
                  <w:r>
                    <w:rPr>
                      <w:rFonts w:hint="eastAsia" w:ascii="Times New Roman" w:hAnsi="Times New Roman" w:eastAsia="宋体" w:cs="Times New Roman"/>
                      <w:iCs/>
                      <w:color w:val="auto"/>
                      <w:kern w:val="0"/>
                      <w:sz w:val="21"/>
                      <w:szCs w:val="21"/>
                      <w:highlight w:val="none"/>
                    </w:rPr>
                    <w:t>化粪池处理达</w:t>
                  </w:r>
                  <w:r>
                    <w:rPr>
                      <w:rFonts w:hint="eastAsia" w:ascii="Times New Roman" w:hAnsi="Times New Roman" w:eastAsia="宋体" w:cs="Times New Roman"/>
                      <w:iCs/>
                      <w:color w:val="auto"/>
                      <w:kern w:val="0"/>
                      <w:sz w:val="21"/>
                      <w:szCs w:val="21"/>
                      <w:highlight w:val="none"/>
                      <w:lang w:val="en-US" w:eastAsia="zh-CN"/>
                    </w:rPr>
                    <w:t>标</w:t>
                  </w:r>
                  <w:r>
                    <w:rPr>
                      <w:rFonts w:hint="eastAsia" w:ascii="Times New Roman" w:hAnsi="Times New Roman" w:eastAsia="宋体" w:cs="Times New Roman"/>
                      <w:iCs/>
                      <w:color w:val="auto"/>
                      <w:kern w:val="0"/>
                      <w:sz w:val="21"/>
                      <w:szCs w:val="21"/>
                      <w:highlight w:val="none"/>
                    </w:rPr>
                    <w:t>后排入市政污水管网</w:t>
                  </w:r>
                </w:p>
              </w:tc>
              <w:tc>
                <w:tcPr>
                  <w:tcW w:w="532" w:type="pct"/>
                  <w:vMerge w:val="continue"/>
                  <w:noWrap w:val="0"/>
                  <w:tcMar>
                    <w:left w:w="57" w:type="dxa"/>
                    <w:right w:w="57" w:type="dxa"/>
                  </w:tcMar>
                  <w:vAlign w:val="center"/>
                </w:tcPr>
                <w:p w14:paraId="76DD7476">
                  <w:pPr>
                    <w:adjustRightInd w:val="0"/>
                    <w:snapToGrid w:val="0"/>
                    <w:spacing w:line="240" w:lineRule="auto"/>
                    <w:ind w:firstLine="0" w:firstLineChars="0"/>
                    <w:jc w:val="left"/>
                    <w:rPr>
                      <w:rFonts w:hint="eastAsia"/>
                      <w:iCs/>
                      <w:color w:val="auto"/>
                      <w:kern w:val="0"/>
                      <w:sz w:val="21"/>
                      <w:szCs w:val="21"/>
                      <w:highlight w:val="none"/>
                    </w:rPr>
                  </w:pPr>
                </w:p>
              </w:tc>
            </w:tr>
            <w:tr w14:paraId="445287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225" w:hRule="atLeast"/>
                <w:jc w:val="center"/>
              </w:trPr>
              <w:tc>
                <w:tcPr>
                  <w:tcW w:w="589" w:type="pct"/>
                  <w:vMerge w:val="continue"/>
                  <w:noWrap w:val="0"/>
                  <w:tcMar>
                    <w:left w:w="57" w:type="dxa"/>
                    <w:right w:w="57" w:type="dxa"/>
                  </w:tcMar>
                  <w:vAlign w:val="center"/>
                </w:tcPr>
                <w:p w14:paraId="3483D5AE">
                  <w:pPr>
                    <w:adjustRightInd w:val="0"/>
                    <w:snapToGrid w:val="0"/>
                    <w:spacing w:line="240" w:lineRule="auto"/>
                    <w:ind w:firstLine="0" w:firstLineChars="0"/>
                    <w:jc w:val="center"/>
                    <w:rPr>
                      <w:iCs/>
                      <w:color w:val="auto"/>
                      <w:kern w:val="0"/>
                      <w:sz w:val="21"/>
                      <w:szCs w:val="21"/>
                      <w:highlight w:val="none"/>
                    </w:rPr>
                  </w:pPr>
                </w:p>
              </w:tc>
              <w:tc>
                <w:tcPr>
                  <w:tcW w:w="516" w:type="pct"/>
                  <w:vMerge w:val="continue"/>
                  <w:noWrap w:val="0"/>
                  <w:tcMar>
                    <w:left w:w="57" w:type="dxa"/>
                    <w:right w:w="57" w:type="dxa"/>
                  </w:tcMar>
                  <w:vAlign w:val="center"/>
                </w:tcPr>
                <w:p w14:paraId="1897C222">
                  <w:pPr>
                    <w:adjustRightInd w:val="0"/>
                    <w:snapToGrid w:val="0"/>
                    <w:spacing w:line="240" w:lineRule="auto"/>
                    <w:ind w:firstLine="0" w:firstLineChars="0"/>
                    <w:jc w:val="center"/>
                    <w:rPr>
                      <w:iCs/>
                      <w:color w:val="auto"/>
                      <w:kern w:val="0"/>
                      <w:sz w:val="21"/>
                      <w:szCs w:val="21"/>
                      <w:highlight w:val="none"/>
                    </w:rPr>
                  </w:pPr>
                </w:p>
              </w:tc>
              <w:tc>
                <w:tcPr>
                  <w:tcW w:w="417" w:type="pct"/>
                  <w:vMerge w:val="restart"/>
                  <w:noWrap w:val="0"/>
                  <w:tcMar>
                    <w:left w:w="57" w:type="dxa"/>
                    <w:right w:w="57" w:type="dxa"/>
                  </w:tcMar>
                  <w:vAlign w:val="center"/>
                </w:tcPr>
                <w:p w14:paraId="44B3EB19">
                  <w:pPr>
                    <w:adjustRightInd w:val="0"/>
                    <w:snapToGrid w:val="0"/>
                    <w:spacing w:line="240" w:lineRule="auto"/>
                    <w:ind w:firstLine="0" w:firstLineChars="0"/>
                    <w:jc w:val="center"/>
                    <w:rPr>
                      <w:rFonts w:hint="eastAsia"/>
                      <w:iCs/>
                      <w:color w:val="auto"/>
                      <w:kern w:val="0"/>
                      <w:sz w:val="21"/>
                      <w:szCs w:val="21"/>
                      <w:highlight w:val="none"/>
                    </w:rPr>
                  </w:pPr>
                  <w:r>
                    <w:rPr>
                      <w:rFonts w:hint="eastAsia"/>
                      <w:iCs/>
                      <w:color w:val="auto"/>
                      <w:kern w:val="0"/>
                      <w:sz w:val="21"/>
                      <w:szCs w:val="21"/>
                      <w:highlight w:val="none"/>
                    </w:rPr>
                    <w:t>环境风险防控</w:t>
                  </w:r>
                </w:p>
              </w:tc>
              <w:tc>
                <w:tcPr>
                  <w:tcW w:w="1585" w:type="pct"/>
                  <w:noWrap w:val="0"/>
                  <w:tcMar>
                    <w:left w:w="57" w:type="dxa"/>
                    <w:right w:w="57" w:type="dxa"/>
                  </w:tcMar>
                  <w:vAlign w:val="center"/>
                </w:tcPr>
                <w:p w14:paraId="5C4C1C3F">
                  <w:pPr>
                    <w:adjustRightInd w:val="0"/>
                    <w:snapToGrid w:val="0"/>
                    <w:spacing w:line="240" w:lineRule="auto"/>
                    <w:ind w:firstLine="0" w:firstLineChars="0"/>
                    <w:jc w:val="left"/>
                    <w:rPr>
                      <w:rFonts w:hint="eastAsia" w:ascii="Times New Roman" w:hAnsi="Times New Roman" w:eastAsia="宋体" w:cs="Times New Roman"/>
                      <w:iCs/>
                      <w:color w:val="auto"/>
                      <w:kern w:val="0"/>
                      <w:sz w:val="21"/>
                      <w:szCs w:val="21"/>
                      <w:highlight w:val="none"/>
                    </w:rPr>
                  </w:pPr>
                  <w:r>
                    <w:rPr>
                      <w:rFonts w:hint="eastAsia" w:ascii="Times New Roman" w:hAnsi="Times New Roman" w:eastAsia="宋体" w:cs="Times New Roman"/>
                      <w:iCs/>
                      <w:color w:val="auto"/>
                      <w:kern w:val="0"/>
                      <w:sz w:val="21"/>
                      <w:szCs w:val="21"/>
                      <w:highlight w:val="none"/>
                    </w:rPr>
                    <w:t>1.</w:t>
                  </w:r>
                  <w:r>
                    <w:rPr>
                      <w:rFonts w:hint="eastAsia" w:ascii="Times New Roman" w:hAnsi="Times New Roman" w:eastAsia="宋体" w:cs="Times New Roman"/>
                      <w:iCs/>
                      <w:color w:val="auto"/>
                      <w:kern w:val="0"/>
                      <w:sz w:val="21"/>
                      <w:szCs w:val="21"/>
                      <w:highlight w:val="none"/>
                      <w:lang w:val="en-US" w:eastAsia="zh-CN"/>
                    </w:rPr>
                    <w:t>建立健全环境风险防控体系，制定环境风险应急预案，建设事故应急池，成立应急组织机构，防止在处理安全生产事故过程中产生的可能严重污染水体的消防废水、废液直接排入水体。</w:t>
                  </w:r>
                </w:p>
              </w:tc>
              <w:tc>
                <w:tcPr>
                  <w:tcW w:w="1358" w:type="pct"/>
                  <w:noWrap w:val="0"/>
                  <w:tcMar>
                    <w:left w:w="57" w:type="dxa"/>
                    <w:right w:w="57" w:type="dxa"/>
                  </w:tcMar>
                  <w:vAlign w:val="center"/>
                </w:tcPr>
                <w:p w14:paraId="47DCA0B6">
                  <w:pPr>
                    <w:adjustRightInd w:val="0"/>
                    <w:snapToGrid w:val="0"/>
                    <w:spacing w:line="240" w:lineRule="auto"/>
                    <w:ind w:firstLine="0" w:firstLineChars="0"/>
                    <w:jc w:val="center"/>
                    <w:rPr>
                      <w:rFonts w:hint="eastAsia" w:ascii="Times New Roman" w:hAnsi="Times New Roman" w:eastAsia="宋体" w:cs="Times New Roman"/>
                      <w:iCs/>
                      <w:color w:val="auto"/>
                      <w:kern w:val="0"/>
                      <w:sz w:val="21"/>
                      <w:szCs w:val="21"/>
                      <w:highlight w:val="none"/>
                      <w:lang w:val="en-US" w:eastAsia="zh-CN"/>
                    </w:rPr>
                  </w:pPr>
                  <w:r>
                    <w:rPr>
                      <w:rFonts w:hint="default" w:ascii="Times New Roman" w:hAnsi="Times New Roman" w:eastAsia="宋体" w:cs="Times New Roman"/>
                      <w:iCs/>
                      <w:color w:val="auto"/>
                      <w:kern w:val="0"/>
                      <w:sz w:val="21"/>
                      <w:szCs w:val="21"/>
                      <w:highlight w:val="none"/>
                      <w:lang w:val="en-US" w:eastAsia="zh-CN"/>
                    </w:rPr>
                    <w:t>项目建成后将编制突发环境事件应急预案，并按要求完善环境风险防范措施。</w:t>
                  </w:r>
                </w:p>
              </w:tc>
              <w:tc>
                <w:tcPr>
                  <w:tcW w:w="532" w:type="pct"/>
                  <w:vMerge w:val="restart"/>
                  <w:noWrap w:val="0"/>
                  <w:tcMar>
                    <w:left w:w="57" w:type="dxa"/>
                    <w:right w:w="57" w:type="dxa"/>
                  </w:tcMar>
                  <w:vAlign w:val="center"/>
                </w:tcPr>
                <w:p w14:paraId="060BA8B0">
                  <w:pPr>
                    <w:adjustRightInd w:val="0"/>
                    <w:snapToGrid w:val="0"/>
                    <w:spacing w:line="240" w:lineRule="auto"/>
                    <w:ind w:firstLine="0" w:firstLineChars="0"/>
                    <w:jc w:val="center"/>
                    <w:rPr>
                      <w:iCs/>
                      <w:color w:val="auto"/>
                      <w:kern w:val="0"/>
                      <w:sz w:val="21"/>
                      <w:szCs w:val="21"/>
                      <w:highlight w:val="none"/>
                    </w:rPr>
                  </w:pPr>
                  <w:r>
                    <w:rPr>
                      <w:rFonts w:hint="eastAsia"/>
                      <w:iCs/>
                      <w:color w:val="auto"/>
                      <w:kern w:val="0"/>
                      <w:sz w:val="21"/>
                      <w:szCs w:val="21"/>
                      <w:highlight w:val="none"/>
                    </w:rPr>
                    <w:t>符合</w:t>
                  </w:r>
                </w:p>
              </w:tc>
            </w:tr>
            <w:tr w14:paraId="083819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589" w:type="pct"/>
                  <w:vMerge w:val="continue"/>
                  <w:noWrap w:val="0"/>
                  <w:tcMar>
                    <w:left w:w="57" w:type="dxa"/>
                    <w:right w:w="57" w:type="dxa"/>
                  </w:tcMar>
                  <w:vAlign w:val="center"/>
                </w:tcPr>
                <w:p w14:paraId="1B8949D0">
                  <w:pPr>
                    <w:adjustRightInd w:val="0"/>
                    <w:snapToGrid w:val="0"/>
                    <w:spacing w:line="240" w:lineRule="auto"/>
                    <w:ind w:firstLine="0" w:firstLineChars="0"/>
                    <w:jc w:val="left"/>
                    <w:rPr>
                      <w:color w:val="auto"/>
                      <w:highlight w:val="none"/>
                    </w:rPr>
                  </w:pPr>
                </w:p>
              </w:tc>
              <w:tc>
                <w:tcPr>
                  <w:tcW w:w="516" w:type="pct"/>
                  <w:vMerge w:val="continue"/>
                  <w:noWrap w:val="0"/>
                  <w:tcMar>
                    <w:left w:w="57" w:type="dxa"/>
                    <w:right w:w="57" w:type="dxa"/>
                  </w:tcMar>
                  <w:vAlign w:val="center"/>
                </w:tcPr>
                <w:p w14:paraId="474FE6F1">
                  <w:pPr>
                    <w:adjustRightInd w:val="0"/>
                    <w:snapToGrid w:val="0"/>
                    <w:spacing w:line="240" w:lineRule="auto"/>
                    <w:ind w:firstLine="0" w:firstLineChars="0"/>
                    <w:jc w:val="left"/>
                    <w:rPr>
                      <w:color w:val="auto"/>
                      <w:highlight w:val="none"/>
                    </w:rPr>
                  </w:pPr>
                </w:p>
              </w:tc>
              <w:tc>
                <w:tcPr>
                  <w:tcW w:w="417" w:type="pct"/>
                  <w:vMerge w:val="continue"/>
                  <w:noWrap w:val="0"/>
                  <w:tcMar>
                    <w:left w:w="57" w:type="dxa"/>
                    <w:right w:w="57" w:type="dxa"/>
                  </w:tcMar>
                  <w:vAlign w:val="center"/>
                </w:tcPr>
                <w:p w14:paraId="7E2151D1">
                  <w:pPr>
                    <w:adjustRightInd w:val="0"/>
                    <w:snapToGrid w:val="0"/>
                    <w:spacing w:line="240" w:lineRule="auto"/>
                    <w:ind w:firstLine="0" w:firstLineChars="0"/>
                    <w:jc w:val="center"/>
                    <w:rPr>
                      <w:rFonts w:hint="eastAsia"/>
                      <w:iCs/>
                      <w:color w:val="auto"/>
                      <w:kern w:val="0"/>
                      <w:sz w:val="21"/>
                      <w:szCs w:val="21"/>
                      <w:highlight w:val="none"/>
                    </w:rPr>
                  </w:pPr>
                </w:p>
              </w:tc>
              <w:tc>
                <w:tcPr>
                  <w:tcW w:w="1585" w:type="pct"/>
                  <w:noWrap w:val="0"/>
                  <w:tcMar>
                    <w:left w:w="57" w:type="dxa"/>
                    <w:right w:w="57" w:type="dxa"/>
                  </w:tcMar>
                  <w:vAlign w:val="center"/>
                </w:tcPr>
                <w:p w14:paraId="5462557C">
                  <w:pPr>
                    <w:adjustRightInd w:val="0"/>
                    <w:snapToGrid w:val="0"/>
                    <w:spacing w:line="240" w:lineRule="auto"/>
                    <w:ind w:firstLine="0" w:firstLineChars="0"/>
                    <w:jc w:val="left"/>
                    <w:rPr>
                      <w:rFonts w:hint="eastAsia" w:ascii="Times New Roman" w:hAnsi="Times New Roman" w:eastAsia="宋体" w:cs="Times New Roman"/>
                      <w:iCs/>
                      <w:color w:val="auto"/>
                      <w:kern w:val="0"/>
                      <w:sz w:val="21"/>
                      <w:szCs w:val="21"/>
                      <w:highlight w:val="none"/>
                      <w:lang w:val="en-US" w:eastAsia="zh-CN"/>
                    </w:rPr>
                  </w:pPr>
                  <w:r>
                    <w:rPr>
                      <w:rFonts w:hint="eastAsia" w:ascii="Times New Roman" w:hAnsi="Times New Roman" w:eastAsia="宋体" w:cs="Times New Roman"/>
                      <w:iCs/>
                      <w:color w:val="auto"/>
                      <w:kern w:val="0"/>
                      <w:sz w:val="21"/>
                      <w:szCs w:val="21"/>
                      <w:highlight w:val="none"/>
                    </w:rPr>
                    <w:t>2</w:t>
                  </w:r>
                  <w:r>
                    <w:rPr>
                      <w:rFonts w:hint="eastAsia" w:ascii="Times New Roman" w:hAnsi="Times New Roman" w:eastAsia="宋体" w:cs="Times New Roman"/>
                      <w:iCs/>
                      <w:color w:val="auto"/>
                      <w:kern w:val="0"/>
                      <w:sz w:val="21"/>
                      <w:szCs w:val="21"/>
                      <w:highlight w:val="none"/>
                      <w:lang w:val="en-US" w:eastAsia="zh-CN"/>
                    </w:rPr>
                    <w:t>.应采取有效措施防止园区建设对区域地下水、土壤造成污染。</w:t>
                  </w:r>
                </w:p>
              </w:tc>
              <w:tc>
                <w:tcPr>
                  <w:tcW w:w="1358" w:type="pct"/>
                  <w:noWrap w:val="0"/>
                  <w:tcMar>
                    <w:left w:w="57" w:type="dxa"/>
                    <w:right w:w="57" w:type="dxa"/>
                  </w:tcMar>
                  <w:vAlign w:val="center"/>
                </w:tcPr>
                <w:p w14:paraId="5309B773">
                  <w:pPr>
                    <w:adjustRightInd w:val="0"/>
                    <w:snapToGrid w:val="0"/>
                    <w:spacing w:line="240" w:lineRule="auto"/>
                    <w:ind w:firstLine="0" w:firstLineChars="0"/>
                    <w:jc w:val="center"/>
                    <w:rPr>
                      <w:rFonts w:hint="eastAsia" w:ascii="Times New Roman" w:hAnsi="Times New Roman" w:eastAsia="宋体" w:cs="Times New Roman"/>
                      <w:iCs/>
                      <w:color w:val="auto"/>
                      <w:kern w:val="0"/>
                      <w:sz w:val="21"/>
                      <w:szCs w:val="21"/>
                      <w:highlight w:val="none"/>
                      <w:lang w:val="en-US" w:eastAsia="zh-CN"/>
                    </w:rPr>
                  </w:pPr>
                  <w:r>
                    <w:rPr>
                      <w:rFonts w:hint="default" w:ascii="Times New Roman" w:hAnsi="Times New Roman" w:eastAsia="宋体" w:cs="Times New Roman"/>
                      <w:iCs/>
                      <w:color w:val="auto"/>
                      <w:kern w:val="0"/>
                      <w:sz w:val="21"/>
                      <w:szCs w:val="21"/>
                      <w:highlight w:val="none"/>
                      <w:lang w:val="en-US" w:eastAsia="zh-CN"/>
                    </w:rPr>
                    <w:t>项目厂区车间地面</w:t>
                  </w:r>
                  <w:r>
                    <w:rPr>
                      <w:rFonts w:hint="eastAsia" w:ascii="Times New Roman" w:hAnsi="Times New Roman" w:eastAsia="宋体" w:cs="Times New Roman"/>
                      <w:iCs/>
                      <w:color w:val="auto"/>
                      <w:kern w:val="0"/>
                      <w:sz w:val="21"/>
                      <w:szCs w:val="21"/>
                      <w:highlight w:val="none"/>
                      <w:lang w:val="en-US" w:eastAsia="zh-CN"/>
                    </w:rPr>
                    <w:t>将会进行</w:t>
                  </w:r>
                  <w:r>
                    <w:rPr>
                      <w:rFonts w:hint="default" w:ascii="Times New Roman" w:hAnsi="Times New Roman" w:eastAsia="宋体" w:cs="Times New Roman"/>
                      <w:iCs/>
                      <w:color w:val="auto"/>
                      <w:kern w:val="0"/>
                      <w:sz w:val="21"/>
                      <w:szCs w:val="21"/>
                      <w:highlight w:val="none"/>
                      <w:lang w:val="en-US" w:eastAsia="zh-CN"/>
                    </w:rPr>
                    <w:t>全部硬化，生产过程不排放持久性污染物，严格按照要求对项目进行分区防渗防治后，基本不存在土壤环境风险</w:t>
                  </w:r>
                </w:p>
              </w:tc>
              <w:tc>
                <w:tcPr>
                  <w:tcW w:w="532" w:type="pct"/>
                  <w:vMerge w:val="continue"/>
                  <w:noWrap w:val="0"/>
                  <w:tcMar>
                    <w:left w:w="57" w:type="dxa"/>
                    <w:right w:w="57" w:type="dxa"/>
                  </w:tcMar>
                  <w:vAlign w:val="center"/>
                </w:tcPr>
                <w:p w14:paraId="5A23463C">
                  <w:pPr>
                    <w:adjustRightInd w:val="0"/>
                    <w:snapToGrid w:val="0"/>
                    <w:spacing w:line="240" w:lineRule="auto"/>
                    <w:ind w:firstLine="0" w:firstLineChars="0"/>
                    <w:jc w:val="left"/>
                    <w:rPr>
                      <w:rFonts w:hint="eastAsia"/>
                      <w:iCs/>
                      <w:color w:val="auto"/>
                      <w:kern w:val="0"/>
                      <w:sz w:val="21"/>
                      <w:szCs w:val="21"/>
                      <w:highlight w:val="none"/>
                    </w:rPr>
                  </w:pPr>
                </w:p>
              </w:tc>
            </w:tr>
          </w:tbl>
          <w:p w14:paraId="24F1D682">
            <w:pPr>
              <w:widowControl/>
              <w:ind w:firstLine="0" w:firstLineChars="0"/>
              <w:jc w:val="left"/>
              <w:rPr>
                <w:rFonts w:hint="eastAsia"/>
                <w:b/>
                <w:bCs/>
                <w:color w:val="auto"/>
                <w:kern w:val="0"/>
                <w:sz w:val="28"/>
                <w:szCs w:val="28"/>
                <w:highlight w:val="none"/>
                <w:lang w:bidi="ar"/>
              </w:rPr>
            </w:pPr>
            <w:r>
              <w:rPr>
                <w:rFonts w:hint="eastAsia"/>
                <w:b/>
                <w:bCs/>
                <w:color w:val="auto"/>
                <w:kern w:val="0"/>
                <w:sz w:val="28"/>
                <w:szCs w:val="28"/>
                <w:highlight w:val="none"/>
                <w:lang w:bidi="ar"/>
              </w:rPr>
              <w:t>1.</w:t>
            </w:r>
            <w:r>
              <w:rPr>
                <w:rFonts w:hint="eastAsia"/>
                <w:b/>
                <w:bCs/>
                <w:color w:val="auto"/>
                <w:kern w:val="0"/>
                <w:sz w:val="28"/>
                <w:szCs w:val="28"/>
                <w:highlight w:val="none"/>
                <w:lang w:val="en-US" w:eastAsia="zh-CN" w:bidi="ar"/>
              </w:rPr>
              <w:t>5</w:t>
            </w:r>
            <w:r>
              <w:rPr>
                <w:rFonts w:hint="eastAsia"/>
                <w:b/>
                <w:bCs/>
                <w:color w:val="auto"/>
                <w:kern w:val="0"/>
                <w:sz w:val="28"/>
                <w:szCs w:val="28"/>
                <w:highlight w:val="none"/>
                <w:lang w:bidi="ar"/>
              </w:rPr>
              <w:t xml:space="preserve"> 与挥发性有机物污染防治相关政策符合性分析</w:t>
            </w:r>
          </w:p>
          <w:p w14:paraId="14D863E3">
            <w:pPr>
              <w:ind w:firstLine="480"/>
              <w:rPr>
                <w:color w:val="auto"/>
                <w:highlight w:val="none"/>
              </w:rPr>
            </w:pPr>
            <w:r>
              <w:rPr>
                <w:color w:val="auto"/>
                <w:highlight w:val="none"/>
              </w:rPr>
              <w:t>本项目与挥发性有机物污染防治相关政策符合性分析详见</w:t>
            </w:r>
            <w:r>
              <w:rPr>
                <w:rFonts w:hint="eastAsia"/>
                <w:color w:val="auto"/>
                <w:highlight w:val="none"/>
              </w:rPr>
              <w:t>表1.</w:t>
            </w:r>
            <w:r>
              <w:rPr>
                <w:rFonts w:hint="eastAsia"/>
                <w:color w:val="auto"/>
                <w:highlight w:val="none"/>
                <w:lang w:val="en-US" w:eastAsia="zh-CN"/>
              </w:rPr>
              <w:t>5</w:t>
            </w:r>
            <w:r>
              <w:rPr>
                <w:rFonts w:hint="eastAsia"/>
                <w:color w:val="auto"/>
                <w:highlight w:val="none"/>
              </w:rPr>
              <w:t>-1和表1.</w:t>
            </w:r>
            <w:r>
              <w:rPr>
                <w:rFonts w:hint="eastAsia"/>
                <w:color w:val="auto"/>
                <w:highlight w:val="none"/>
                <w:lang w:val="en-US" w:eastAsia="zh-CN"/>
              </w:rPr>
              <w:t>5</w:t>
            </w:r>
            <w:r>
              <w:rPr>
                <w:rFonts w:hint="eastAsia"/>
                <w:color w:val="auto"/>
                <w:highlight w:val="none"/>
              </w:rPr>
              <w:t>-2</w:t>
            </w:r>
            <w:r>
              <w:rPr>
                <w:color w:val="auto"/>
                <w:highlight w:val="none"/>
              </w:rPr>
              <w:t>。</w:t>
            </w:r>
          </w:p>
          <w:p w14:paraId="252ACD49">
            <w:pPr>
              <w:pStyle w:val="104"/>
              <w:rPr>
                <w:rFonts w:hint="eastAsia"/>
                <w:color w:val="auto"/>
                <w:highlight w:val="none"/>
              </w:rPr>
            </w:pPr>
            <w:r>
              <w:rPr>
                <w:rFonts w:hint="eastAsia"/>
                <w:color w:val="auto"/>
                <w:highlight w:val="none"/>
              </w:rPr>
              <w:t>表1.</w:t>
            </w:r>
            <w:r>
              <w:rPr>
                <w:rFonts w:hint="eastAsia"/>
                <w:color w:val="auto"/>
                <w:highlight w:val="none"/>
                <w:lang w:val="en-US" w:eastAsia="zh-CN"/>
              </w:rPr>
              <w:t>5</w:t>
            </w:r>
            <w:r>
              <w:rPr>
                <w:rFonts w:hint="eastAsia"/>
                <w:color w:val="auto"/>
                <w:highlight w:val="none"/>
              </w:rPr>
              <w:t>-1  与挥发性有机物污染防治相关政策符合性分析</w:t>
            </w:r>
          </w:p>
          <w:tbl>
            <w:tblPr>
              <w:tblStyle w:val="27"/>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547"/>
              <w:gridCol w:w="1170"/>
              <w:gridCol w:w="2687"/>
              <w:gridCol w:w="1882"/>
              <w:gridCol w:w="559"/>
            </w:tblGrid>
            <w:tr w14:paraId="2F87AD3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57" w:hRule="atLeast"/>
                <w:jc w:val="center"/>
              </w:trPr>
              <w:tc>
                <w:tcPr>
                  <w:tcW w:w="547" w:type="dxa"/>
                  <w:noWrap w:val="0"/>
                  <w:vAlign w:val="center"/>
                </w:tcPr>
                <w:p w14:paraId="1ED9C6F2">
                  <w:pPr>
                    <w:adjustRightInd w:val="0"/>
                    <w:snapToGrid w:val="0"/>
                    <w:spacing w:line="240" w:lineRule="auto"/>
                    <w:ind w:firstLine="0" w:firstLineChars="0"/>
                    <w:jc w:val="center"/>
                    <w:rPr>
                      <w:rFonts w:hint="eastAsia"/>
                      <w:b/>
                      <w:bCs/>
                      <w:iCs/>
                      <w:color w:val="auto"/>
                      <w:kern w:val="0"/>
                      <w:sz w:val="21"/>
                      <w:szCs w:val="21"/>
                      <w:highlight w:val="none"/>
                    </w:rPr>
                  </w:pPr>
                  <w:r>
                    <w:rPr>
                      <w:rFonts w:hint="eastAsia"/>
                      <w:b/>
                      <w:bCs/>
                      <w:iCs/>
                      <w:color w:val="auto"/>
                      <w:kern w:val="0"/>
                      <w:sz w:val="21"/>
                      <w:szCs w:val="21"/>
                      <w:highlight w:val="none"/>
                    </w:rPr>
                    <w:t>序号</w:t>
                  </w:r>
                </w:p>
              </w:tc>
              <w:tc>
                <w:tcPr>
                  <w:tcW w:w="1170" w:type="dxa"/>
                  <w:noWrap w:val="0"/>
                  <w:vAlign w:val="center"/>
                </w:tcPr>
                <w:p w14:paraId="17363A29">
                  <w:pPr>
                    <w:adjustRightInd w:val="0"/>
                    <w:snapToGrid w:val="0"/>
                    <w:spacing w:line="240" w:lineRule="auto"/>
                    <w:ind w:firstLine="0" w:firstLineChars="0"/>
                    <w:jc w:val="center"/>
                    <w:rPr>
                      <w:rFonts w:hint="eastAsia"/>
                      <w:b/>
                      <w:bCs/>
                      <w:iCs/>
                      <w:color w:val="auto"/>
                      <w:kern w:val="0"/>
                      <w:sz w:val="21"/>
                      <w:szCs w:val="21"/>
                      <w:highlight w:val="none"/>
                    </w:rPr>
                  </w:pPr>
                  <w:r>
                    <w:rPr>
                      <w:rFonts w:hint="eastAsia"/>
                      <w:b/>
                      <w:bCs/>
                      <w:iCs/>
                      <w:color w:val="auto"/>
                      <w:kern w:val="0"/>
                      <w:sz w:val="21"/>
                      <w:szCs w:val="21"/>
                      <w:highlight w:val="none"/>
                    </w:rPr>
                    <w:t>相关文</w:t>
                  </w:r>
                </w:p>
                <w:p w14:paraId="4144C650">
                  <w:pPr>
                    <w:adjustRightInd w:val="0"/>
                    <w:snapToGrid w:val="0"/>
                    <w:spacing w:line="240" w:lineRule="auto"/>
                    <w:ind w:firstLine="0" w:firstLineChars="0"/>
                    <w:jc w:val="center"/>
                    <w:rPr>
                      <w:rFonts w:hint="eastAsia"/>
                      <w:b/>
                      <w:bCs/>
                      <w:iCs/>
                      <w:color w:val="auto"/>
                      <w:kern w:val="0"/>
                      <w:sz w:val="21"/>
                      <w:szCs w:val="21"/>
                      <w:highlight w:val="none"/>
                    </w:rPr>
                  </w:pPr>
                  <w:r>
                    <w:rPr>
                      <w:rFonts w:hint="eastAsia"/>
                      <w:b/>
                      <w:bCs/>
                      <w:iCs/>
                      <w:color w:val="auto"/>
                      <w:kern w:val="0"/>
                      <w:sz w:val="21"/>
                      <w:szCs w:val="21"/>
                      <w:highlight w:val="none"/>
                    </w:rPr>
                    <w:t>件名称</w:t>
                  </w:r>
                </w:p>
              </w:tc>
              <w:tc>
                <w:tcPr>
                  <w:tcW w:w="2687" w:type="dxa"/>
                  <w:noWrap w:val="0"/>
                  <w:vAlign w:val="center"/>
                </w:tcPr>
                <w:p w14:paraId="6CC09671">
                  <w:pPr>
                    <w:adjustRightInd w:val="0"/>
                    <w:snapToGrid w:val="0"/>
                    <w:spacing w:line="240" w:lineRule="auto"/>
                    <w:ind w:firstLine="0" w:firstLineChars="0"/>
                    <w:jc w:val="center"/>
                    <w:rPr>
                      <w:rFonts w:hint="eastAsia"/>
                      <w:b/>
                      <w:bCs/>
                      <w:iCs/>
                      <w:color w:val="auto"/>
                      <w:kern w:val="0"/>
                      <w:sz w:val="21"/>
                      <w:szCs w:val="21"/>
                      <w:highlight w:val="none"/>
                    </w:rPr>
                  </w:pPr>
                  <w:r>
                    <w:rPr>
                      <w:rFonts w:hint="eastAsia"/>
                      <w:b/>
                      <w:bCs/>
                      <w:iCs/>
                      <w:color w:val="auto"/>
                      <w:kern w:val="0"/>
                      <w:sz w:val="21"/>
                      <w:szCs w:val="21"/>
                      <w:highlight w:val="none"/>
                    </w:rPr>
                    <w:t>相关内容</w:t>
                  </w:r>
                </w:p>
              </w:tc>
              <w:tc>
                <w:tcPr>
                  <w:tcW w:w="1882" w:type="dxa"/>
                  <w:noWrap w:val="0"/>
                  <w:vAlign w:val="center"/>
                </w:tcPr>
                <w:p w14:paraId="3C719088">
                  <w:pPr>
                    <w:adjustRightInd w:val="0"/>
                    <w:snapToGrid w:val="0"/>
                    <w:spacing w:line="240" w:lineRule="auto"/>
                    <w:ind w:firstLine="0" w:firstLineChars="0"/>
                    <w:jc w:val="center"/>
                    <w:rPr>
                      <w:rFonts w:hint="eastAsia"/>
                      <w:b/>
                      <w:bCs/>
                      <w:iCs/>
                      <w:color w:val="auto"/>
                      <w:kern w:val="0"/>
                      <w:sz w:val="21"/>
                      <w:szCs w:val="21"/>
                      <w:highlight w:val="none"/>
                    </w:rPr>
                  </w:pPr>
                  <w:r>
                    <w:rPr>
                      <w:rFonts w:hint="eastAsia"/>
                      <w:b/>
                      <w:bCs/>
                      <w:iCs/>
                      <w:color w:val="auto"/>
                      <w:kern w:val="0"/>
                      <w:sz w:val="21"/>
                      <w:szCs w:val="21"/>
                      <w:highlight w:val="none"/>
                    </w:rPr>
                    <w:t>项目情况</w:t>
                  </w:r>
                </w:p>
              </w:tc>
              <w:tc>
                <w:tcPr>
                  <w:tcW w:w="559" w:type="dxa"/>
                  <w:noWrap w:val="0"/>
                  <w:vAlign w:val="center"/>
                </w:tcPr>
                <w:p w14:paraId="6B96E2AC">
                  <w:pPr>
                    <w:adjustRightInd w:val="0"/>
                    <w:snapToGrid w:val="0"/>
                    <w:spacing w:line="240" w:lineRule="auto"/>
                    <w:ind w:firstLine="0" w:firstLineChars="0"/>
                    <w:jc w:val="center"/>
                    <w:rPr>
                      <w:rFonts w:hint="eastAsia"/>
                      <w:b/>
                      <w:bCs/>
                      <w:iCs/>
                      <w:color w:val="auto"/>
                      <w:kern w:val="0"/>
                      <w:sz w:val="21"/>
                      <w:szCs w:val="21"/>
                      <w:highlight w:val="none"/>
                    </w:rPr>
                  </w:pPr>
                  <w:r>
                    <w:rPr>
                      <w:rFonts w:hint="eastAsia"/>
                      <w:b/>
                      <w:bCs/>
                      <w:iCs/>
                      <w:color w:val="auto"/>
                      <w:kern w:val="0"/>
                      <w:sz w:val="21"/>
                      <w:szCs w:val="21"/>
                      <w:highlight w:val="none"/>
                    </w:rPr>
                    <w:t>符合</w:t>
                  </w:r>
                </w:p>
                <w:p w14:paraId="28A22BD9">
                  <w:pPr>
                    <w:adjustRightInd w:val="0"/>
                    <w:snapToGrid w:val="0"/>
                    <w:spacing w:line="240" w:lineRule="auto"/>
                    <w:ind w:firstLine="0" w:firstLineChars="0"/>
                    <w:jc w:val="center"/>
                    <w:rPr>
                      <w:rFonts w:hint="eastAsia"/>
                      <w:b/>
                      <w:bCs/>
                      <w:iCs/>
                      <w:color w:val="auto"/>
                      <w:kern w:val="0"/>
                      <w:sz w:val="21"/>
                      <w:szCs w:val="21"/>
                      <w:highlight w:val="none"/>
                    </w:rPr>
                  </w:pPr>
                  <w:r>
                    <w:rPr>
                      <w:rFonts w:hint="eastAsia"/>
                      <w:b/>
                      <w:bCs/>
                      <w:iCs/>
                      <w:color w:val="auto"/>
                      <w:kern w:val="0"/>
                      <w:sz w:val="21"/>
                      <w:szCs w:val="21"/>
                      <w:highlight w:val="none"/>
                    </w:rPr>
                    <w:t>性</w:t>
                  </w:r>
                </w:p>
              </w:tc>
            </w:tr>
            <w:tr w14:paraId="688F9F1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47" w:type="dxa"/>
                  <w:noWrap w:val="0"/>
                  <w:vAlign w:val="center"/>
                </w:tcPr>
                <w:p w14:paraId="74F7BD3F">
                  <w:pPr>
                    <w:adjustRightInd w:val="0"/>
                    <w:snapToGrid w:val="0"/>
                    <w:spacing w:line="240" w:lineRule="auto"/>
                    <w:ind w:firstLine="0" w:firstLineChars="0"/>
                    <w:jc w:val="center"/>
                    <w:rPr>
                      <w:rFonts w:hint="eastAsia"/>
                      <w:iCs/>
                      <w:color w:val="auto"/>
                      <w:kern w:val="0"/>
                      <w:sz w:val="21"/>
                      <w:szCs w:val="21"/>
                      <w:highlight w:val="none"/>
                    </w:rPr>
                  </w:pPr>
                  <w:r>
                    <w:rPr>
                      <w:rFonts w:hint="eastAsia"/>
                      <w:iCs/>
                      <w:color w:val="auto"/>
                      <w:kern w:val="0"/>
                      <w:sz w:val="21"/>
                      <w:szCs w:val="21"/>
                      <w:highlight w:val="none"/>
                    </w:rPr>
                    <w:t>1</w:t>
                  </w:r>
                </w:p>
              </w:tc>
              <w:tc>
                <w:tcPr>
                  <w:tcW w:w="1170" w:type="dxa"/>
                  <w:noWrap w:val="0"/>
                  <w:vAlign w:val="center"/>
                </w:tcPr>
                <w:p w14:paraId="1E2E6A67">
                  <w:pPr>
                    <w:adjustRightInd w:val="0"/>
                    <w:snapToGrid w:val="0"/>
                    <w:spacing w:line="240" w:lineRule="auto"/>
                    <w:ind w:firstLine="0" w:firstLineChars="0"/>
                    <w:jc w:val="center"/>
                    <w:rPr>
                      <w:rFonts w:hint="eastAsia"/>
                      <w:iCs/>
                      <w:color w:val="auto"/>
                      <w:kern w:val="0"/>
                      <w:sz w:val="21"/>
                      <w:szCs w:val="21"/>
                      <w:highlight w:val="none"/>
                    </w:rPr>
                  </w:pPr>
                  <w:r>
                    <w:rPr>
                      <w:rFonts w:hint="eastAsia"/>
                      <w:iCs/>
                      <w:color w:val="auto"/>
                      <w:kern w:val="0"/>
                      <w:sz w:val="21"/>
                      <w:szCs w:val="21"/>
                      <w:highlight w:val="none"/>
                    </w:rPr>
                    <w:t>“十三五”挥发性有机物污染防治工作方案</w:t>
                  </w:r>
                </w:p>
              </w:tc>
              <w:tc>
                <w:tcPr>
                  <w:tcW w:w="2687" w:type="dxa"/>
                  <w:noWrap w:val="0"/>
                  <w:vAlign w:val="center"/>
                </w:tcPr>
                <w:p w14:paraId="3693112E">
                  <w:pPr>
                    <w:adjustRightInd w:val="0"/>
                    <w:snapToGrid w:val="0"/>
                    <w:spacing w:line="240" w:lineRule="auto"/>
                    <w:ind w:firstLine="0" w:firstLineChars="0"/>
                    <w:jc w:val="left"/>
                    <w:rPr>
                      <w:rFonts w:hint="eastAsia"/>
                      <w:iCs/>
                      <w:color w:val="auto"/>
                      <w:kern w:val="0"/>
                      <w:sz w:val="21"/>
                      <w:szCs w:val="21"/>
                      <w:highlight w:val="none"/>
                    </w:rPr>
                  </w:pPr>
                  <w:r>
                    <w:rPr>
                      <w:rFonts w:hint="eastAsia"/>
                      <w:iCs/>
                      <w:color w:val="auto"/>
                      <w:kern w:val="0"/>
                      <w:sz w:val="21"/>
                      <w:szCs w:val="21"/>
                      <w:highlight w:val="none"/>
                    </w:rPr>
                    <w:t>四、主要任务</w:t>
                  </w:r>
                </w:p>
                <w:p w14:paraId="46111C11">
                  <w:pPr>
                    <w:adjustRightInd w:val="0"/>
                    <w:snapToGrid w:val="0"/>
                    <w:spacing w:line="240" w:lineRule="auto"/>
                    <w:ind w:firstLine="0" w:firstLineChars="0"/>
                    <w:jc w:val="left"/>
                    <w:rPr>
                      <w:rFonts w:hint="eastAsia"/>
                      <w:iCs/>
                      <w:color w:val="auto"/>
                      <w:kern w:val="0"/>
                      <w:sz w:val="21"/>
                      <w:szCs w:val="21"/>
                      <w:highlight w:val="none"/>
                    </w:rPr>
                  </w:pPr>
                  <w:r>
                    <w:rPr>
                      <w:rFonts w:hint="eastAsia"/>
                      <w:iCs/>
                      <w:color w:val="auto"/>
                      <w:kern w:val="0"/>
                      <w:sz w:val="21"/>
                      <w:szCs w:val="21"/>
                      <w:highlight w:val="none"/>
                    </w:rPr>
                    <w:t>（一）加大产业结构调整力度</w:t>
                  </w:r>
                </w:p>
                <w:p w14:paraId="5C5D433B">
                  <w:pPr>
                    <w:adjustRightInd w:val="0"/>
                    <w:snapToGrid w:val="0"/>
                    <w:spacing w:line="240" w:lineRule="auto"/>
                    <w:ind w:firstLine="0" w:firstLineChars="0"/>
                    <w:jc w:val="left"/>
                    <w:rPr>
                      <w:rFonts w:hint="eastAsia"/>
                      <w:iCs/>
                      <w:color w:val="auto"/>
                      <w:kern w:val="0"/>
                      <w:sz w:val="21"/>
                      <w:szCs w:val="21"/>
                      <w:highlight w:val="none"/>
                    </w:rPr>
                  </w:pPr>
                  <w:r>
                    <w:rPr>
                      <w:rFonts w:hint="eastAsia"/>
                      <w:iCs/>
                      <w:color w:val="auto"/>
                      <w:kern w:val="0"/>
                      <w:sz w:val="21"/>
                      <w:szCs w:val="21"/>
                      <w:highlight w:val="none"/>
                    </w:rPr>
                    <w:t>2.严格建设项目环境准入。</w:t>
                  </w:r>
                </w:p>
                <w:p w14:paraId="79E48397">
                  <w:pPr>
                    <w:adjustRightInd w:val="0"/>
                    <w:snapToGrid w:val="0"/>
                    <w:spacing w:line="240" w:lineRule="auto"/>
                    <w:ind w:firstLine="0" w:firstLineChars="0"/>
                    <w:jc w:val="left"/>
                    <w:rPr>
                      <w:rFonts w:hint="eastAsia"/>
                      <w:iCs/>
                      <w:color w:val="auto"/>
                      <w:kern w:val="0"/>
                      <w:sz w:val="21"/>
                      <w:szCs w:val="21"/>
                      <w:highlight w:val="none"/>
                    </w:rPr>
                  </w:pPr>
                  <w:r>
                    <w:rPr>
                      <w:rFonts w:hint="eastAsia"/>
                      <w:iCs/>
                      <w:color w:val="auto"/>
                      <w:kern w:val="0"/>
                      <w:sz w:val="21"/>
                      <w:szCs w:val="21"/>
                      <w:highlight w:val="none"/>
                    </w:rPr>
                    <w:t>提高VOCs排放重点行业环保准入门槛，严格控制新增污染物排放量。……新建涉VOCs排放的工业企业要入园。……新、改、扩建涉VOCs排放项目，应从源头加强控制，使用低（无）VOCs含量的原辅材料，加强废气收集，安装高效治理设施。</w:t>
                  </w:r>
                </w:p>
              </w:tc>
              <w:tc>
                <w:tcPr>
                  <w:tcW w:w="1882" w:type="dxa"/>
                  <w:vMerge w:val="restart"/>
                  <w:noWrap w:val="0"/>
                  <w:vAlign w:val="center"/>
                </w:tcPr>
                <w:p w14:paraId="25420A83">
                  <w:pPr>
                    <w:adjustRightInd w:val="0"/>
                    <w:snapToGrid w:val="0"/>
                    <w:spacing w:line="240" w:lineRule="auto"/>
                    <w:ind w:firstLine="0" w:firstLineChars="0"/>
                    <w:jc w:val="center"/>
                    <w:rPr>
                      <w:rFonts w:hint="eastAsia" w:ascii="Times New Roman" w:hAnsi="Times New Roman" w:eastAsia="宋体" w:cs="Times New Roman"/>
                      <w:iCs/>
                      <w:color w:val="auto"/>
                      <w:kern w:val="0"/>
                      <w:sz w:val="21"/>
                      <w:szCs w:val="21"/>
                      <w:highlight w:val="none"/>
                    </w:rPr>
                  </w:pPr>
                  <w:r>
                    <w:rPr>
                      <w:rFonts w:hint="eastAsia" w:ascii="Times New Roman" w:hAnsi="Times New Roman" w:eastAsia="宋体" w:cs="Times New Roman"/>
                      <w:iCs/>
                      <w:color w:val="auto"/>
                      <w:kern w:val="0"/>
                      <w:sz w:val="21"/>
                      <w:szCs w:val="21"/>
                      <w:highlight w:val="none"/>
                      <w:lang w:val="en-US" w:eastAsia="zh-CN"/>
                    </w:rPr>
                    <w:t>本项目使用的原料均为国家允许使用的原材料，生产车间密闭，产生的挥发性有机物（以非甲烷总烃计）采用集气罩</w:t>
                  </w:r>
                  <w:r>
                    <w:rPr>
                      <w:rFonts w:hint="eastAsia" w:cs="Times New Roman"/>
                      <w:iCs/>
                      <w:color w:val="auto"/>
                      <w:kern w:val="0"/>
                      <w:sz w:val="21"/>
                      <w:szCs w:val="21"/>
                      <w:highlight w:val="none"/>
                      <w:lang w:val="en-US" w:eastAsia="zh-CN"/>
                    </w:rPr>
                    <w:t>负压</w:t>
                  </w:r>
                  <w:r>
                    <w:rPr>
                      <w:rFonts w:hint="eastAsia" w:ascii="Times New Roman" w:hAnsi="Times New Roman" w:eastAsia="宋体" w:cs="Times New Roman"/>
                      <w:iCs/>
                      <w:color w:val="auto"/>
                      <w:kern w:val="0"/>
                      <w:sz w:val="21"/>
                      <w:szCs w:val="21"/>
                      <w:highlight w:val="none"/>
                      <w:lang w:val="en-US" w:eastAsia="zh-CN"/>
                    </w:rPr>
                    <w:t>收集</w:t>
                  </w:r>
                  <w:r>
                    <w:rPr>
                      <w:rFonts w:hint="default" w:ascii="Times New Roman" w:hAnsi="Times New Roman" w:eastAsia="宋体" w:cs="Times New Roman"/>
                      <w:iCs/>
                      <w:color w:val="auto"/>
                      <w:kern w:val="0"/>
                      <w:sz w:val="21"/>
                      <w:szCs w:val="21"/>
                      <w:highlight w:val="none"/>
                      <w:lang w:val="en-US" w:eastAsia="zh-CN"/>
                    </w:rPr>
                    <w:t>+</w:t>
                  </w:r>
                  <w:r>
                    <w:rPr>
                      <w:rFonts w:hint="eastAsia" w:ascii="Times New Roman" w:hAnsi="Times New Roman" w:eastAsia="宋体"/>
                      <w:color w:val="auto"/>
                      <w:sz w:val="21"/>
                      <w:szCs w:val="21"/>
                      <w:highlight w:val="none"/>
                      <w:lang w:val="en-US" w:eastAsia="zh-CN"/>
                    </w:rPr>
                    <w:t>喷淋塔+除雾器+活性炭吸附装置</w:t>
                  </w:r>
                  <w:r>
                    <w:rPr>
                      <w:rFonts w:hint="eastAsia" w:ascii="Times New Roman" w:hAnsi="Times New Roman" w:eastAsia="宋体" w:cs="Times New Roman"/>
                      <w:iCs/>
                      <w:color w:val="auto"/>
                      <w:kern w:val="0"/>
                      <w:sz w:val="21"/>
                      <w:szCs w:val="21"/>
                      <w:highlight w:val="none"/>
                      <w:lang w:val="en-US" w:eastAsia="zh-CN"/>
                    </w:rPr>
                    <w:t>措施处理后，经过</w:t>
                  </w:r>
                  <w:r>
                    <w:rPr>
                      <w:rFonts w:hint="default" w:ascii="Times New Roman" w:hAnsi="Times New Roman" w:eastAsia="宋体" w:cs="Times New Roman"/>
                      <w:iCs/>
                      <w:color w:val="auto"/>
                      <w:kern w:val="0"/>
                      <w:sz w:val="21"/>
                      <w:szCs w:val="21"/>
                      <w:highlight w:val="none"/>
                      <w:lang w:val="en-US" w:eastAsia="zh-CN"/>
                    </w:rPr>
                    <w:t>1</w:t>
                  </w:r>
                  <w:r>
                    <w:rPr>
                      <w:rFonts w:hint="eastAsia" w:ascii="Times New Roman" w:hAnsi="Times New Roman" w:eastAsia="宋体" w:cs="Times New Roman"/>
                      <w:iCs/>
                      <w:color w:val="auto"/>
                      <w:kern w:val="0"/>
                      <w:sz w:val="21"/>
                      <w:szCs w:val="21"/>
                      <w:highlight w:val="none"/>
                      <w:lang w:val="en-US" w:eastAsia="zh-CN"/>
                    </w:rPr>
                    <w:t>根</w:t>
                  </w:r>
                  <w:r>
                    <w:rPr>
                      <w:rFonts w:hint="default" w:ascii="Times New Roman" w:hAnsi="Times New Roman" w:eastAsia="宋体" w:cs="Times New Roman"/>
                      <w:iCs/>
                      <w:color w:val="auto"/>
                      <w:kern w:val="0"/>
                      <w:sz w:val="21"/>
                      <w:szCs w:val="21"/>
                      <w:highlight w:val="none"/>
                      <w:lang w:val="en-US" w:eastAsia="zh-CN"/>
                    </w:rPr>
                    <w:t>15m</w:t>
                  </w:r>
                  <w:r>
                    <w:rPr>
                      <w:rFonts w:hint="eastAsia" w:ascii="Times New Roman" w:hAnsi="Times New Roman" w:eastAsia="宋体" w:cs="Times New Roman"/>
                      <w:iCs/>
                      <w:color w:val="auto"/>
                      <w:kern w:val="0"/>
                      <w:sz w:val="21"/>
                      <w:szCs w:val="21"/>
                      <w:highlight w:val="none"/>
                      <w:lang w:val="en-US" w:eastAsia="zh-CN"/>
                    </w:rPr>
                    <w:t>高排气筒（</w:t>
                  </w:r>
                  <w:r>
                    <w:rPr>
                      <w:rFonts w:hint="default" w:ascii="Times New Roman" w:hAnsi="Times New Roman" w:eastAsia="宋体" w:cs="Times New Roman"/>
                      <w:iCs/>
                      <w:color w:val="auto"/>
                      <w:kern w:val="0"/>
                      <w:sz w:val="21"/>
                      <w:szCs w:val="21"/>
                      <w:highlight w:val="none"/>
                      <w:lang w:val="en-US" w:eastAsia="zh-CN"/>
                    </w:rPr>
                    <w:t>DA00</w:t>
                  </w:r>
                  <w:r>
                    <w:rPr>
                      <w:rFonts w:hint="eastAsia" w:ascii="Times New Roman" w:hAnsi="Times New Roman" w:eastAsia="宋体" w:cs="Times New Roman"/>
                      <w:iCs/>
                      <w:color w:val="auto"/>
                      <w:kern w:val="0"/>
                      <w:sz w:val="21"/>
                      <w:szCs w:val="21"/>
                      <w:highlight w:val="none"/>
                      <w:lang w:val="en-US" w:eastAsia="zh-CN"/>
                    </w:rPr>
                    <w:t>3</w:t>
                  </w:r>
                  <w:r>
                    <w:rPr>
                      <w:rFonts w:hint="eastAsia" w:cs="Times New Roman"/>
                      <w:iCs/>
                      <w:color w:val="auto"/>
                      <w:kern w:val="0"/>
                      <w:sz w:val="21"/>
                      <w:szCs w:val="21"/>
                      <w:highlight w:val="none"/>
                      <w:lang w:val="en-US" w:eastAsia="zh-CN"/>
                    </w:rPr>
                    <w:t>、DA006</w:t>
                  </w:r>
                  <w:r>
                    <w:rPr>
                      <w:rFonts w:hint="eastAsia" w:ascii="Times New Roman" w:hAnsi="Times New Roman" w:eastAsia="宋体" w:cs="Times New Roman"/>
                      <w:iCs/>
                      <w:color w:val="auto"/>
                      <w:kern w:val="0"/>
                      <w:sz w:val="21"/>
                      <w:szCs w:val="21"/>
                      <w:highlight w:val="none"/>
                      <w:lang w:val="en-US" w:eastAsia="zh-CN"/>
                    </w:rPr>
                    <w:t>）排放。项目</w:t>
                  </w:r>
                  <w:r>
                    <w:rPr>
                      <w:rFonts w:hint="default" w:ascii="Times New Roman" w:hAnsi="Times New Roman" w:eastAsia="宋体" w:cs="Times New Roman"/>
                      <w:iCs/>
                      <w:color w:val="auto"/>
                      <w:kern w:val="0"/>
                      <w:sz w:val="21"/>
                      <w:szCs w:val="21"/>
                      <w:highlight w:val="none"/>
                      <w:lang w:val="en-US" w:eastAsia="zh-CN"/>
                    </w:rPr>
                    <w:t>VOCs</w:t>
                  </w:r>
                  <w:r>
                    <w:rPr>
                      <w:rFonts w:hint="eastAsia" w:ascii="Times New Roman" w:hAnsi="Times New Roman" w:eastAsia="宋体" w:cs="Times New Roman"/>
                      <w:iCs/>
                      <w:color w:val="auto"/>
                      <w:kern w:val="0"/>
                      <w:sz w:val="21"/>
                      <w:szCs w:val="21"/>
                      <w:highlight w:val="none"/>
                      <w:lang w:val="en-US" w:eastAsia="zh-CN"/>
                    </w:rPr>
                    <w:t>年排放量未超过</w:t>
                  </w:r>
                  <w:r>
                    <w:rPr>
                      <w:rFonts w:hint="default" w:ascii="Times New Roman" w:hAnsi="Times New Roman" w:eastAsia="宋体" w:cs="Times New Roman"/>
                      <w:iCs/>
                      <w:color w:val="auto"/>
                      <w:kern w:val="0"/>
                      <w:sz w:val="21"/>
                      <w:szCs w:val="21"/>
                      <w:highlight w:val="none"/>
                      <w:lang w:val="en-US" w:eastAsia="zh-CN"/>
                    </w:rPr>
                    <w:t>1</w:t>
                  </w:r>
                  <w:r>
                    <w:rPr>
                      <w:rFonts w:hint="eastAsia" w:ascii="Times New Roman" w:hAnsi="Times New Roman" w:eastAsia="宋体" w:cs="Times New Roman"/>
                      <w:iCs/>
                      <w:color w:val="auto"/>
                      <w:kern w:val="0"/>
                      <w:sz w:val="21"/>
                      <w:szCs w:val="21"/>
                      <w:highlight w:val="none"/>
                      <w:lang w:val="en-US" w:eastAsia="zh-CN"/>
                    </w:rPr>
                    <w:t>0吨，不需要安装</w:t>
                  </w:r>
                  <w:r>
                    <w:rPr>
                      <w:rFonts w:hint="default" w:ascii="Times New Roman" w:hAnsi="Times New Roman" w:eastAsia="宋体" w:cs="Times New Roman"/>
                      <w:iCs/>
                      <w:color w:val="auto"/>
                      <w:kern w:val="0"/>
                      <w:sz w:val="21"/>
                      <w:szCs w:val="21"/>
                      <w:highlight w:val="none"/>
                      <w:lang w:val="en-US" w:eastAsia="zh-CN"/>
                    </w:rPr>
                    <w:t>VOCs</w:t>
                  </w:r>
                  <w:r>
                    <w:rPr>
                      <w:rFonts w:hint="eastAsia" w:ascii="Times New Roman" w:hAnsi="Times New Roman" w:eastAsia="宋体" w:cs="Times New Roman"/>
                      <w:iCs/>
                      <w:color w:val="auto"/>
                      <w:kern w:val="0"/>
                      <w:sz w:val="21"/>
                      <w:szCs w:val="21"/>
                      <w:highlight w:val="none"/>
                      <w:lang w:val="en-US" w:eastAsia="zh-CN"/>
                    </w:rPr>
                    <w:t>在线监控设备。符合挥发性有机物污染防治工作方案的要求。</w:t>
                  </w:r>
                </w:p>
                <w:p w14:paraId="4312B699">
                  <w:pPr>
                    <w:adjustRightInd w:val="0"/>
                    <w:snapToGrid w:val="0"/>
                    <w:spacing w:line="240" w:lineRule="auto"/>
                    <w:ind w:firstLine="0" w:firstLineChars="0"/>
                    <w:jc w:val="center"/>
                    <w:rPr>
                      <w:rFonts w:hint="eastAsia" w:ascii="Times New Roman" w:hAnsi="Times New Roman" w:eastAsia="宋体" w:cs="Times New Roman"/>
                      <w:iCs/>
                      <w:color w:val="auto"/>
                      <w:kern w:val="0"/>
                      <w:sz w:val="21"/>
                      <w:szCs w:val="21"/>
                      <w:highlight w:val="none"/>
                    </w:rPr>
                  </w:pPr>
                </w:p>
              </w:tc>
              <w:tc>
                <w:tcPr>
                  <w:tcW w:w="559" w:type="dxa"/>
                  <w:vMerge w:val="restart"/>
                  <w:noWrap w:val="0"/>
                  <w:vAlign w:val="center"/>
                </w:tcPr>
                <w:p w14:paraId="7ED12194">
                  <w:pPr>
                    <w:adjustRightInd w:val="0"/>
                    <w:snapToGrid w:val="0"/>
                    <w:spacing w:line="240" w:lineRule="auto"/>
                    <w:ind w:firstLine="0" w:firstLineChars="0"/>
                    <w:jc w:val="center"/>
                    <w:rPr>
                      <w:rFonts w:hint="eastAsia" w:ascii="Times New Roman" w:hAnsi="Times New Roman" w:eastAsia="宋体" w:cs="Times New Roman"/>
                      <w:iCs/>
                      <w:color w:val="auto"/>
                      <w:kern w:val="0"/>
                      <w:sz w:val="21"/>
                      <w:szCs w:val="21"/>
                      <w:highlight w:val="none"/>
                    </w:rPr>
                  </w:pPr>
                  <w:r>
                    <w:rPr>
                      <w:rFonts w:hint="eastAsia" w:ascii="Times New Roman" w:hAnsi="Times New Roman" w:eastAsia="宋体" w:cs="Times New Roman"/>
                      <w:iCs/>
                      <w:color w:val="auto"/>
                      <w:kern w:val="0"/>
                      <w:sz w:val="21"/>
                      <w:szCs w:val="21"/>
                      <w:highlight w:val="none"/>
                    </w:rPr>
                    <w:t>符合</w:t>
                  </w:r>
                </w:p>
              </w:tc>
            </w:tr>
            <w:tr w14:paraId="6E0399E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47" w:type="dxa"/>
                  <w:noWrap w:val="0"/>
                  <w:vAlign w:val="center"/>
                </w:tcPr>
                <w:p w14:paraId="40A5C786">
                  <w:pPr>
                    <w:adjustRightInd w:val="0"/>
                    <w:snapToGrid w:val="0"/>
                    <w:spacing w:line="240" w:lineRule="auto"/>
                    <w:ind w:firstLine="0" w:firstLineChars="0"/>
                    <w:jc w:val="center"/>
                    <w:rPr>
                      <w:iCs/>
                      <w:color w:val="auto"/>
                      <w:kern w:val="0"/>
                      <w:sz w:val="21"/>
                      <w:szCs w:val="21"/>
                      <w:highlight w:val="none"/>
                    </w:rPr>
                  </w:pPr>
                  <w:r>
                    <w:rPr>
                      <w:rFonts w:hint="eastAsia"/>
                      <w:iCs/>
                      <w:color w:val="auto"/>
                      <w:kern w:val="0"/>
                      <w:sz w:val="21"/>
                      <w:szCs w:val="21"/>
                      <w:highlight w:val="none"/>
                    </w:rPr>
                    <w:t>2</w:t>
                  </w:r>
                </w:p>
              </w:tc>
              <w:tc>
                <w:tcPr>
                  <w:tcW w:w="1170" w:type="dxa"/>
                  <w:noWrap w:val="0"/>
                  <w:vAlign w:val="center"/>
                </w:tcPr>
                <w:p w14:paraId="620A208D">
                  <w:pPr>
                    <w:widowControl w:val="0"/>
                    <w:kinsoku/>
                    <w:autoSpaceDE/>
                    <w:autoSpaceDN/>
                    <w:adjustRightInd w:val="0"/>
                    <w:snapToGrid w:val="0"/>
                    <w:spacing w:line="240" w:lineRule="auto"/>
                    <w:ind w:firstLine="0" w:firstLineChars="0"/>
                    <w:jc w:val="center"/>
                    <w:textAlignment w:val="auto"/>
                    <w:rPr>
                      <w:rFonts w:hint="eastAsia"/>
                      <w:iCs/>
                      <w:color w:val="auto"/>
                      <w:kern w:val="0"/>
                      <w:sz w:val="21"/>
                      <w:szCs w:val="21"/>
                      <w:highlight w:val="none"/>
                    </w:rPr>
                  </w:pPr>
                  <w:r>
                    <w:rPr>
                      <w:rFonts w:hint="eastAsia" w:ascii="Times New Roman" w:hAnsi="Times New Roman" w:eastAsia="宋体" w:cs="Times New Roman"/>
                      <w:iCs/>
                      <w:snapToGrid/>
                      <w:color w:val="auto"/>
                      <w:kern w:val="0"/>
                      <w:sz w:val="21"/>
                      <w:szCs w:val="21"/>
                      <w:highlight w:val="none"/>
                      <w:lang w:eastAsia="zh-CN"/>
                    </w:rPr>
                    <w:t>福建省重点行业挥发性有机物污染防治工作方案</w:t>
                  </w:r>
                </w:p>
              </w:tc>
              <w:tc>
                <w:tcPr>
                  <w:tcW w:w="2687" w:type="dxa"/>
                  <w:noWrap w:val="0"/>
                  <w:vAlign w:val="center"/>
                </w:tcPr>
                <w:p w14:paraId="3AED1278">
                  <w:pPr>
                    <w:widowControl w:val="0"/>
                    <w:kinsoku/>
                    <w:autoSpaceDE/>
                    <w:autoSpaceDN/>
                    <w:adjustRightInd w:val="0"/>
                    <w:snapToGrid w:val="0"/>
                    <w:spacing w:line="240" w:lineRule="auto"/>
                    <w:ind w:firstLine="0" w:firstLineChars="0"/>
                    <w:jc w:val="both"/>
                    <w:textAlignment w:val="auto"/>
                    <w:rPr>
                      <w:rFonts w:hint="eastAsia" w:ascii="Times New Roman" w:hAnsi="Times New Roman" w:eastAsia="宋体" w:cs="Times New Roman"/>
                      <w:iCs/>
                      <w:snapToGrid/>
                      <w:color w:val="auto"/>
                      <w:kern w:val="0"/>
                      <w:sz w:val="21"/>
                      <w:szCs w:val="21"/>
                      <w:highlight w:val="none"/>
                      <w:lang w:eastAsia="zh-CN"/>
                    </w:rPr>
                  </w:pPr>
                  <w:r>
                    <w:rPr>
                      <w:rFonts w:hint="eastAsia" w:ascii="Times New Roman" w:hAnsi="Times New Roman" w:eastAsia="宋体" w:cs="Times New Roman"/>
                      <w:iCs/>
                      <w:snapToGrid/>
                      <w:color w:val="auto"/>
                      <w:kern w:val="0"/>
                      <w:sz w:val="21"/>
                      <w:szCs w:val="21"/>
                      <w:highlight w:val="none"/>
                      <w:lang w:eastAsia="zh-CN"/>
                    </w:rPr>
                    <w:t>二、主要任务</w:t>
                  </w:r>
                </w:p>
                <w:p w14:paraId="3C2401D4">
                  <w:pPr>
                    <w:widowControl w:val="0"/>
                    <w:kinsoku/>
                    <w:autoSpaceDE/>
                    <w:autoSpaceDN/>
                    <w:adjustRightInd w:val="0"/>
                    <w:snapToGrid w:val="0"/>
                    <w:spacing w:line="240" w:lineRule="auto"/>
                    <w:ind w:firstLine="0" w:firstLineChars="0"/>
                    <w:jc w:val="both"/>
                    <w:textAlignment w:val="auto"/>
                    <w:rPr>
                      <w:rFonts w:hint="eastAsia" w:ascii="Times New Roman" w:hAnsi="Times New Roman" w:eastAsia="宋体" w:cs="Times New Roman"/>
                      <w:iCs/>
                      <w:snapToGrid/>
                      <w:color w:val="auto"/>
                      <w:kern w:val="0"/>
                      <w:sz w:val="21"/>
                      <w:szCs w:val="21"/>
                      <w:highlight w:val="none"/>
                      <w:lang w:eastAsia="zh-CN"/>
                    </w:rPr>
                  </w:pPr>
                  <w:r>
                    <w:rPr>
                      <w:rFonts w:hint="eastAsia" w:ascii="Times New Roman" w:hAnsi="Times New Roman" w:eastAsia="宋体" w:cs="Times New Roman"/>
                      <w:iCs/>
                      <w:snapToGrid/>
                      <w:color w:val="auto"/>
                      <w:kern w:val="0"/>
                      <w:sz w:val="21"/>
                      <w:szCs w:val="21"/>
                      <w:highlight w:val="none"/>
                      <w:lang w:eastAsia="zh-CN"/>
                    </w:rPr>
                    <w:t>（</w:t>
                  </w:r>
                  <w:r>
                    <w:rPr>
                      <w:rFonts w:hint="eastAsia" w:ascii="Times New Roman" w:hAnsi="Times New Roman" w:eastAsia="宋体" w:cs="Times New Roman"/>
                      <w:iCs/>
                      <w:snapToGrid/>
                      <w:color w:val="auto"/>
                      <w:kern w:val="0"/>
                      <w:sz w:val="21"/>
                      <w:szCs w:val="21"/>
                      <w:highlight w:val="none"/>
                      <w:lang w:val="en-US" w:eastAsia="zh-CN"/>
                    </w:rPr>
                    <w:t>三</w:t>
                  </w:r>
                  <w:r>
                    <w:rPr>
                      <w:rFonts w:hint="eastAsia" w:ascii="Times New Roman" w:hAnsi="Times New Roman" w:eastAsia="宋体" w:cs="Times New Roman"/>
                      <w:iCs/>
                      <w:snapToGrid/>
                      <w:color w:val="auto"/>
                      <w:kern w:val="0"/>
                      <w:sz w:val="21"/>
                      <w:szCs w:val="21"/>
                      <w:highlight w:val="none"/>
                      <w:lang w:eastAsia="zh-CN"/>
                    </w:rPr>
                    <w:t>）加快推进重点行业VOCs专项整治</w:t>
                  </w:r>
                </w:p>
                <w:p w14:paraId="3C9FC6C6">
                  <w:pPr>
                    <w:widowControl w:val="0"/>
                    <w:kinsoku/>
                    <w:autoSpaceDE/>
                    <w:autoSpaceDN/>
                    <w:adjustRightInd w:val="0"/>
                    <w:snapToGrid w:val="0"/>
                    <w:spacing w:line="240" w:lineRule="auto"/>
                    <w:ind w:firstLine="0" w:firstLineChars="0"/>
                    <w:jc w:val="both"/>
                    <w:textAlignment w:val="auto"/>
                    <w:rPr>
                      <w:rFonts w:hint="eastAsia" w:ascii="Times New Roman" w:hAnsi="Times New Roman" w:eastAsia="宋体" w:cs="Times New Roman"/>
                      <w:iCs/>
                      <w:snapToGrid/>
                      <w:color w:val="auto"/>
                      <w:kern w:val="0"/>
                      <w:sz w:val="21"/>
                      <w:szCs w:val="21"/>
                      <w:highlight w:val="none"/>
                      <w:lang w:eastAsia="zh-CN"/>
                    </w:rPr>
                  </w:pPr>
                  <w:r>
                    <w:rPr>
                      <w:rFonts w:hint="eastAsia" w:ascii="Times New Roman" w:hAnsi="Times New Roman" w:eastAsia="宋体" w:cs="Times New Roman"/>
                      <w:iCs/>
                      <w:snapToGrid/>
                      <w:color w:val="auto"/>
                      <w:kern w:val="0"/>
                      <w:sz w:val="21"/>
                      <w:szCs w:val="21"/>
                      <w:highlight w:val="none"/>
                      <w:lang w:eastAsia="zh-CN"/>
                    </w:rPr>
                    <w:t>（3）加强表面涂装工艺排放VOCs控制</w:t>
                  </w:r>
                </w:p>
                <w:p w14:paraId="46C6652A">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iCs/>
                      <w:color w:val="auto"/>
                      <w:kern w:val="0"/>
                      <w:sz w:val="21"/>
                      <w:szCs w:val="21"/>
                      <w:highlight w:val="none"/>
                    </w:rPr>
                  </w:pPr>
                  <w:r>
                    <w:rPr>
                      <w:rFonts w:hint="eastAsia" w:ascii="Times New Roman" w:hAnsi="Times New Roman" w:eastAsia="宋体" w:cs="Times New Roman"/>
                      <w:iCs/>
                      <w:snapToGrid/>
                      <w:color w:val="auto"/>
                      <w:kern w:val="0"/>
                      <w:sz w:val="21"/>
                      <w:szCs w:val="21"/>
                      <w:highlight w:val="none"/>
                      <w:lang w:eastAsia="zh-CN"/>
                    </w:rPr>
                    <w:t>积极推进汽车制造与维修、船舶制造、集装箱、电子产品、家用电器、家具制造、装备制造、电线电缆等行业表面涂装工艺VOCs的污染控制。全面提高水性、高固份、粉末、紫外光固化涂料等低VOCs含量涂料的使用例比例。使用溶剂型涂料的表面涂装工序必须密闭作业，配备有机废气收集系统，并安装高效回收净化设施，有机废气净化率达到80%以上</w:t>
                  </w:r>
                </w:p>
              </w:tc>
              <w:tc>
                <w:tcPr>
                  <w:tcW w:w="1882" w:type="dxa"/>
                  <w:vMerge w:val="continue"/>
                  <w:noWrap w:val="0"/>
                  <w:vAlign w:val="center"/>
                </w:tcPr>
                <w:p w14:paraId="725913BA">
                  <w:pPr>
                    <w:adjustRightInd w:val="0"/>
                    <w:snapToGrid w:val="0"/>
                    <w:spacing w:line="240" w:lineRule="auto"/>
                    <w:ind w:firstLine="0" w:firstLineChars="0"/>
                    <w:jc w:val="center"/>
                    <w:rPr>
                      <w:rFonts w:hint="eastAsia"/>
                      <w:iCs/>
                      <w:color w:val="auto"/>
                      <w:kern w:val="0"/>
                      <w:sz w:val="21"/>
                      <w:szCs w:val="21"/>
                      <w:highlight w:val="none"/>
                    </w:rPr>
                  </w:pPr>
                </w:p>
              </w:tc>
              <w:tc>
                <w:tcPr>
                  <w:tcW w:w="559" w:type="dxa"/>
                  <w:vMerge w:val="continue"/>
                  <w:noWrap w:val="0"/>
                  <w:vAlign w:val="center"/>
                </w:tcPr>
                <w:p w14:paraId="112252B0">
                  <w:pPr>
                    <w:adjustRightInd w:val="0"/>
                    <w:snapToGrid w:val="0"/>
                    <w:spacing w:line="240" w:lineRule="auto"/>
                    <w:ind w:firstLine="0" w:firstLineChars="0"/>
                    <w:jc w:val="center"/>
                    <w:rPr>
                      <w:iCs/>
                      <w:color w:val="auto"/>
                      <w:kern w:val="0"/>
                      <w:sz w:val="21"/>
                      <w:szCs w:val="21"/>
                      <w:highlight w:val="none"/>
                    </w:rPr>
                  </w:pPr>
                </w:p>
              </w:tc>
            </w:tr>
            <w:tr w14:paraId="2E2FBFE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47" w:type="dxa"/>
                  <w:noWrap w:val="0"/>
                  <w:vAlign w:val="center"/>
                </w:tcPr>
                <w:p w14:paraId="2823905B">
                  <w:pPr>
                    <w:adjustRightInd w:val="0"/>
                    <w:snapToGrid w:val="0"/>
                    <w:spacing w:line="240" w:lineRule="auto"/>
                    <w:ind w:firstLine="0" w:firstLineChars="0"/>
                    <w:jc w:val="center"/>
                    <w:rPr>
                      <w:rFonts w:hint="eastAsia" w:eastAsia="宋体"/>
                      <w:iCs/>
                      <w:color w:val="auto"/>
                      <w:kern w:val="0"/>
                      <w:sz w:val="21"/>
                      <w:szCs w:val="21"/>
                      <w:highlight w:val="none"/>
                      <w:lang w:val="en-US" w:eastAsia="zh-CN"/>
                    </w:rPr>
                  </w:pPr>
                  <w:r>
                    <w:rPr>
                      <w:rFonts w:hint="eastAsia"/>
                      <w:iCs/>
                      <w:color w:val="auto"/>
                      <w:kern w:val="0"/>
                      <w:sz w:val="21"/>
                      <w:szCs w:val="21"/>
                      <w:highlight w:val="none"/>
                      <w:lang w:val="en-US" w:eastAsia="zh-CN"/>
                    </w:rPr>
                    <w:t>3</w:t>
                  </w:r>
                </w:p>
              </w:tc>
              <w:tc>
                <w:tcPr>
                  <w:tcW w:w="1170" w:type="dxa"/>
                  <w:noWrap w:val="0"/>
                  <w:vAlign w:val="center"/>
                </w:tcPr>
                <w:p w14:paraId="5A5BF5AF">
                  <w:pPr>
                    <w:widowControl w:val="0"/>
                    <w:kinsoku/>
                    <w:autoSpaceDE/>
                    <w:autoSpaceDN/>
                    <w:adjustRightInd w:val="0"/>
                    <w:snapToGrid w:val="0"/>
                    <w:spacing w:line="240" w:lineRule="auto"/>
                    <w:ind w:firstLine="0" w:firstLineChars="0"/>
                    <w:jc w:val="center"/>
                    <w:textAlignment w:val="auto"/>
                    <w:rPr>
                      <w:rFonts w:hint="eastAsia" w:ascii="Times New Roman" w:hAnsi="Times New Roman" w:eastAsia="宋体" w:cs="Times New Roman"/>
                      <w:iCs/>
                      <w:snapToGrid/>
                      <w:color w:val="auto"/>
                      <w:kern w:val="0"/>
                      <w:sz w:val="21"/>
                      <w:szCs w:val="21"/>
                      <w:highlight w:val="none"/>
                      <w:lang w:eastAsia="zh-CN"/>
                    </w:rPr>
                  </w:pPr>
                  <w:r>
                    <w:rPr>
                      <w:rFonts w:hint="eastAsia" w:ascii="Times New Roman" w:hAnsi="Times New Roman" w:eastAsia="宋体" w:cs="Times New Roman"/>
                      <w:iCs/>
                      <w:snapToGrid/>
                      <w:color w:val="auto"/>
                      <w:kern w:val="0"/>
                      <w:sz w:val="21"/>
                      <w:szCs w:val="21"/>
                      <w:highlight w:val="none"/>
                      <w:lang w:eastAsia="zh-CN"/>
                    </w:rPr>
                    <w:t>福州市挥发性有机物污染整治工作方案</w:t>
                  </w:r>
                </w:p>
              </w:tc>
              <w:tc>
                <w:tcPr>
                  <w:tcW w:w="2687" w:type="dxa"/>
                  <w:noWrap w:val="0"/>
                  <w:vAlign w:val="center"/>
                </w:tcPr>
                <w:p w14:paraId="31F7B8FA">
                  <w:pPr>
                    <w:widowControl w:val="0"/>
                    <w:kinsoku/>
                    <w:autoSpaceDE/>
                    <w:autoSpaceDN/>
                    <w:adjustRightInd w:val="0"/>
                    <w:snapToGrid w:val="0"/>
                    <w:spacing w:line="240" w:lineRule="auto"/>
                    <w:ind w:firstLine="0" w:firstLineChars="0"/>
                    <w:jc w:val="both"/>
                    <w:textAlignment w:val="auto"/>
                    <w:rPr>
                      <w:rFonts w:hint="eastAsia"/>
                      <w:iCs/>
                      <w:color w:val="auto"/>
                      <w:kern w:val="0"/>
                      <w:sz w:val="21"/>
                      <w:szCs w:val="21"/>
                      <w:highlight w:val="none"/>
                    </w:rPr>
                  </w:pPr>
                  <w:r>
                    <w:rPr>
                      <w:rFonts w:hint="eastAsia" w:ascii="Times New Roman" w:hAnsi="Times New Roman" w:eastAsia="宋体" w:cs="Times New Roman"/>
                      <w:iCs/>
                      <w:snapToGrid/>
                      <w:color w:val="auto"/>
                      <w:kern w:val="0"/>
                      <w:sz w:val="21"/>
                      <w:szCs w:val="21"/>
                      <w:highlight w:val="none"/>
                      <w:lang w:eastAsia="zh-CN"/>
                    </w:rPr>
                    <w:t>（二）严格VOCs项目环境准入提高行业准入门槛，鼓励支持企业通过技改减 少挥发性有机物排放，严格控制新增污染物排 放量，对挥发性有机物新增排放量实行现役源2倍削减量替代。</w:t>
                  </w:r>
                </w:p>
              </w:tc>
              <w:tc>
                <w:tcPr>
                  <w:tcW w:w="1882" w:type="dxa"/>
                  <w:vMerge w:val="continue"/>
                  <w:noWrap w:val="0"/>
                  <w:vAlign w:val="center"/>
                </w:tcPr>
                <w:p w14:paraId="65909134">
                  <w:pPr>
                    <w:adjustRightInd w:val="0"/>
                    <w:snapToGrid w:val="0"/>
                    <w:spacing w:line="240" w:lineRule="auto"/>
                    <w:ind w:firstLine="0" w:firstLineChars="0"/>
                    <w:jc w:val="center"/>
                    <w:rPr>
                      <w:rFonts w:hint="eastAsia"/>
                      <w:iCs/>
                      <w:color w:val="auto"/>
                      <w:kern w:val="0"/>
                      <w:sz w:val="21"/>
                      <w:szCs w:val="21"/>
                      <w:highlight w:val="none"/>
                      <w:lang w:val="en-US" w:eastAsia="zh-CN"/>
                    </w:rPr>
                  </w:pPr>
                </w:p>
              </w:tc>
              <w:tc>
                <w:tcPr>
                  <w:tcW w:w="559" w:type="dxa"/>
                  <w:vMerge w:val="continue"/>
                  <w:noWrap w:val="0"/>
                  <w:vAlign w:val="center"/>
                </w:tcPr>
                <w:p w14:paraId="34807712">
                  <w:pPr>
                    <w:adjustRightInd w:val="0"/>
                    <w:snapToGrid w:val="0"/>
                    <w:spacing w:line="240" w:lineRule="auto"/>
                    <w:ind w:firstLine="0" w:firstLineChars="0"/>
                    <w:jc w:val="center"/>
                    <w:rPr>
                      <w:rFonts w:hint="eastAsia" w:eastAsia="宋体"/>
                      <w:iCs/>
                      <w:color w:val="auto"/>
                      <w:kern w:val="0"/>
                      <w:sz w:val="21"/>
                      <w:szCs w:val="21"/>
                      <w:highlight w:val="none"/>
                      <w:lang w:val="en-US" w:eastAsia="zh-CN"/>
                    </w:rPr>
                  </w:pPr>
                </w:p>
              </w:tc>
            </w:tr>
            <w:tr w14:paraId="63D892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47" w:type="dxa"/>
                  <w:noWrap w:val="0"/>
                  <w:vAlign w:val="center"/>
                </w:tcPr>
                <w:p w14:paraId="6859B4EB">
                  <w:pPr>
                    <w:adjustRightInd w:val="0"/>
                    <w:snapToGrid w:val="0"/>
                    <w:spacing w:line="240" w:lineRule="auto"/>
                    <w:ind w:firstLine="0" w:firstLineChars="0"/>
                    <w:jc w:val="center"/>
                    <w:rPr>
                      <w:rFonts w:hint="default"/>
                      <w:iCs/>
                      <w:color w:val="auto"/>
                      <w:kern w:val="0"/>
                      <w:sz w:val="21"/>
                      <w:szCs w:val="21"/>
                      <w:highlight w:val="none"/>
                      <w:lang w:val="en-US" w:eastAsia="zh-CN"/>
                    </w:rPr>
                  </w:pPr>
                  <w:r>
                    <w:rPr>
                      <w:rFonts w:hint="eastAsia"/>
                      <w:iCs/>
                      <w:color w:val="auto"/>
                      <w:kern w:val="0"/>
                      <w:sz w:val="21"/>
                      <w:szCs w:val="21"/>
                      <w:highlight w:val="none"/>
                      <w:lang w:val="en-US" w:eastAsia="zh-CN"/>
                    </w:rPr>
                    <w:t>4</w:t>
                  </w:r>
                </w:p>
              </w:tc>
              <w:tc>
                <w:tcPr>
                  <w:tcW w:w="1170" w:type="dxa"/>
                  <w:noWrap w:val="0"/>
                  <w:vAlign w:val="center"/>
                </w:tcPr>
                <w:p w14:paraId="00B7E811">
                  <w:pPr>
                    <w:widowControl w:val="0"/>
                    <w:kinsoku/>
                    <w:autoSpaceDE/>
                    <w:autoSpaceDN/>
                    <w:adjustRightInd w:val="0"/>
                    <w:snapToGrid w:val="0"/>
                    <w:spacing w:line="240" w:lineRule="auto"/>
                    <w:ind w:firstLine="0" w:firstLineChars="0"/>
                    <w:jc w:val="center"/>
                    <w:textAlignment w:val="auto"/>
                    <w:rPr>
                      <w:rFonts w:hint="eastAsia" w:ascii="Times New Roman" w:hAnsi="Times New Roman" w:eastAsia="宋体" w:cs="Times New Roman"/>
                      <w:iCs/>
                      <w:snapToGrid/>
                      <w:color w:val="auto"/>
                      <w:kern w:val="0"/>
                      <w:sz w:val="21"/>
                      <w:szCs w:val="21"/>
                      <w:highlight w:val="none"/>
                      <w:lang w:eastAsia="zh-CN"/>
                    </w:rPr>
                  </w:pPr>
                  <w:r>
                    <w:rPr>
                      <w:rFonts w:hint="eastAsia" w:ascii="Times New Roman" w:hAnsi="Times New Roman" w:eastAsia="宋体" w:cs="Times New Roman"/>
                      <w:iCs/>
                      <w:snapToGrid/>
                      <w:color w:val="auto"/>
                      <w:kern w:val="0"/>
                      <w:sz w:val="21"/>
                      <w:szCs w:val="21"/>
                      <w:highlight w:val="none"/>
                      <w:lang w:eastAsia="zh-CN"/>
                    </w:rPr>
                    <w:t>榕环委办〔20</w:t>
                  </w:r>
                  <w:r>
                    <w:rPr>
                      <w:rFonts w:hint="eastAsia" w:ascii="Times New Roman" w:hAnsi="Times New Roman" w:eastAsia="宋体" w:cs="Times New Roman"/>
                      <w:iCs/>
                      <w:snapToGrid/>
                      <w:color w:val="auto"/>
                      <w:kern w:val="0"/>
                      <w:sz w:val="21"/>
                      <w:szCs w:val="21"/>
                      <w:highlight w:val="none"/>
                      <w:lang w:val="en-US" w:eastAsia="zh-CN"/>
                    </w:rPr>
                    <w:t>21</w:t>
                  </w:r>
                  <w:r>
                    <w:rPr>
                      <w:rFonts w:hint="eastAsia" w:ascii="Times New Roman" w:hAnsi="Times New Roman" w:eastAsia="宋体" w:cs="Times New Roman"/>
                      <w:iCs/>
                      <w:snapToGrid/>
                      <w:color w:val="auto"/>
                      <w:kern w:val="0"/>
                      <w:sz w:val="21"/>
                      <w:szCs w:val="21"/>
                      <w:highlight w:val="none"/>
                      <w:lang w:eastAsia="zh-CN"/>
                    </w:rPr>
                    <w:t>〕23号关于印发《2021年福州市提升空气质量行动计划》的通知</w:t>
                  </w:r>
                </w:p>
              </w:tc>
              <w:tc>
                <w:tcPr>
                  <w:tcW w:w="2687" w:type="dxa"/>
                  <w:noWrap w:val="0"/>
                  <w:vAlign w:val="center"/>
                </w:tcPr>
                <w:p w14:paraId="18D8F36D">
                  <w:pPr>
                    <w:widowControl w:val="0"/>
                    <w:kinsoku/>
                    <w:autoSpaceDE/>
                    <w:autoSpaceDN/>
                    <w:adjustRightInd w:val="0"/>
                    <w:snapToGrid w:val="0"/>
                    <w:spacing w:line="240" w:lineRule="auto"/>
                    <w:ind w:firstLine="0" w:firstLineChars="0"/>
                    <w:jc w:val="both"/>
                    <w:textAlignment w:val="auto"/>
                    <w:rPr>
                      <w:rFonts w:hint="eastAsia" w:ascii="Times New Roman" w:hAnsi="Times New Roman" w:eastAsia="宋体" w:cs="Times New Roman"/>
                      <w:iCs/>
                      <w:snapToGrid/>
                      <w:color w:val="auto"/>
                      <w:kern w:val="0"/>
                      <w:sz w:val="21"/>
                      <w:szCs w:val="21"/>
                      <w:highlight w:val="none"/>
                      <w:lang w:eastAsia="zh-CN"/>
                    </w:rPr>
                  </w:pPr>
                  <w:r>
                    <w:rPr>
                      <w:rFonts w:hint="eastAsia" w:ascii="Times New Roman" w:hAnsi="Times New Roman" w:eastAsia="宋体" w:cs="Times New Roman"/>
                      <w:iCs/>
                      <w:snapToGrid/>
                      <w:color w:val="auto"/>
                      <w:kern w:val="0"/>
                      <w:sz w:val="21"/>
                      <w:szCs w:val="21"/>
                      <w:highlight w:val="none"/>
                      <w:lang w:eastAsia="zh-CN"/>
                    </w:rPr>
                    <w:t>（2）严格涉VOCs建设项目环境影响评价审批，新、改、扩建涉VOCs排放项目，应使用低（无）VOCs涂料、粘胶剂等，实施新建项目VOCs排放区域内倍量替代。VOCs年排放量大于10吨的新建项目投运前应安装VOCs在线监控设备，并接入市生态云平台。</w:t>
                  </w:r>
                </w:p>
              </w:tc>
              <w:tc>
                <w:tcPr>
                  <w:tcW w:w="1882" w:type="dxa"/>
                  <w:vMerge w:val="continue"/>
                  <w:noWrap w:val="0"/>
                  <w:vAlign w:val="center"/>
                </w:tcPr>
                <w:p w14:paraId="40E25FAA">
                  <w:pPr>
                    <w:adjustRightInd w:val="0"/>
                    <w:snapToGrid w:val="0"/>
                    <w:spacing w:line="240" w:lineRule="auto"/>
                    <w:ind w:firstLine="0" w:firstLineChars="0"/>
                    <w:jc w:val="center"/>
                    <w:rPr>
                      <w:rFonts w:hint="eastAsia"/>
                      <w:iCs/>
                      <w:color w:val="auto"/>
                      <w:kern w:val="0"/>
                      <w:sz w:val="21"/>
                      <w:szCs w:val="21"/>
                      <w:highlight w:val="none"/>
                      <w:lang w:val="en-US" w:eastAsia="zh-CN"/>
                    </w:rPr>
                  </w:pPr>
                </w:p>
              </w:tc>
              <w:tc>
                <w:tcPr>
                  <w:tcW w:w="559" w:type="dxa"/>
                  <w:vMerge w:val="continue"/>
                  <w:noWrap w:val="0"/>
                  <w:vAlign w:val="center"/>
                </w:tcPr>
                <w:p w14:paraId="18D4CB00">
                  <w:pPr>
                    <w:adjustRightInd w:val="0"/>
                    <w:snapToGrid w:val="0"/>
                    <w:spacing w:line="240" w:lineRule="auto"/>
                    <w:ind w:firstLine="0" w:firstLineChars="0"/>
                    <w:jc w:val="center"/>
                    <w:rPr>
                      <w:rFonts w:hint="default" w:eastAsia="宋体"/>
                      <w:iCs/>
                      <w:color w:val="auto"/>
                      <w:kern w:val="0"/>
                      <w:sz w:val="21"/>
                      <w:szCs w:val="21"/>
                      <w:highlight w:val="none"/>
                      <w:lang w:val="en-US" w:eastAsia="zh-CN"/>
                    </w:rPr>
                  </w:pPr>
                </w:p>
              </w:tc>
            </w:tr>
          </w:tbl>
          <w:p w14:paraId="3596B787">
            <w:pPr>
              <w:ind w:left="0" w:leftChars="0" w:firstLine="0" w:firstLineChars="0"/>
              <w:rPr>
                <w:b/>
                <w:bCs/>
                <w:color w:val="auto"/>
                <w:spacing w:val="7"/>
                <w:highlight w:val="none"/>
              </w:rPr>
            </w:pPr>
          </w:p>
          <w:p w14:paraId="7D19F74B">
            <w:pPr>
              <w:pStyle w:val="104"/>
              <w:rPr>
                <w:rFonts w:hint="eastAsia"/>
                <w:color w:val="auto"/>
                <w:highlight w:val="none"/>
              </w:rPr>
            </w:pPr>
            <w:r>
              <w:rPr>
                <w:rFonts w:hint="eastAsia"/>
                <w:color w:val="auto"/>
                <w:highlight w:val="none"/>
              </w:rPr>
              <w:t>表1.</w:t>
            </w:r>
            <w:r>
              <w:rPr>
                <w:rFonts w:hint="eastAsia"/>
                <w:color w:val="auto"/>
                <w:highlight w:val="none"/>
                <w:lang w:val="en-US" w:eastAsia="zh-CN"/>
              </w:rPr>
              <w:t>5</w:t>
            </w:r>
            <w:r>
              <w:rPr>
                <w:rFonts w:hint="eastAsia"/>
                <w:color w:val="auto"/>
                <w:highlight w:val="none"/>
              </w:rPr>
              <w:t>-2  与《挥发性有机物无组织排放控制标准》的符合性</w:t>
            </w:r>
          </w:p>
          <w:tbl>
            <w:tblPr>
              <w:tblStyle w:val="27"/>
              <w:tblW w:w="7017"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Layout w:type="fixed"/>
              <w:tblCellMar>
                <w:top w:w="0" w:type="dxa"/>
                <w:left w:w="0" w:type="dxa"/>
                <w:bottom w:w="0" w:type="dxa"/>
                <w:right w:w="0" w:type="dxa"/>
              </w:tblCellMar>
            </w:tblPr>
            <w:tblGrid>
              <w:gridCol w:w="587"/>
              <w:gridCol w:w="3356"/>
              <w:gridCol w:w="2379"/>
              <w:gridCol w:w="695"/>
            </w:tblGrid>
            <w:tr w14:paraId="4E2E46BC">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186" w:hRule="atLeast"/>
                <w:jc w:val="center"/>
              </w:trPr>
              <w:tc>
                <w:tcPr>
                  <w:tcW w:w="587" w:type="dxa"/>
                  <w:noWrap w:val="0"/>
                  <w:vAlign w:val="center"/>
                </w:tcPr>
                <w:p w14:paraId="673E3087">
                  <w:pPr>
                    <w:adjustRightInd w:val="0"/>
                    <w:snapToGrid w:val="0"/>
                    <w:spacing w:line="240" w:lineRule="auto"/>
                    <w:ind w:firstLine="0" w:firstLineChars="0"/>
                    <w:jc w:val="center"/>
                    <w:rPr>
                      <w:rFonts w:hint="eastAsia"/>
                      <w:b/>
                      <w:bCs/>
                      <w:iCs/>
                      <w:color w:val="auto"/>
                      <w:kern w:val="0"/>
                      <w:sz w:val="21"/>
                      <w:szCs w:val="21"/>
                      <w:highlight w:val="none"/>
                    </w:rPr>
                  </w:pPr>
                  <w:r>
                    <w:rPr>
                      <w:rFonts w:hint="eastAsia"/>
                      <w:b/>
                      <w:bCs/>
                      <w:iCs/>
                      <w:color w:val="auto"/>
                      <w:kern w:val="0"/>
                      <w:sz w:val="21"/>
                      <w:szCs w:val="21"/>
                      <w:highlight w:val="none"/>
                    </w:rPr>
                    <w:t>序号</w:t>
                  </w:r>
                </w:p>
              </w:tc>
              <w:tc>
                <w:tcPr>
                  <w:tcW w:w="3356" w:type="dxa"/>
                  <w:noWrap w:val="0"/>
                  <w:vAlign w:val="center"/>
                </w:tcPr>
                <w:p w14:paraId="1C4DBB4F">
                  <w:pPr>
                    <w:adjustRightInd w:val="0"/>
                    <w:snapToGrid w:val="0"/>
                    <w:spacing w:line="240" w:lineRule="auto"/>
                    <w:ind w:firstLine="0" w:firstLineChars="0"/>
                    <w:jc w:val="center"/>
                    <w:rPr>
                      <w:rFonts w:hint="eastAsia"/>
                      <w:b/>
                      <w:bCs/>
                      <w:iCs/>
                      <w:color w:val="auto"/>
                      <w:kern w:val="0"/>
                      <w:sz w:val="21"/>
                      <w:szCs w:val="21"/>
                      <w:highlight w:val="none"/>
                    </w:rPr>
                  </w:pPr>
                  <w:r>
                    <w:rPr>
                      <w:rFonts w:hint="eastAsia"/>
                      <w:b/>
                      <w:bCs/>
                      <w:iCs/>
                      <w:color w:val="auto"/>
                      <w:kern w:val="0"/>
                      <w:sz w:val="21"/>
                      <w:szCs w:val="21"/>
                      <w:highlight w:val="none"/>
                    </w:rPr>
                    <w:t>条款原文</w:t>
                  </w:r>
                </w:p>
              </w:tc>
              <w:tc>
                <w:tcPr>
                  <w:tcW w:w="2379" w:type="dxa"/>
                  <w:noWrap w:val="0"/>
                  <w:vAlign w:val="center"/>
                </w:tcPr>
                <w:p w14:paraId="408E501A">
                  <w:pPr>
                    <w:adjustRightInd w:val="0"/>
                    <w:snapToGrid w:val="0"/>
                    <w:spacing w:line="240" w:lineRule="auto"/>
                    <w:ind w:firstLine="0" w:firstLineChars="0"/>
                    <w:jc w:val="center"/>
                    <w:rPr>
                      <w:rFonts w:hint="eastAsia"/>
                      <w:b/>
                      <w:bCs/>
                      <w:iCs/>
                      <w:color w:val="auto"/>
                      <w:kern w:val="0"/>
                      <w:sz w:val="21"/>
                      <w:szCs w:val="21"/>
                      <w:highlight w:val="none"/>
                    </w:rPr>
                  </w:pPr>
                  <w:r>
                    <w:rPr>
                      <w:rFonts w:hint="eastAsia"/>
                      <w:b/>
                      <w:bCs/>
                      <w:iCs/>
                      <w:color w:val="auto"/>
                      <w:kern w:val="0"/>
                      <w:sz w:val="21"/>
                      <w:szCs w:val="21"/>
                      <w:highlight w:val="none"/>
                    </w:rPr>
                    <w:t>拟采取措施</w:t>
                  </w:r>
                </w:p>
              </w:tc>
              <w:tc>
                <w:tcPr>
                  <w:tcW w:w="695" w:type="dxa"/>
                  <w:noWrap w:val="0"/>
                  <w:vAlign w:val="center"/>
                </w:tcPr>
                <w:p w14:paraId="235CCB8F">
                  <w:pPr>
                    <w:adjustRightInd w:val="0"/>
                    <w:snapToGrid w:val="0"/>
                    <w:spacing w:line="240" w:lineRule="auto"/>
                    <w:ind w:firstLine="0" w:firstLineChars="0"/>
                    <w:jc w:val="center"/>
                    <w:rPr>
                      <w:rFonts w:hint="eastAsia"/>
                      <w:b/>
                      <w:bCs/>
                      <w:iCs/>
                      <w:color w:val="auto"/>
                      <w:kern w:val="0"/>
                      <w:sz w:val="21"/>
                      <w:szCs w:val="21"/>
                      <w:highlight w:val="none"/>
                    </w:rPr>
                  </w:pPr>
                  <w:r>
                    <w:rPr>
                      <w:rFonts w:hint="eastAsia"/>
                      <w:b/>
                      <w:bCs/>
                      <w:iCs/>
                      <w:color w:val="auto"/>
                      <w:kern w:val="0"/>
                      <w:sz w:val="21"/>
                      <w:szCs w:val="21"/>
                      <w:highlight w:val="none"/>
                    </w:rPr>
                    <w:t>相符性</w:t>
                  </w:r>
                </w:p>
              </w:tc>
            </w:tr>
            <w:tr w14:paraId="56AE77EB">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699" w:hRule="atLeast"/>
                <w:jc w:val="center"/>
              </w:trPr>
              <w:tc>
                <w:tcPr>
                  <w:tcW w:w="587" w:type="dxa"/>
                  <w:noWrap w:val="0"/>
                  <w:vAlign w:val="center"/>
                </w:tcPr>
                <w:p w14:paraId="4010FFDB">
                  <w:pPr>
                    <w:adjustRightInd w:val="0"/>
                    <w:snapToGrid w:val="0"/>
                    <w:spacing w:line="240" w:lineRule="auto"/>
                    <w:ind w:firstLine="0" w:firstLineChars="0"/>
                    <w:jc w:val="center"/>
                    <w:rPr>
                      <w:rFonts w:hint="eastAsia" w:eastAsia="宋体"/>
                      <w:iCs/>
                      <w:color w:val="auto"/>
                      <w:kern w:val="0"/>
                      <w:sz w:val="21"/>
                      <w:szCs w:val="21"/>
                      <w:highlight w:val="none"/>
                      <w:lang w:eastAsia="zh-CN"/>
                    </w:rPr>
                  </w:pPr>
                  <w:r>
                    <w:rPr>
                      <w:rFonts w:hint="eastAsia"/>
                      <w:iCs/>
                      <w:color w:val="auto"/>
                      <w:kern w:val="0"/>
                      <w:sz w:val="21"/>
                      <w:szCs w:val="21"/>
                      <w:highlight w:val="none"/>
                      <w:lang w:val="en-US" w:eastAsia="zh-CN"/>
                    </w:rPr>
                    <w:t>1</w:t>
                  </w:r>
                </w:p>
              </w:tc>
              <w:tc>
                <w:tcPr>
                  <w:tcW w:w="3356" w:type="dxa"/>
                  <w:noWrap w:val="0"/>
                  <w:vAlign w:val="center"/>
                </w:tcPr>
                <w:p w14:paraId="23EE80A1">
                  <w:pPr>
                    <w:adjustRightInd w:val="0"/>
                    <w:snapToGrid w:val="0"/>
                    <w:spacing w:line="240" w:lineRule="auto"/>
                    <w:ind w:firstLine="0" w:firstLineChars="0"/>
                    <w:jc w:val="center"/>
                    <w:rPr>
                      <w:rFonts w:hint="eastAsia" w:ascii="Times New Roman" w:hAnsi="Times New Roman" w:eastAsia="宋体" w:cs="Times New Roman"/>
                      <w:iCs/>
                      <w:color w:val="auto"/>
                      <w:kern w:val="0"/>
                      <w:sz w:val="21"/>
                      <w:szCs w:val="21"/>
                      <w:highlight w:val="none"/>
                      <w:lang w:val="en-US" w:eastAsia="zh-CN"/>
                    </w:rPr>
                  </w:pPr>
                  <w:r>
                    <w:rPr>
                      <w:rFonts w:hint="eastAsia" w:ascii="Times New Roman" w:hAnsi="Times New Roman" w:eastAsia="宋体" w:cs="Times New Roman"/>
                      <w:iCs/>
                      <w:color w:val="auto"/>
                      <w:kern w:val="0"/>
                      <w:sz w:val="21"/>
                      <w:szCs w:val="21"/>
                      <w:highlight w:val="none"/>
                      <w:lang w:val="en-US" w:eastAsia="zh-CN"/>
                    </w:rPr>
                    <w:t>盛装</w:t>
                  </w:r>
                  <w:r>
                    <w:rPr>
                      <w:rFonts w:hint="default" w:ascii="Times New Roman" w:hAnsi="Times New Roman" w:eastAsia="宋体" w:cs="Times New Roman"/>
                      <w:iCs/>
                      <w:color w:val="auto"/>
                      <w:kern w:val="0"/>
                      <w:sz w:val="21"/>
                      <w:szCs w:val="21"/>
                      <w:highlight w:val="none"/>
                      <w:lang w:val="en-US" w:eastAsia="zh-CN"/>
                    </w:rPr>
                    <w:t>VOCs</w:t>
                  </w:r>
                  <w:r>
                    <w:rPr>
                      <w:rFonts w:hint="eastAsia" w:ascii="Times New Roman" w:hAnsi="Times New Roman" w:eastAsia="宋体" w:cs="Times New Roman"/>
                      <w:iCs/>
                      <w:color w:val="auto"/>
                      <w:kern w:val="0"/>
                      <w:sz w:val="21"/>
                      <w:szCs w:val="21"/>
                      <w:highlight w:val="none"/>
                      <w:lang w:val="en-US" w:eastAsia="zh-CN"/>
                    </w:rPr>
                    <w:t>物料的容器或包装袋应存放于室内，或存放于设置有雨棚、遮阳或防渗设施的专用场地。盛装</w:t>
                  </w:r>
                  <w:r>
                    <w:rPr>
                      <w:rFonts w:hint="default" w:ascii="Times New Roman" w:hAnsi="Times New Roman" w:eastAsia="宋体" w:cs="Times New Roman"/>
                      <w:iCs/>
                      <w:color w:val="auto"/>
                      <w:kern w:val="0"/>
                      <w:sz w:val="21"/>
                      <w:szCs w:val="21"/>
                      <w:highlight w:val="none"/>
                      <w:lang w:val="en-US" w:eastAsia="zh-CN"/>
                    </w:rPr>
                    <w:t>VOCs</w:t>
                  </w:r>
                  <w:r>
                    <w:rPr>
                      <w:rFonts w:hint="eastAsia" w:ascii="Times New Roman" w:hAnsi="Times New Roman" w:eastAsia="宋体" w:cs="Times New Roman"/>
                      <w:iCs/>
                      <w:color w:val="auto"/>
                      <w:kern w:val="0"/>
                      <w:sz w:val="21"/>
                      <w:szCs w:val="21"/>
                      <w:highlight w:val="none"/>
                      <w:lang w:val="en-US" w:eastAsia="zh-CN"/>
                    </w:rPr>
                    <w:t>物料的容器或包装袋在非取用状态时应加盖、封口，保持密闭。</w:t>
                  </w:r>
                </w:p>
              </w:tc>
              <w:tc>
                <w:tcPr>
                  <w:tcW w:w="2379" w:type="dxa"/>
                  <w:noWrap w:val="0"/>
                  <w:vAlign w:val="center"/>
                </w:tcPr>
                <w:p w14:paraId="2A2B42DC">
                  <w:pPr>
                    <w:adjustRightInd w:val="0"/>
                    <w:snapToGrid w:val="0"/>
                    <w:spacing w:line="240" w:lineRule="auto"/>
                    <w:ind w:firstLine="0" w:firstLineChars="0"/>
                    <w:jc w:val="center"/>
                    <w:rPr>
                      <w:rFonts w:hint="eastAsia" w:ascii="Times New Roman" w:hAnsi="Times New Roman" w:eastAsia="宋体" w:cs="Times New Roman"/>
                      <w:iCs/>
                      <w:color w:val="auto"/>
                      <w:kern w:val="0"/>
                      <w:sz w:val="21"/>
                      <w:szCs w:val="21"/>
                      <w:highlight w:val="none"/>
                      <w:lang w:val="en-US" w:eastAsia="zh-CN"/>
                    </w:rPr>
                  </w:pPr>
                  <w:r>
                    <w:rPr>
                      <w:rFonts w:hint="eastAsia" w:ascii="Times New Roman" w:hAnsi="Times New Roman" w:eastAsia="宋体" w:cs="Times New Roman"/>
                      <w:iCs/>
                      <w:color w:val="auto"/>
                      <w:kern w:val="0"/>
                      <w:sz w:val="21"/>
                      <w:szCs w:val="21"/>
                      <w:highlight w:val="none"/>
                      <w:lang w:val="en-US" w:eastAsia="zh-CN"/>
                    </w:rPr>
                    <w:t>本项目储罐区将设防泄漏围堰，地面硬化、防腐、防渗漏处理，沥青的输送均为管道密闭输送，非取用状态时也保持密闭。</w:t>
                  </w:r>
                </w:p>
              </w:tc>
              <w:tc>
                <w:tcPr>
                  <w:tcW w:w="695" w:type="dxa"/>
                  <w:noWrap w:val="0"/>
                  <w:vAlign w:val="center"/>
                </w:tcPr>
                <w:p w14:paraId="32B2E433">
                  <w:pPr>
                    <w:adjustRightInd w:val="0"/>
                    <w:snapToGrid w:val="0"/>
                    <w:spacing w:line="240" w:lineRule="auto"/>
                    <w:ind w:firstLine="0" w:firstLineChars="0"/>
                    <w:jc w:val="center"/>
                    <w:rPr>
                      <w:rFonts w:hint="eastAsia"/>
                      <w:iCs/>
                      <w:color w:val="auto"/>
                      <w:kern w:val="0"/>
                      <w:sz w:val="21"/>
                      <w:szCs w:val="21"/>
                      <w:highlight w:val="none"/>
                    </w:rPr>
                  </w:pPr>
                  <w:r>
                    <w:rPr>
                      <w:rFonts w:hint="eastAsia"/>
                      <w:iCs/>
                      <w:color w:val="auto"/>
                      <w:kern w:val="0"/>
                      <w:sz w:val="21"/>
                      <w:szCs w:val="21"/>
                      <w:highlight w:val="none"/>
                    </w:rPr>
                    <w:t>符合</w:t>
                  </w:r>
                </w:p>
              </w:tc>
            </w:tr>
            <w:tr w14:paraId="6FDCD835">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722" w:hRule="atLeast"/>
                <w:jc w:val="center"/>
              </w:trPr>
              <w:tc>
                <w:tcPr>
                  <w:tcW w:w="587" w:type="dxa"/>
                  <w:noWrap w:val="0"/>
                  <w:vAlign w:val="center"/>
                </w:tcPr>
                <w:p w14:paraId="53641646">
                  <w:pPr>
                    <w:adjustRightInd w:val="0"/>
                    <w:snapToGrid w:val="0"/>
                    <w:spacing w:line="240" w:lineRule="auto"/>
                    <w:ind w:firstLine="0" w:firstLineChars="0"/>
                    <w:jc w:val="center"/>
                    <w:rPr>
                      <w:rFonts w:hint="eastAsia" w:eastAsia="宋体"/>
                      <w:iCs/>
                      <w:color w:val="auto"/>
                      <w:kern w:val="0"/>
                      <w:sz w:val="21"/>
                      <w:szCs w:val="21"/>
                      <w:highlight w:val="none"/>
                      <w:lang w:eastAsia="zh-CN"/>
                    </w:rPr>
                  </w:pPr>
                  <w:r>
                    <w:rPr>
                      <w:rFonts w:hint="eastAsia"/>
                      <w:iCs/>
                      <w:color w:val="auto"/>
                      <w:kern w:val="0"/>
                      <w:sz w:val="21"/>
                      <w:szCs w:val="21"/>
                      <w:highlight w:val="none"/>
                      <w:lang w:val="en-US" w:eastAsia="zh-CN"/>
                    </w:rPr>
                    <w:t>2</w:t>
                  </w:r>
                </w:p>
              </w:tc>
              <w:tc>
                <w:tcPr>
                  <w:tcW w:w="3356" w:type="dxa"/>
                  <w:noWrap w:val="0"/>
                  <w:vAlign w:val="center"/>
                </w:tcPr>
                <w:p w14:paraId="7E4B1DE5">
                  <w:pPr>
                    <w:adjustRightInd w:val="0"/>
                    <w:snapToGrid w:val="0"/>
                    <w:spacing w:line="240" w:lineRule="auto"/>
                    <w:ind w:firstLine="0" w:firstLineChars="0"/>
                    <w:jc w:val="center"/>
                    <w:rPr>
                      <w:rFonts w:hint="eastAsia" w:ascii="Times New Roman" w:hAnsi="Times New Roman" w:eastAsia="宋体" w:cs="Times New Roman"/>
                      <w:iCs/>
                      <w:color w:val="auto"/>
                      <w:kern w:val="0"/>
                      <w:sz w:val="21"/>
                      <w:szCs w:val="21"/>
                      <w:highlight w:val="none"/>
                      <w:lang w:val="en-US" w:eastAsia="zh-CN"/>
                    </w:rPr>
                  </w:pPr>
                </w:p>
                <w:p w14:paraId="34EEB187">
                  <w:pPr>
                    <w:adjustRightInd w:val="0"/>
                    <w:snapToGrid w:val="0"/>
                    <w:spacing w:line="240" w:lineRule="auto"/>
                    <w:ind w:firstLine="0" w:firstLineChars="0"/>
                    <w:jc w:val="center"/>
                    <w:rPr>
                      <w:rFonts w:hint="eastAsia" w:ascii="Times New Roman" w:hAnsi="Times New Roman" w:eastAsia="宋体" w:cs="Times New Roman"/>
                      <w:iCs/>
                      <w:color w:val="auto"/>
                      <w:kern w:val="0"/>
                      <w:sz w:val="21"/>
                      <w:szCs w:val="21"/>
                      <w:highlight w:val="none"/>
                      <w:lang w:val="en-US" w:eastAsia="zh-CN"/>
                    </w:rPr>
                  </w:pPr>
                  <w:r>
                    <w:rPr>
                      <w:rFonts w:hint="eastAsia" w:ascii="Times New Roman" w:hAnsi="Times New Roman" w:eastAsia="宋体" w:cs="Times New Roman"/>
                      <w:iCs/>
                      <w:color w:val="auto"/>
                      <w:kern w:val="0"/>
                      <w:sz w:val="21"/>
                      <w:szCs w:val="21"/>
                      <w:highlight w:val="none"/>
                      <w:lang w:val="en-US" w:eastAsia="zh-CN"/>
                    </w:rPr>
                    <w:t>液态</w:t>
                  </w:r>
                  <w:r>
                    <w:rPr>
                      <w:rFonts w:hint="default" w:ascii="Times New Roman" w:hAnsi="Times New Roman" w:eastAsia="宋体" w:cs="Times New Roman"/>
                      <w:iCs/>
                      <w:color w:val="auto"/>
                      <w:kern w:val="0"/>
                      <w:sz w:val="21"/>
                      <w:szCs w:val="21"/>
                      <w:highlight w:val="none"/>
                      <w:lang w:val="en-US" w:eastAsia="zh-CN"/>
                    </w:rPr>
                    <w:t>VOCs</w:t>
                  </w:r>
                  <w:r>
                    <w:rPr>
                      <w:rFonts w:hint="eastAsia" w:ascii="Times New Roman" w:hAnsi="Times New Roman" w:eastAsia="宋体" w:cs="Times New Roman"/>
                      <w:iCs/>
                      <w:color w:val="auto"/>
                      <w:kern w:val="0"/>
                      <w:sz w:val="21"/>
                      <w:szCs w:val="21"/>
                      <w:highlight w:val="none"/>
                      <w:lang w:val="en-US" w:eastAsia="zh-CN"/>
                    </w:rPr>
                    <w:t xml:space="preserve">物料应采用密闭管道输送，采用非管道输送方式转移液态 </w:t>
                  </w:r>
                  <w:r>
                    <w:rPr>
                      <w:rFonts w:hint="default" w:ascii="Times New Roman" w:hAnsi="Times New Roman" w:eastAsia="宋体" w:cs="Times New Roman"/>
                      <w:iCs/>
                      <w:color w:val="auto"/>
                      <w:kern w:val="0"/>
                      <w:sz w:val="21"/>
                      <w:szCs w:val="21"/>
                      <w:highlight w:val="none"/>
                      <w:lang w:val="en-US" w:eastAsia="zh-CN"/>
                    </w:rPr>
                    <w:t>VOCs</w:t>
                  </w:r>
                  <w:r>
                    <w:rPr>
                      <w:rFonts w:hint="eastAsia" w:ascii="Times New Roman" w:hAnsi="Times New Roman" w:eastAsia="宋体" w:cs="Times New Roman"/>
                      <w:iCs/>
                      <w:color w:val="auto"/>
                      <w:kern w:val="0"/>
                      <w:sz w:val="21"/>
                      <w:szCs w:val="21"/>
                      <w:highlight w:val="none"/>
                      <w:lang w:val="en-US" w:eastAsia="zh-CN"/>
                    </w:rPr>
                    <w:t>物料时，应采用密闭容器、罐车。</w:t>
                  </w:r>
                </w:p>
                <w:p w14:paraId="2DFF4FA8">
                  <w:pPr>
                    <w:adjustRightInd w:val="0"/>
                    <w:snapToGrid w:val="0"/>
                    <w:spacing w:line="240" w:lineRule="auto"/>
                    <w:ind w:firstLine="0" w:firstLineChars="0"/>
                    <w:jc w:val="center"/>
                    <w:rPr>
                      <w:rFonts w:hint="eastAsia" w:ascii="Times New Roman" w:hAnsi="Times New Roman" w:eastAsia="宋体" w:cs="Times New Roman"/>
                      <w:iCs/>
                      <w:color w:val="auto"/>
                      <w:kern w:val="0"/>
                      <w:sz w:val="21"/>
                      <w:szCs w:val="21"/>
                      <w:highlight w:val="none"/>
                      <w:lang w:val="en-US" w:eastAsia="zh-CN"/>
                    </w:rPr>
                  </w:pPr>
                </w:p>
              </w:tc>
              <w:tc>
                <w:tcPr>
                  <w:tcW w:w="2379" w:type="dxa"/>
                  <w:noWrap w:val="0"/>
                  <w:vAlign w:val="center"/>
                </w:tcPr>
                <w:p w14:paraId="1CE8444D">
                  <w:pPr>
                    <w:adjustRightInd w:val="0"/>
                    <w:snapToGrid w:val="0"/>
                    <w:spacing w:line="240" w:lineRule="auto"/>
                    <w:ind w:firstLine="0" w:firstLineChars="0"/>
                    <w:jc w:val="center"/>
                    <w:rPr>
                      <w:rFonts w:hint="eastAsia" w:ascii="Times New Roman" w:hAnsi="Times New Roman" w:eastAsia="宋体" w:cs="Times New Roman"/>
                      <w:iCs/>
                      <w:color w:val="auto"/>
                      <w:kern w:val="0"/>
                      <w:sz w:val="21"/>
                      <w:szCs w:val="21"/>
                      <w:highlight w:val="none"/>
                      <w:lang w:val="en-US" w:eastAsia="zh-CN"/>
                    </w:rPr>
                  </w:pPr>
                  <w:r>
                    <w:rPr>
                      <w:rFonts w:hint="eastAsia" w:ascii="Times New Roman" w:hAnsi="Times New Roman" w:eastAsia="宋体" w:cs="Times New Roman"/>
                      <w:iCs/>
                      <w:color w:val="auto"/>
                      <w:kern w:val="0"/>
                      <w:sz w:val="21"/>
                      <w:szCs w:val="21"/>
                      <w:highlight w:val="none"/>
                      <w:lang w:val="en-US" w:eastAsia="zh-CN"/>
                    </w:rPr>
                    <w:t>拌合后的沥青混合料成品直接装车，成品卸料口设置独立密闭房，设置卷闸门。</w:t>
                  </w:r>
                </w:p>
              </w:tc>
              <w:tc>
                <w:tcPr>
                  <w:tcW w:w="695" w:type="dxa"/>
                  <w:noWrap w:val="0"/>
                  <w:vAlign w:val="center"/>
                </w:tcPr>
                <w:p w14:paraId="2EC64D0B">
                  <w:pPr>
                    <w:adjustRightInd w:val="0"/>
                    <w:snapToGrid w:val="0"/>
                    <w:spacing w:line="240" w:lineRule="auto"/>
                    <w:ind w:firstLine="0" w:firstLineChars="0"/>
                    <w:jc w:val="center"/>
                    <w:rPr>
                      <w:rFonts w:hint="eastAsia"/>
                      <w:iCs/>
                      <w:color w:val="auto"/>
                      <w:kern w:val="0"/>
                      <w:sz w:val="21"/>
                      <w:szCs w:val="21"/>
                      <w:highlight w:val="none"/>
                    </w:rPr>
                  </w:pPr>
                  <w:r>
                    <w:rPr>
                      <w:rFonts w:hint="eastAsia"/>
                      <w:iCs/>
                      <w:color w:val="auto"/>
                      <w:kern w:val="0"/>
                      <w:sz w:val="21"/>
                      <w:szCs w:val="21"/>
                      <w:highlight w:val="none"/>
                    </w:rPr>
                    <w:t>符合</w:t>
                  </w:r>
                </w:p>
              </w:tc>
            </w:tr>
            <w:tr w14:paraId="700CD153">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90" w:hRule="atLeast"/>
                <w:jc w:val="center"/>
              </w:trPr>
              <w:tc>
                <w:tcPr>
                  <w:tcW w:w="587" w:type="dxa"/>
                  <w:noWrap w:val="0"/>
                  <w:vAlign w:val="center"/>
                </w:tcPr>
                <w:p w14:paraId="256A9690">
                  <w:pPr>
                    <w:adjustRightInd w:val="0"/>
                    <w:snapToGrid w:val="0"/>
                    <w:spacing w:line="240" w:lineRule="auto"/>
                    <w:ind w:firstLine="0" w:firstLineChars="0"/>
                    <w:jc w:val="center"/>
                    <w:rPr>
                      <w:rFonts w:hint="eastAsia" w:eastAsia="宋体"/>
                      <w:iCs/>
                      <w:color w:val="auto"/>
                      <w:kern w:val="0"/>
                      <w:sz w:val="21"/>
                      <w:szCs w:val="21"/>
                      <w:highlight w:val="none"/>
                      <w:lang w:val="en-US" w:eastAsia="zh-CN"/>
                    </w:rPr>
                  </w:pPr>
                  <w:r>
                    <w:rPr>
                      <w:rFonts w:hint="eastAsia"/>
                      <w:iCs/>
                      <w:color w:val="auto"/>
                      <w:kern w:val="0"/>
                      <w:sz w:val="21"/>
                      <w:szCs w:val="21"/>
                      <w:highlight w:val="none"/>
                      <w:lang w:val="en-US" w:eastAsia="zh-CN"/>
                    </w:rPr>
                    <w:t>3</w:t>
                  </w:r>
                </w:p>
              </w:tc>
              <w:tc>
                <w:tcPr>
                  <w:tcW w:w="3356" w:type="dxa"/>
                  <w:noWrap w:val="0"/>
                  <w:vAlign w:val="center"/>
                </w:tcPr>
                <w:p w14:paraId="083A1E20">
                  <w:pPr>
                    <w:adjustRightInd w:val="0"/>
                    <w:snapToGrid w:val="0"/>
                    <w:spacing w:line="240" w:lineRule="auto"/>
                    <w:ind w:firstLine="0" w:firstLineChars="0"/>
                    <w:jc w:val="center"/>
                    <w:rPr>
                      <w:rFonts w:hint="eastAsia" w:ascii="Times New Roman" w:hAnsi="Times New Roman" w:eastAsia="宋体" w:cs="Times New Roman"/>
                      <w:iCs/>
                      <w:color w:val="auto"/>
                      <w:kern w:val="0"/>
                      <w:sz w:val="21"/>
                      <w:szCs w:val="21"/>
                      <w:highlight w:val="none"/>
                      <w:lang w:val="en-US" w:eastAsia="zh-CN"/>
                    </w:rPr>
                  </w:pPr>
                  <w:r>
                    <w:rPr>
                      <w:rFonts w:hint="eastAsia" w:ascii="Times New Roman" w:hAnsi="Times New Roman" w:eastAsia="宋体" w:cs="Times New Roman"/>
                      <w:iCs/>
                      <w:color w:val="auto"/>
                      <w:kern w:val="0"/>
                      <w:sz w:val="21"/>
                      <w:szCs w:val="21"/>
                      <w:highlight w:val="none"/>
                      <w:lang w:val="en-US" w:eastAsia="zh-CN"/>
                    </w:rPr>
                    <w:t>液态</w:t>
                  </w:r>
                  <w:r>
                    <w:rPr>
                      <w:rFonts w:hint="default" w:ascii="Times New Roman" w:hAnsi="Times New Roman" w:eastAsia="宋体" w:cs="Times New Roman"/>
                      <w:iCs/>
                      <w:color w:val="auto"/>
                      <w:kern w:val="0"/>
                      <w:sz w:val="21"/>
                      <w:szCs w:val="21"/>
                      <w:highlight w:val="none"/>
                      <w:lang w:val="en-US" w:eastAsia="zh-CN"/>
                    </w:rPr>
                    <w:t>VOCs</w:t>
                  </w:r>
                  <w:r>
                    <w:rPr>
                      <w:rFonts w:hint="eastAsia" w:ascii="Times New Roman" w:hAnsi="Times New Roman" w:eastAsia="宋体" w:cs="Times New Roman"/>
                      <w:iCs/>
                      <w:color w:val="auto"/>
                      <w:kern w:val="0"/>
                      <w:sz w:val="21"/>
                      <w:szCs w:val="21"/>
                      <w:highlight w:val="none"/>
                      <w:lang w:val="en-US" w:eastAsia="zh-CN"/>
                    </w:rPr>
                    <w:t>物料应采用密闭管道输送方式或采用高位槽（罐）、桶泵等给料方式密闭投加。无法密闭投加的，应在密闭空间内操作，或进行局部气体收集，废气应排放至</w:t>
                  </w:r>
                  <w:r>
                    <w:rPr>
                      <w:rFonts w:hint="default" w:ascii="Times New Roman" w:hAnsi="Times New Roman" w:eastAsia="宋体" w:cs="Times New Roman"/>
                      <w:iCs/>
                      <w:color w:val="auto"/>
                      <w:kern w:val="0"/>
                      <w:sz w:val="21"/>
                      <w:szCs w:val="21"/>
                      <w:highlight w:val="none"/>
                      <w:lang w:val="en-US" w:eastAsia="zh-CN"/>
                    </w:rPr>
                    <w:t>VOCs</w:t>
                  </w:r>
                  <w:r>
                    <w:rPr>
                      <w:rFonts w:hint="eastAsia" w:ascii="Times New Roman" w:hAnsi="Times New Roman" w:eastAsia="宋体" w:cs="Times New Roman"/>
                      <w:iCs/>
                      <w:color w:val="auto"/>
                      <w:kern w:val="0"/>
                      <w:sz w:val="21"/>
                      <w:szCs w:val="21"/>
                      <w:highlight w:val="none"/>
                      <w:lang w:val="en-US" w:eastAsia="zh-CN"/>
                    </w:rPr>
                    <w:t>废气收集处理系统。</w:t>
                  </w:r>
                </w:p>
              </w:tc>
              <w:tc>
                <w:tcPr>
                  <w:tcW w:w="2379" w:type="dxa"/>
                  <w:noWrap w:val="0"/>
                  <w:vAlign w:val="center"/>
                </w:tcPr>
                <w:p w14:paraId="3BA0B41B">
                  <w:pPr>
                    <w:adjustRightInd w:val="0"/>
                    <w:snapToGrid w:val="0"/>
                    <w:spacing w:line="240" w:lineRule="auto"/>
                    <w:ind w:firstLine="0" w:firstLineChars="0"/>
                    <w:jc w:val="center"/>
                    <w:rPr>
                      <w:rFonts w:hint="default" w:ascii="Times New Roman" w:hAnsi="Times New Roman" w:eastAsia="宋体" w:cs="Times New Roman"/>
                      <w:iCs/>
                      <w:color w:val="auto"/>
                      <w:kern w:val="0"/>
                      <w:sz w:val="21"/>
                      <w:szCs w:val="21"/>
                      <w:highlight w:val="none"/>
                      <w:lang w:val="en-US"/>
                    </w:rPr>
                  </w:pPr>
                  <w:r>
                    <w:rPr>
                      <w:rFonts w:hint="eastAsia" w:ascii="Times New Roman" w:hAnsi="Times New Roman" w:eastAsia="宋体" w:cs="Times New Roman"/>
                      <w:iCs/>
                      <w:color w:val="auto"/>
                      <w:kern w:val="0"/>
                      <w:sz w:val="21"/>
                      <w:szCs w:val="21"/>
                      <w:highlight w:val="none"/>
                      <w:lang w:val="en-US" w:eastAsia="zh-CN"/>
                    </w:rPr>
                    <w:t>沥青输送系统采用全封闭管道，废气采用集气罩</w:t>
                  </w:r>
                  <w:r>
                    <w:rPr>
                      <w:rFonts w:hint="eastAsia" w:cs="Times New Roman"/>
                      <w:iCs/>
                      <w:color w:val="auto"/>
                      <w:kern w:val="0"/>
                      <w:sz w:val="21"/>
                      <w:szCs w:val="21"/>
                      <w:highlight w:val="none"/>
                      <w:lang w:val="en-US" w:eastAsia="zh-CN"/>
                    </w:rPr>
                    <w:t>负压</w:t>
                  </w:r>
                  <w:r>
                    <w:rPr>
                      <w:rFonts w:hint="eastAsia" w:ascii="Times New Roman" w:hAnsi="Times New Roman" w:eastAsia="宋体" w:cs="Times New Roman"/>
                      <w:iCs/>
                      <w:color w:val="auto"/>
                      <w:kern w:val="0"/>
                      <w:sz w:val="21"/>
                      <w:szCs w:val="21"/>
                      <w:highlight w:val="none"/>
                      <w:lang w:val="en-US" w:eastAsia="zh-CN"/>
                    </w:rPr>
                    <w:t>收集</w:t>
                  </w:r>
                  <w:r>
                    <w:rPr>
                      <w:rFonts w:hint="default" w:ascii="Times New Roman" w:hAnsi="Times New Roman" w:eastAsia="宋体" w:cs="Times New Roman"/>
                      <w:iCs/>
                      <w:color w:val="auto"/>
                      <w:kern w:val="0"/>
                      <w:sz w:val="21"/>
                      <w:szCs w:val="21"/>
                      <w:highlight w:val="none"/>
                      <w:lang w:val="en-US" w:eastAsia="zh-CN"/>
                    </w:rPr>
                    <w:t>+</w:t>
                  </w:r>
                  <w:r>
                    <w:rPr>
                      <w:rFonts w:hint="eastAsia" w:ascii="Times New Roman" w:hAnsi="Times New Roman" w:eastAsia="宋体"/>
                      <w:color w:val="auto"/>
                      <w:sz w:val="21"/>
                      <w:szCs w:val="21"/>
                      <w:highlight w:val="none"/>
                      <w:lang w:val="en-US" w:eastAsia="zh-CN"/>
                    </w:rPr>
                    <w:t>喷淋塔+除雾器+活性炭吸附装置</w:t>
                  </w:r>
                  <w:r>
                    <w:rPr>
                      <w:rFonts w:hint="eastAsia" w:ascii="Times New Roman" w:hAnsi="Times New Roman" w:eastAsia="宋体" w:cs="Times New Roman"/>
                      <w:iCs/>
                      <w:color w:val="auto"/>
                      <w:kern w:val="0"/>
                      <w:sz w:val="21"/>
                      <w:szCs w:val="21"/>
                      <w:highlight w:val="none"/>
                      <w:lang w:val="en-US" w:eastAsia="zh-CN"/>
                    </w:rPr>
                    <w:t>措施处理后，经过</w:t>
                  </w:r>
                  <w:r>
                    <w:rPr>
                      <w:rFonts w:hint="default" w:ascii="Times New Roman" w:hAnsi="Times New Roman" w:eastAsia="宋体" w:cs="Times New Roman"/>
                      <w:iCs/>
                      <w:color w:val="auto"/>
                      <w:kern w:val="0"/>
                      <w:sz w:val="21"/>
                      <w:szCs w:val="21"/>
                      <w:highlight w:val="none"/>
                      <w:lang w:val="en-US" w:eastAsia="zh-CN"/>
                    </w:rPr>
                    <w:t>15m</w:t>
                  </w:r>
                  <w:r>
                    <w:rPr>
                      <w:rFonts w:hint="eastAsia" w:ascii="Times New Roman" w:hAnsi="Times New Roman" w:eastAsia="宋体" w:cs="Times New Roman"/>
                      <w:iCs/>
                      <w:color w:val="auto"/>
                      <w:kern w:val="0"/>
                      <w:sz w:val="21"/>
                      <w:szCs w:val="21"/>
                      <w:highlight w:val="none"/>
                      <w:lang w:val="en-US" w:eastAsia="zh-CN"/>
                    </w:rPr>
                    <w:t>高排气筒（</w:t>
                  </w:r>
                  <w:r>
                    <w:rPr>
                      <w:rFonts w:hint="default" w:ascii="Times New Roman" w:hAnsi="Times New Roman" w:eastAsia="宋体" w:cs="Times New Roman"/>
                      <w:iCs/>
                      <w:color w:val="auto"/>
                      <w:kern w:val="0"/>
                      <w:sz w:val="21"/>
                      <w:szCs w:val="21"/>
                      <w:highlight w:val="none"/>
                      <w:lang w:val="en-US" w:eastAsia="zh-CN"/>
                    </w:rPr>
                    <w:t>DA00</w:t>
                  </w:r>
                  <w:r>
                    <w:rPr>
                      <w:rFonts w:hint="eastAsia" w:ascii="Times New Roman" w:hAnsi="Times New Roman" w:eastAsia="宋体" w:cs="Times New Roman"/>
                      <w:iCs/>
                      <w:color w:val="auto"/>
                      <w:kern w:val="0"/>
                      <w:sz w:val="21"/>
                      <w:szCs w:val="21"/>
                      <w:highlight w:val="none"/>
                      <w:lang w:val="en-US" w:eastAsia="zh-CN"/>
                    </w:rPr>
                    <w:t>3</w:t>
                  </w:r>
                  <w:r>
                    <w:rPr>
                      <w:rFonts w:hint="eastAsia" w:cs="Times New Roman"/>
                      <w:iCs/>
                      <w:color w:val="auto"/>
                      <w:kern w:val="0"/>
                      <w:sz w:val="21"/>
                      <w:szCs w:val="21"/>
                      <w:highlight w:val="none"/>
                      <w:lang w:val="en-US" w:eastAsia="zh-CN"/>
                    </w:rPr>
                    <w:t>、DA006</w:t>
                  </w:r>
                  <w:r>
                    <w:rPr>
                      <w:rFonts w:hint="eastAsia" w:ascii="Times New Roman" w:hAnsi="Times New Roman" w:eastAsia="宋体" w:cs="Times New Roman"/>
                      <w:iCs/>
                      <w:color w:val="auto"/>
                      <w:kern w:val="0"/>
                      <w:sz w:val="21"/>
                      <w:szCs w:val="21"/>
                      <w:highlight w:val="none"/>
                      <w:lang w:val="en-US" w:eastAsia="zh-CN"/>
                    </w:rPr>
                    <w:t>）排放</w:t>
                  </w:r>
                </w:p>
              </w:tc>
              <w:tc>
                <w:tcPr>
                  <w:tcW w:w="695" w:type="dxa"/>
                  <w:noWrap w:val="0"/>
                  <w:vAlign w:val="center"/>
                </w:tcPr>
                <w:p w14:paraId="71FF9C2A">
                  <w:pPr>
                    <w:adjustRightInd w:val="0"/>
                    <w:snapToGrid w:val="0"/>
                    <w:spacing w:line="240" w:lineRule="auto"/>
                    <w:ind w:firstLine="0" w:firstLineChars="0"/>
                    <w:jc w:val="center"/>
                    <w:rPr>
                      <w:rFonts w:hint="eastAsia"/>
                      <w:iCs/>
                      <w:color w:val="auto"/>
                      <w:kern w:val="0"/>
                      <w:sz w:val="21"/>
                      <w:szCs w:val="21"/>
                      <w:highlight w:val="none"/>
                    </w:rPr>
                  </w:pPr>
                  <w:r>
                    <w:rPr>
                      <w:rFonts w:hint="eastAsia"/>
                      <w:iCs/>
                      <w:color w:val="auto"/>
                      <w:kern w:val="0"/>
                      <w:sz w:val="21"/>
                      <w:szCs w:val="21"/>
                      <w:highlight w:val="none"/>
                    </w:rPr>
                    <w:t>符合</w:t>
                  </w:r>
                </w:p>
              </w:tc>
            </w:tr>
            <w:tr w14:paraId="5EA1D354">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90" w:hRule="atLeast"/>
                <w:jc w:val="center"/>
              </w:trPr>
              <w:tc>
                <w:tcPr>
                  <w:tcW w:w="587" w:type="dxa"/>
                  <w:noWrap w:val="0"/>
                  <w:vAlign w:val="center"/>
                </w:tcPr>
                <w:p w14:paraId="10F569FC">
                  <w:pPr>
                    <w:adjustRightInd w:val="0"/>
                    <w:snapToGrid w:val="0"/>
                    <w:spacing w:line="240" w:lineRule="auto"/>
                    <w:ind w:firstLine="0" w:firstLineChars="0"/>
                    <w:jc w:val="center"/>
                    <w:rPr>
                      <w:rFonts w:hint="default"/>
                      <w:iCs/>
                      <w:color w:val="auto"/>
                      <w:kern w:val="0"/>
                      <w:sz w:val="21"/>
                      <w:szCs w:val="21"/>
                      <w:highlight w:val="none"/>
                      <w:lang w:val="en-US" w:eastAsia="zh-CN"/>
                    </w:rPr>
                  </w:pPr>
                  <w:r>
                    <w:rPr>
                      <w:rFonts w:hint="eastAsia"/>
                      <w:iCs/>
                      <w:color w:val="auto"/>
                      <w:kern w:val="0"/>
                      <w:sz w:val="21"/>
                      <w:szCs w:val="21"/>
                      <w:highlight w:val="none"/>
                      <w:lang w:val="en-US" w:eastAsia="zh-CN"/>
                    </w:rPr>
                    <w:t>4</w:t>
                  </w:r>
                </w:p>
              </w:tc>
              <w:tc>
                <w:tcPr>
                  <w:tcW w:w="3356" w:type="dxa"/>
                  <w:noWrap w:val="0"/>
                  <w:vAlign w:val="center"/>
                </w:tcPr>
                <w:p w14:paraId="2CA5392D">
                  <w:pPr>
                    <w:adjustRightInd w:val="0"/>
                    <w:snapToGrid w:val="0"/>
                    <w:spacing w:line="240" w:lineRule="auto"/>
                    <w:ind w:firstLine="0" w:firstLineChars="0"/>
                    <w:jc w:val="center"/>
                    <w:rPr>
                      <w:rFonts w:hint="eastAsia" w:ascii="Times New Roman" w:hAnsi="Times New Roman" w:eastAsia="宋体" w:cs="Times New Roman"/>
                      <w:iCs/>
                      <w:color w:val="auto"/>
                      <w:kern w:val="0"/>
                      <w:sz w:val="21"/>
                      <w:szCs w:val="21"/>
                      <w:highlight w:val="none"/>
                      <w:lang w:val="en-US" w:eastAsia="zh-CN"/>
                    </w:rPr>
                  </w:pPr>
                  <w:r>
                    <w:rPr>
                      <w:rFonts w:hint="eastAsia" w:ascii="Times New Roman" w:hAnsi="Times New Roman" w:eastAsia="宋体" w:cs="Times New Roman"/>
                      <w:iCs/>
                      <w:color w:val="auto"/>
                      <w:kern w:val="0"/>
                      <w:sz w:val="21"/>
                      <w:szCs w:val="21"/>
                      <w:highlight w:val="none"/>
                      <w:lang w:val="en-US" w:eastAsia="zh-CN"/>
                    </w:rPr>
                    <w:t>企业应记录台账，记录含</w:t>
                  </w:r>
                  <w:r>
                    <w:rPr>
                      <w:rFonts w:hint="default" w:ascii="Times New Roman" w:hAnsi="Times New Roman" w:eastAsia="宋体" w:cs="Times New Roman"/>
                      <w:iCs/>
                      <w:color w:val="auto"/>
                      <w:kern w:val="0"/>
                      <w:sz w:val="21"/>
                      <w:szCs w:val="21"/>
                      <w:highlight w:val="none"/>
                      <w:lang w:val="en-US" w:eastAsia="zh-CN"/>
                    </w:rPr>
                    <w:t>VOCs</w:t>
                  </w:r>
                  <w:r>
                    <w:rPr>
                      <w:rFonts w:hint="eastAsia" w:ascii="Times New Roman" w:hAnsi="Times New Roman" w:eastAsia="宋体" w:cs="Times New Roman"/>
                      <w:iCs/>
                      <w:color w:val="auto"/>
                      <w:kern w:val="0"/>
                      <w:sz w:val="21"/>
                      <w:szCs w:val="21"/>
                      <w:highlight w:val="none"/>
                      <w:lang w:val="en-US" w:eastAsia="zh-CN"/>
                    </w:rPr>
                    <w:t>原辅材料和含</w:t>
                  </w:r>
                  <w:r>
                    <w:rPr>
                      <w:rFonts w:hint="default" w:ascii="Times New Roman" w:hAnsi="Times New Roman" w:eastAsia="宋体" w:cs="Times New Roman"/>
                      <w:iCs/>
                      <w:color w:val="auto"/>
                      <w:kern w:val="0"/>
                      <w:sz w:val="21"/>
                      <w:szCs w:val="21"/>
                      <w:highlight w:val="none"/>
                      <w:lang w:val="en-US" w:eastAsia="zh-CN"/>
                    </w:rPr>
                    <w:t>VOCs</w:t>
                  </w:r>
                  <w:r>
                    <w:rPr>
                      <w:rFonts w:hint="eastAsia" w:ascii="Times New Roman" w:hAnsi="Times New Roman" w:eastAsia="宋体" w:cs="Times New Roman"/>
                      <w:iCs/>
                      <w:color w:val="auto"/>
                      <w:kern w:val="0"/>
                      <w:sz w:val="21"/>
                      <w:szCs w:val="21"/>
                      <w:highlight w:val="none"/>
                      <w:lang w:val="en-US" w:eastAsia="zh-CN"/>
                    </w:rPr>
                    <w:t xml:space="preserve">产品的名称、使用量、回收量、废气量、去向以及 </w:t>
                  </w:r>
                  <w:r>
                    <w:rPr>
                      <w:rFonts w:hint="default" w:ascii="Times New Roman" w:hAnsi="Times New Roman" w:eastAsia="宋体" w:cs="Times New Roman"/>
                      <w:iCs/>
                      <w:color w:val="auto"/>
                      <w:kern w:val="0"/>
                      <w:sz w:val="21"/>
                      <w:szCs w:val="21"/>
                      <w:highlight w:val="none"/>
                      <w:lang w:val="en-US" w:eastAsia="zh-CN"/>
                    </w:rPr>
                    <w:t>VOCs</w:t>
                  </w:r>
                  <w:r>
                    <w:rPr>
                      <w:rFonts w:hint="eastAsia" w:ascii="Times New Roman" w:hAnsi="Times New Roman" w:eastAsia="宋体" w:cs="Times New Roman"/>
                      <w:iCs/>
                      <w:color w:val="auto"/>
                      <w:kern w:val="0"/>
                      <w:sz w:val="21"/>
                      <w:szCs w:val="21"/>
                      <w:highlight w:val="none"/>
                      <w:lang w:val="en-US" w:eastAsia="zh-CN"/>
                    </w:rPr>
                    <w:t>含量等信息。台账保存期限不少于</w:t>
                  </w:r>
                  <w:r>
                    <w:rPr>
                      <w:rFonts w:hint="default" w:ascii="Times New Roman" w:hAnsi="Times New Roman" w:eastAsia="宋体" w:cs="Times New Roman"/>
                      <w:iCs/>
                      <w:color w:val="auto"/>
                      <w:kern w:val="0"/>
                      <w:sz w:val="21"/>
                      <w:szCs w:val="21"/>
                      <w:highlight w:val="none"/>
                      <w:lang w:val="en-US" w:eastAsia="zh-CN"/>
                    </w:rPr>
                    <w:t>3</w:t>
                  </w:r>
                  <w:r>
                    <w:rPr>
                      <w:rFonts w:hint="eastAsia" w:ascii="Times New Roman" w:hAnsi="Times New Roman" w:eastAsia="宋体" w:cs="Times New Roman"/>
                      <w:iCs/>
                      <w:color w:val="auto"/>
                      <w:kern w:val="0"/>
                      <w:sz w:val="21"/>
                      <w:szCs w:val="21"/>
                      <w:highlight w:val="none"/>
                      <w:lang w:val="en-US" w:eastAsia="zh-CN"/>
                    </w:rPr>
                    <w:t>年。</w:t>
                  </w:r>
                </w:p>
              </w:tc>
              <w:tc>
                <w:tcPr>
                  <w:tcW w:w="2379" w:type="dxa"/>
                  <w:noWrap w:val="0"/>
                  <w:vAlign w:val="center"/>
                </w:tcPr>
                <w:p w14:paraId="5A86D049">
                  <w:pPr>
                    <w:adjustRightInd w:val="0"/>
                    <w:snapToGrid w:val="0"/>
                    <w:spacing w:line="240" w:lineRule="auto"/>
                    <w:ind w:firstLine="0" w:firstLineChars="0"/>
                    <w:jc w:val="center"/>
                    <w:rPr>
                      <w:rFonts w:hint="eastAsia" w:ascii="Times New Roman" w:hAnsi="Times New Roman" w:eastAsia="宋体" w:cs="Times New Roman"/>
                      <w:iCs/>
                      <w:color w:val="auto"/>
                      <w:kern w:val="0"/>
                      <w:sz w:val="21"/>
                      <w:szCs w:val="21"/>
                      <w:highlight w:val="none"/>
                    </w:rPr>
                  </w:pPr>
                  <w:r>
                    <w:rPr>
                      <w:rFonts w:hint="eastAsia" w:ascii="Times New Roman" w:hAnsi="Times New Roman" w:eastAsia="宋体" w:cs="Times New Roman"/>
                      <w:iCs/>
                      <w:color w:val="auto"/>
                      <w:kern w:val="0"/>
                      <w:sz w:val="21"/>
                      <w:szCs w:val="21"/>
                      <w:highlight w:val="none"/>
                      <w:lang w:val="en-US" w:eastAsia="zh-CN"/>
                    </w:rPr>
                    <w:t>本项目设置记录台账，记录本项目沥青的用量、回收量、废气量等信息，台账保存期限为</w:t>
                  </w:r>
                  <w:r>
                    <w:rPr>
                      <w:rFonts w:hint="default" w:ascii="Times New Roman" w:hAnsi="Times New Roman" w:eastAsia="宋体" w:cs="Times New Roman"/>
                      <w:iCs/>
                      <w:color w:val="auto"/>
                      <w:kern w:val="0"/>
                      <w:sz w:val="21"/>
                      <w:szCs w:val="21"/>
                      <w:highlight w:val="none"/>
                      <w:lang w:val="en-US" w:eastAsia="zh-CN"/>
                    </w:rPr>
                    <w:t>5</w:t>
                  </w:r>
                  <w:r>
                    <w:rPr>
                      <w:rFonts w:hint="eastAsia" w:ascii="Times New Roman" w:hAnsi="Times New Roman" w:eastAsia="宋体" w:cs="Times New Roman"/>
                      <w:iCs/>
                      <w:color w:val="auto"/>
                      <w:kern w:val="0"/>
                      <w:sz w:val="21"/>
                      <w:szCs w:val="21"/>
                      <w:highlight w:val="none"/>
                      <w:lang w:val="en-US" w:eastAsia="zh-CN"/>
                    </w:rPr>
                    <w:t>年</w:t>
                  </w:r>
                </w:p>
              </w:tc>
              <w:tc>
                <w:tcPr>
                  <w:tcW w:w="695" w:type="dxa"/>
                  <w:noWrap w:val="0"/>
                  <w:vAlign w:val="center"/>
                </w:tcPr>
                <w:p w14:paraId="28588EAA">
                  <w:pPr>
                    <w:adjustRightInd w:val="0"/>
                    <w:snapToGrid w:val="0"/>
                    <w:spacing w:line="240" w:lineRule="auto"/>
                    <w:ind w:firstLine="0" w:firstLineChars="0"/>
                    <w:jc w:val="center"/>
                    <w:rPr>
                      <w:rFonts w:hint="eastAsia"/>
                      <w:iCs/>
                      <w:color w:val="auto"/>
                      <w:kern w:val="0"/>
                      <w:sz w:val="21"/>
                      <w:szCs w:val="21"/>
                      <w:highlight w:val="none"/>
                    </w:rPr>
                  </w:pPr>
                </w:p>
              </w:tc>
            </w:tr>
          </w:tbl>
          <w:p w14:paraId="5A45FAF5">
            <w:pPr>
              <w:widowControl/>
              <w:ind w:firstLine="0" w:firstLineChars="0"/>
              <w:jc w:val="left"/>
              <w:rPr>
                <w:rFonts w:hint="eastAsia" w:ascii="Times New Roman" w:hAnsi="Times New Roman" w:eastAsia="宋体" w:cs="Times New Roman"/>
                <w:b/>
                <w:bCs/>
                <w:color w:val="auto"/>
                <w:kern w:val="0"/>
                <w:sz w:val="28"/>
                <w:szCs w:val="28"/>
                <w:highlight w:val="none"/>
                <w:lang w:bidi="ar"/>
              </w:rPr>
            </w:pPr>
            <w:r>
              <w:rPr>
                <w:rFonts w:hint="eastAsia" w:ascii="Times New Roman" w:hAnsi="Times New Roman" w:eastAsia="宋体" w:cs="Times New Roman"/>
                <w:b/>
                <w:bCs/>
                <w:color w:val="auto"/>
                <w:kern w:val="0"/>
                <w:sz w:val="28"/>
                <w:szCs w:val="28"/>
                <w:highlight w:val="none"/>
                <w:lang w:val="en-US" w:eastAsia="zh-CN" w:bidi="ar"/>
              </w:rPr>
              <w:t xml:space="preserve">1.6 </w:t>
            </w:r>
            <w:r>
              <w:rPr>
                <w:rFonts w:hint="eastAsia" w:ascii="Times New Roman" w:hAnsi="Times New Roman" w:eastAsia="宋体" w:cs="Times New Roman"/>
                <w:b/>
                <w:bCs/>
                <w:color w:val="auto"/>
                <w:kern w:val="0"/>
                <w:sz w:val="28"/>
                <w:szCs w:val="28"/>
                <w:highlight w:val="none"/>
                <w:lang w:bidi="ar"/>
              </w:rPr>
              <w:t>与《福建省工业炉窑大气污染综合治理方案》（闽环保大气〔20</w:t>
            </w:r>
            <w:r>
              <w:rPr>
                <w:rFonts w:hint="eastAsia" w:ascii="Times New Roman" w:hAnsi="Times New Roman" w:eastAsia="宋体" w:cs="Times New Roman"/>
                <w:b/>
                <w:bCs/>
                <w:color w:val="auto"/>
                <w:kern w:val="0"/>
                <w:sz w:val="28"/>
                <w:szCs w:val="28"/>
                <w:highlight w:val="none"/>
                <w:lang w:val="en-US" w:eastAsia="zh-CN" w:bidi="ar"/>
              </w:rPr>
              <w:t>19</w:t>
            </w:r>
            <w:r>
              <w:rPr>
                <w:rFonts w:hint="eastAsia" w:ascii="Times New Roman" w:hAnsi="Times New Roman" w:eastAsia="宋体" w:cs="Times New Roman"/>
                <w:b/>
                <w:bCs/>
                <w:color w:val="auto"/>
                <w:kern w:val="0"/>
                <w:sz w:val="28"/>
                <w:szCs w:val="28"/>
                <w:highlight w:val="none"/>
                <w:lang w:bidi="ar"/>
              </w:rPr>
              <w:t>〕10</w:t>
            </w:r>
            <w:r>
              <w:rPr>
                <w:rFonts w:hint="eastAsia" w:ascii="Times New Roman" w:hAnsi="Times New Roman" w:eastAsia="宋体" w:cs="Times New Roman"/>
                <w:b/>
                <w:bCs/>
                <w:color w:val="auto"/>
                <w:kern w:val="0"/>
                <w:sz w:val="28"/>
                <w:szCs w:val="28"/>
                <w:highlight w:val="none"/>
                <w:lang w:val="en-US" w:eastAsia="zh-CN" w:bidi="ar"/>
              </w:rPr>
              <w:t>号</w:t>
            </w:r>
            <w:r>
              <w:rPr>
                <w:rFonts w:hint="eastAsia" w:ascii="Times New Roman" w:hAnsi="Times New Roman" w:eastAsia="宋体" w:cs="Times New Roman"/>
                <w:b/>
                <w:bCs/>
                <w:color w:val="auto"/>
                <w:kern w:val="0"/>
                <w:sz w:val="28"/>
                <w:szCs w:val="28"/>
                <w:highlight w:val="none"/>
                <w:lang w:bidi="ar"/>
              </w:rPr>
              <w:t>）符合性分析</w:t>
            </w:r>
          </w:p>
          <w:p w14:paraId="567FB2DE">
            <w:pPr>
              <w:pStyle w:val="104"/>
              <w:jc w:val="center"/>
              <w:rPr>
                <w:rFonts w:hint="eastAsia" w:ascii="Times New Roman" w:hAnsi="Times New Roman" w:eastAsia="宋体" w:cs="Times New Roman"/>
                <w:b/>
                <w:color w:val="auto"/>
                <w:highlight w:val="none"/>
              </w:rPr>
            </w:pPr>
            <w:r>
              <w:rPr>
                <w:rFonts w:hint="eastAsia" w:ascii="Times New Roman" w:hAnsi="Times New Roman" w:eastAsia="宋体" w:cs="Times New Roman"/>
                <w:b/>
                <w:color w:val="auto"/>
                <w:highlight w:val="none"/>
              </w:rPr>
              <w:t>表</w:t>
            </w:r>
            <w:r>
              <w:rPr>
                <w:rFonts w:hint="eastAsia" w:ascii="Times New Roman" w:hAnsi="Times New Roman" w:eastAsia="宋体" w:cs="Times New Roman"/>
                <w:b/>
                <w:color w:val="auto"/>
                <w:highlight w:val="none"/>
                <w:lang w:val="en-US" w:eastAsia="zh-CN"/>
              </w:rPr>
              <w:t>1.6-1 与</w:t>
            </w:r>
            <w:r>
              <w:rPr>
                <w:rFonts w:hint="eastAsia" w:ascii="Times New Roman" w:hAnsi="Times New Roman" w:eastAsia="宋体" w:cs="Times New Roman"/>
                <w:b/>
                <w:color w:val="auto"/>
                <w:highlight w:val="none"/>
              </w:rPr>
              <w:t>《福建省工业炉窑大气污染综合治理方案》</w:t>
            </w:r>
            <w:r>
              <w:rPr>
                <w:rFonts w:hint="eastAsia"/>
                <w:color w:val="auto"/>
                <w:highlight w:val="none"/>
              </w:rPr>
              <w:t>的符合性</w:t>
            </w:r>
          </w:p>
          <w:tbl>
            <w:tblPr>
              <w:tblStyle w:val="129"/>
              <w:tblW w:w="7017"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415"/>
              <w:gridCol w:w="1246"/>
              <w:gridCol w:w="2458"/>
              <w:gridCol w:w="1945"/>
              <w:gridCol w:w="953"/>
            </w:tblGrid>
            <w:tr w14:paraId="1B7FEBC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295" w:type="pct"/>
                  <w:tcBorders>
                    <w:tl2br w:val="nil"/>
                    <w:tr2bl w:val="nil"/>
                  </w:tcBorders>
                  <w:noWrap w:val="0"/>
                  <w:vAlign w:val="center"/>
                </w:tcPr>
                <w:p w14:paraId="076E1082">
                  <w:pPr>
                    <w:widowControl w:val="0"/>
                    <w:kinsoku/>
                    <w:autoSpaceDE/>
                    <w:autoSpaceDN/>
                    <w:adjustRightInd w:val="0"/>
                    <w:snapToGrid w:val="0"/>
                    <w:spacing w:line="240" w:lineRule="auto"/>
                    <w:ind w:firstLine="0" w:firstLineChars="0"/>
                    <w:jc w:val="center"/>
                    <w:textAlignment w:val="auto"/>
                    <w:rPr>
                      <w:rFonts w:hint="eastAsia" w:ascii="Times New Roman" w:hAnsi="Times New Roman" w:eastAsia="宋体" w:cs="Times New Roman"/>
                      <w:b/>
                      <w:bCs/>
                      <w:iCs/>
                      <w:snapToGrid/>
                      <w:color w:val="auto"/>
                      <w:kern w:val="0"/>
                      <w:sz w:val="21"/>
                      <w:szCs w:val="21"/>
                      <w:highlight w:val="none"/>
                      <w:lang w:eastAsia="zh-CN"/>
                    </w:rPr>
                  </w:pPr>
                  <w:r>
                    <w:rPr>
                      <w:rFonts w:hint="eastAsia" w:ascii="Times New Roman" w:hAnsi="Times New Roman" w:eastAsia="宋体" w:cs="Times New Roman"/>
                      <w:b/>
                      <w:bCs/>
                      <w:iCs/>
                      <w:snapToGrid/>
                      <w:color w:val="auto"/>
                      <w:kern w:val="0"/>
                      <w:sz w:val="21"/>
                      <w:szCs w:val="21"/>
                      <w:highlight w:val="none"/>
                      <w:lang w:eastAsia="zh-CN"/>
                    </w:rPr>
                    <w:t>序号</w:t>
                  </w:r>
                </w:p>
              </w:tc>
              <w:tc>
                <w:tcPr>
                  <w:tcW w:w="887" w:type="pct"/>
                  <w:tcBorders>
                    <w:tl2br w:val="nil"/>
                    <w:tr2bl w:val="nil"/>
                  </w:tcBorders>
                  <w:noWrap w:val="0"/>
                  <w:vAlign w:val="center"/>
                </w:tcPr>
                <w:p w14:paraId="6C8E7739">
                  <w:pPr>
                    <w:widowControl w:val="0"/>
                    <w:kinsoku/>
                    <w:autoSpaceDE/>
                    <w:autoSpaceDN/>
                    <w:adjustRightInd w:val="0"/>
                    <w:snapToGrid w:val="0"/>
                    <w:spacing w:line="240" w:lineRule="auto"/>
                    <w:ind w:firstLine="0" w:firstLineChars="0"/>
                    <w:jc w:val="center"/>
                    <w:textAlignment w:val="auto"/>
                    <w:rPr>
                      <w:rFonts w:hint="eastAsia" w:ascii="Times New Roman" w:hAnsi="Times New Roman" w:eastAsia="宋体" w:cs="Times New Roman"/>
                      <w:b/>
                      <w:bCs/>
                      <w:iCs/>
                      <w:snapToGrid/>
                      <w:color w:val="auto"/>
                      <w:kern w:val="0"/>
                      <w:sz w:val="21"/>
                      <w:szCs w:val="21"/>
                      <w:highlight w:val="none"/>
                      <w:lang w:eastAsia="zh-CN"/>
                    </w:rPr>
                  </w:pPr>
                  <w:r>
                    <w:rPr>
                      <w:rFonts w:hint="eastAsia" w:ascii="Times New Roman" w:hAnsi="Times New Roman" w:eastAsia="宋体" w:cs="Times New Roman"/>
                      <w:b/>
                      <w:bCs/>
                      <w:iCs/>
                      <w:snapToGrid/>
                      <w:color w:val="auto"/>
                      <w:kern w:val="0"/>
                      <w:sz w:val="21"/>
                      <w:szCs w:val="21"/>
                      <w:highlight w:val="none"/>
                      <w:lang w:eastAsia="zh-CN"/>
                    </w:rPr>
                    <w:t>相关文件</w:t>
                  </w:r>
                </w:p>
              </w:tc>
              <w:tc>
                <w:tcPr>
                  <w:tcW w:w="1751" w:type="pct"/>
                  <w:tcBorders>
                    <w:tl2br w:val="nil"/>
                    <w:tr2bl w:val="nil"/>
                  </w:tcBorders>
                  <w:noWrap w:val="0"/>
                  <w:vAlign w:val="center"/>
                </w:tcPr>
                <w:p w14:paraId="25BF30E2">
                  <w:pPr>
                    <w:widowControl w:val="0"/>
                    <w:kinsoku/>
                    <w:autoSpaceDE/>
                    <w:autoSpaceDN/>
                    <w:adjustRightInd w:val="0"/>
                    <w:snapToGrid w:val="0"/>
                    <w:spacing w:line="240" w:lineRule="auto"/>
                    <w:ind w:firstLine="0" w:firstLineChars="0"/>
                    <w:jc w:val="center"/>
                    <w:textAlignment w:val="auto"/>
                    <w:rPr>
                      <w:rFonts w:hint="eastAsia" w:ascii="Times New Roman" w:hAnsi="Times New Roman" w:eastAsia="宋体" w:cs="Times New Roman"/>
                      <w:b/>
                      <w:bCs/>
                      <w:iCs/>
                      <w:snapToGrid/>
                      <w:color w:val="auto"/>
                      <w:kern w:val="0"/>
                      <w:sz w:val="21"/>
                      <w:szCs w:val="21"/>
                      <w:highlight w:val="none"/>
                      <w:lang w:eastAsia="zh-CN"/>
                    </w:rPr>
                  </w:pPr>
                  <w:r>
                    <w:rPr>
                      <w:rFonts w:hint="eastAsia" w:ascii="Times New Roman" w:hAnsi="Times New Roman" w:eastAsia="宋体" w:cs="Times New Roman"/>
                      <w:b/>
                      <w:bCs/>
                      <w:iCs/>
                      <w:snapToGrid/>
                      <w:color w:val="auto"/>
                      <w:kern w:val="0"/>
                      <w:sz w:val="21"/>
                      <w:szCs w:val="21"/>
                      <w:highlight w:val="none"/>
                      <w:lang w:eastAsia="zh-CN"/>
                    </w:rPr>
                    <w:t>相关内容</w:t>
                  </w:r>
                </w:p>
              </w:tc>
              <w:tc>
                <w:tcPr>
                  <w:tcW w:w="1385" w:type="pct"/>
                  <w:tcBorders>
                    <w:tl2br w:val="nil"/>
                    <w:tr2bl w:val="nil"/>
                  </w:tcBorders>
                  <w:noWrap w:val="0"/>
                  <w:vAlign w:val="center"/>
                </w:tcPr>
                <w:p w14:paraId="44E658A7">
                  <w:pPr>
                    <w:widowControl w:val="0"/>
                    <w:kinsoku/>
                    <w:autoSpaceDE/>
                    <w:autoSpaceDN/>
                    <w:adjustRightInd w:val="0"/>
                    <w:snapToGrid w:val="0"/>
                    <w:spacing w:line="240" w:lineRule="auto"/>
                    <w:ind w:firstLine="0" w:firstLineChars="0"/>
                    <w:jc w:val="center"/>
                    <w:textAlignment w:val="auto"/>
                    <w:rPr>
                      <w:rFonts w:hint="eastAsia" w:ascii="Times New Roman" w:hAnsi="Times New Roman" w:eastAsia="宋体" w:cs="Times New Roman"/>
                      <w:b/>
                      <w:bCs/>
                      <w:iCs/>
                      <w:snapToGrid/>
                      <w:color w:val="auto"/>
                      <w:kern w:val="0"/>
                      <w:sz w:val="21"/>
                      <w:szCs w:val="21"/>
                      <w:highlight w:val="none"/>
                      <w:lang w:eastAsia="zh-CN"/>
                    </w:rPr>
                  </w:pPr>
                  <w:r>
                    <w:rPr>
                      <w:rFonts w:hint="eastAsia"/>
                      <w:b/>
                      <w:bCs/>
                      <w:iCs/>
                      <w:color w:val="auto"/>
                      <w:kern w:val="0"/>
                      <w:sz w:val="21"/>
                      <w:szCs w:val="21"/>
                      <w:highlight w:val="none"/>
                    </w:rPr>
                    <w:t>项目情况</w:t>
                  </w:r>
                </w:p>
              </w:tc>
              <w:tc>
                <w:tcPr>
                  <w:tcW w:w="679" w:type="pct"/>
                  <w:tcBorders>
                    <w:tl2br w:val="nil"/>
                    <w:tr2bl w:val="nil"/>
                  </w:tcBorders>
                  <w:noWrap w:val="0"/>
                  <w:vAlign w:val="center"/>
                </w:tcPr>
                <w:p w14:paraId="073BD2A8">
                  <w:pPr>
                    <w:widowControl w:val="0"/>
                    <w:kinsoku/>
                    <w:autoSpaceDE/>
                    <w:autoSpaceDN/>
                    <w:adjustRightInd w:val="0"/>
                    <w:snapToGrid w:val="0"/>
                    <w:spacing w:line="240" w:lineRule="auto"/>
                    <w:ind w:firstLine="0" w:firstLineChars="0"/>
                    <w:jc w:val="center"/>
                    <w:textAlignment w:val="auto"/>
                    <w:rPr>
                      <w:rFonts w:hint="default" w:ascii="Times New Roman" w:hAnsi="Times New Roman" w:eastAsia="宋体" w:cs="Times New Roman"/>
                      <w:b/>
                      <w:bCs/>
                      <w:iCs/>
                      <w:snapToGrid/>
                      <w:color w:val="auto"/>
                      <w:kern w:val="0"/>
                      <w:sz w:val="21"/>
                      <w:szCs w:val="21"/>
                      <w:highlight w:val="none"/>
                      <w:lang w:val="en-US" w:eastAsia="zh-CN"/>
                    </w:rPr>
                  </w:pPr>
                  <w:r>
                    <w:rPr>
                      <w:rFonts w:hint="eastAsia" w:ascii="Times New Roman" w:hAnsi="Times New Roman" w:eastAsia="宋体" w:cs="Times New Roman"/>
                      <w:b/>
                      <w:bCs/>
                      <w:iCs/>
                      <w:snapToGrid/>
                      <w:color w:val="auto"/>
                      <w:kern w:val="0"/>
                      <w:sz w:val="21"/>
                      <w:szCs w:val="21"/>
                      <w:highlight w:val="none"/>
                      <w:lang w:val="en-US" w:eastAsia="zh-CN"/>
                    </w:rPr>
                    <w:t>符合性</w:t>
                  </w:r>
                </w:p>
              </w:tc>
            </w:tr>
            <w:tr w14:paraId="16CF5E0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800" w:hRule="atLeast"/>
              </w:trPr>
              <w:tc>
                <w:tcPr>
                  <w:tcW w:w="295" w:type="pct"/>
                  <w:vMerge w:val="restart"/>
                  <w:tcBorders>
                    <w:tl2br w:val="nil"/>
                    <w:tr2bl w:val="nil"/>
                  </w:tcBorders>
                  <w:noWrap w:val="0"/>
                  <w:vAlign w:val="center"/>
                </w:tcPr>
                <w:p w14:paraId="3E258C10">
                  <w:pPr>
                    <w:widowControl w:val="0"/>
                    <w:kinsoku/>
                    <w:autoSpaceDE/>
                    <w:autoSpaceDN/>
                    <w:adjustRightInd w:val="0"/>
                    <w:snapToGrid w:val="0"/>
                    <w:spacing w:line="240" w:lineRule="auto"/>
                    <w:ind w:firstLine="0" w:firstLineChars="0"/>
                    <w:jc w:val="center"/>
                    <w:textAlignment w:val="auto"/>
                    <w:rPr>
                      <w:rFonts w:hint="eastAsia" w:ascii="Times New Roman" w:hAnsi="Times New Roman" w:eastAsia="宋体" w:cs="Times New Roman"/>
                      <w:iCs/>
                      <w:snapToGrid/>
                      <w:color w:val="auto"/>
                      <w:kern w:val="0"/>
                      <w:sz w:val="21"/>
                      <w:szCs w:val="21"/>
                      <w:highlight w:val="none"/>
                      <w:lang w:eastAsia="zh-CN"/>
                    </w:rPr>
                  </w:pPr>
                  <w:r>
                    <w:rPr>
                      <w:rFonts w:hint="eastAsia" w:ascii="Times New Roman" w:hAnsi="Times New Roman" w:eastAsia="宋体" w:cs="Times New Roman"/>
                      <w:iCs/>
                      <w:snapToGrid/>
                      <w:color w:val="auto"/>
                      <w:kern w:val="0"/>
                      <w:sz w:val="21"/>
                      <w:szCs w:val="21"/>
                      <w:highlight w:val="none"/>
                      <w:lang w:eastAsia="zh-CN"/>
                    </w:rPr>
                    <w:t>1</w:t>
                  </w:r>
                </w:p>
              </w:tc>
              <w:tc>
                <w:tcPr>
                  <w:tcW w:w="887" w:type="pct"/>
                  <w:vMerge w:val="restart"/>
                  <w:tcBorders>
                    <w:tl2br w:val="nil"/>
                    <w:tr2bl w:val="nil"/>
                  </w:tcBorders>
                  <w:noWrap w:val="0"/>
                  <w:vAlign w:val="center"/>
                </w:tcPr>
                <w:p w14:paraId="2F36E350">
                  <w:pPr>
                    <w:widowControl w:val="0"/>
                    <w:kinsoku/>
                    <w:autoSpaceDE/>
                    <w:autoSpaceDN/>
                    <w:adjustRightInd w:val="0"/>
                    <w:snapToGrid w:val="0"/>
                    <w:spacing w:line="240" w:lineRule="auto"/>
                    <w:ind w:firstLine="0" w:firstLineChars="0"/>
                    <w:jc w:val="center"/>
                    <w:textAlignment w:val="auto"/>
                    <w:rPr>
                      <w:rFonts w:hint="eastAsia" w:ascii="Times New Roman" w:hAnsi="Times New Roman" w:eastAsia="宋体" w:cs="Times New Roman"/>
                      <w:iCs/>
                      <w:snapToGrid/>
                      <w:color w:val="auto"/>
                      <w:kern w:val="0"/>
                      <w:sz w:val="21"/>
                      <w:szCs w:val="21"/>
                      <w:highlight w:val="none"/>
                      <w:lang w:eastAsia="zh-CN"/>
                    </w:rPr>
                  </w:pPr>
                  <w:r>
                    <w:rPr>
                      <w:rFonts w:hint="eastAsia" w:ascii="Times New Roman" w:hAnsi="Times New Roman" w:eastAsia="宋体" w:cs="Times New Roman"/>
                      <w:iCs/>
                      <w:snapToGrid/>
                      <w:color w:val="auto"/>
                      <w:kern w:val="0"/>
                      <w:sz w:val="21"/>
                      <w:szCs w:val="21"/>
                      <w:highlight w:val="none"/>
                      <w:lang w:eastAsia="zh-CN"/>
                    </w:rPr>
                    <w:t>《福建省工业炉窑大气污染综合治理方案》（闽环保大气〔20</w:t>
                  </w:r>
                  <w:r>
                    <w:rPr>
                      <w:rFonts w:hint="eastAsia" w:ascii="Times New Roman" w:hAnsi="Times New Roman" w:eastAsia="宋体" w:cs="Times New Roman"/>
                      <w:iCs/>
                      <w:snapToGrid/>
                      <w:color w:val="auto"/>
                      <w:kern w:val="0"/>
                      <w:sz w:val="21"/>
                      <w:szCs w:val="21"/>
                      <w:highlight w:val="none"/>
                      <w:lang w:val="en-US" w:eastAsia="zh-CN"/>
                    </w:rPr>
                    <w:t>19</w:t>
                  </w:r>
                  <w:r>
                    <w:rPr>
                      <w:rFonts w:hint="eastAsia" w:ascii="Times New Roman" w:hAnsi="Times New Roman" w:eastAsia="宋体" w:cs="Times New Roman"/>
                      <w:iCs/>
                      <w:snapToGrid/>
                      <w:color w:val="auto"/>
                      <w:kern w:val="0"/>
                      <w:sz w:val="21"/>
                      <w:szCs w:val="21"/>
                      <w:highlight w:val="none"/>
                      <w:lang w:eastAsia="zh-CN"/>
                    </w:rPr>
                    <w:t>〕10号）</w:t>
                  </w:r>
                </w:p>
              </w:tc>
              <w:tc>
                <w:tcPr>
                  <w:tcW w:w="1751" w:type="pct"/>
                  <w:tcBorders>
                    <w:tl2br w:val="nil"/>
                    <w:tr2bl w:val="nil"/>
                  </w:tcBorders>
                  <w:noWrap w:val="0"/>
                  <w:vAlign w:val="center"/>
                </w:tcPr>
                <w:p w14:paraId="1FD21C4C">
                  <w:pPr>
                    <w:widowControl w:val="0"/>
                    <w:kinsoku/>
                    <w:autoSpaceDE/>
                    <w:autoSpaceDN/>
                    <w:adjustRightInd w:val="0"/>
                    <w:snapToGrid w:val="0"/>
                    <w:spacing w:line="240" w:lineRule="auto"/>
                    <w:ind w:firstLine="0" w:firstLineChars="0"/>
                    <w:jc w:val="both"/>
                    <w:textAlignment w:val="auto"/>
                    <w:rPr>
                      <w:rFonts w:hint="eastAsia" w:ascii="Times New Roman" w:hAnsi="Times New Roman" w:eastAsia="宋体" w:cs="Times New Roman"/>
                      <w:iCs/>
                      <w:snapToGrid/>
                      <w:color w:val="auto"/>
                      <w:kern w:val="0"/>
                      <w:sz w:val="21"/>
                      <w:szCs w:val="21"/>
                      <w:highlight w:val="none"/>
                      <w:lang w:eastAsia="zh-CN"/>
                    </w:rPr>
                  </w:pPr>
                  <w:r>
                    <w:rPr>
                      <w:rFonts w:hint="eastAsia" w:ascii="Times New Roman" w:hAnsi="Times New Roman" w:eastAsia="宋体" w:cs="Times New Roman"/>
                      <w:iCs/>
                      <w:snapToGrid/>
                      <w:color w:val="auto"/>
                      <w:kern w:val="0"/>
                      <w:sz w:val="21"/>
                      <w:szCs w:val="21"/>
                      <w:highlight w:val="none"/>
                      <w:lang w:eastAsia="zh-CN"/>
                    </w:rPr>
                    <w:t>福建省工业炉窑大气污染综合治理重点任务表：严格建设项目环境准入。新建涉工业炉窑的建设项目，原则上要入园区，配套建设高效环保治理设施。</w:t>
                  </w:r>
                </w:p>
              </w:tc>
              <w:tc>
                <w:tcPr>
                  <w:tcW w:w="1385" w:type="pct"/>
                  <w:tcBorders>
                    <w:tl2br w:val="nil"/>
                    <w:tr2bl w:val="nil"/>
                  </w:tcBorders>
                  <w:noWrap w:val="0"/>
                  <w:vAlign w:val="center"/>
                </w:tcPr>
                <w:p w14:paraId="27E4A51F">
                  <w:pPr>
                    <w:widowControl w:val="0"/>
                    <w:kinsoku/>
                    <w:autoSpaceDE/>
                    <w:autoSpaceDN/>
                    <w:adjustRightInd w:val="0"/>
                    <w:snapToGrid w:val="0"/>
                    <w:spacing w:line="240" w:lineRule="auto"/>
                    <w:ind w:firstLine="0" w:firstLineChars="0"/>
                    <w:jc w:val="center"/>
                    <w:textAlignment w:val="auto"/>
                    <w:rPr>
                      <w:rFonts w:hint="eastAsia" w:ascii="Times New Roman" w:hAnsi="Times New Roman" w:eastAsia="宋体" w:cs="Times New Roman"/>
                      <w:iCs/>
                      <w:snapToGrid/>
                      <w:color w:val="auto"/>
                      <w:kern w:val="0"/>
                      <w:sz w:val="21"/>
                      <w:szCs w:val="21"/>
                      <w:highlight w:val="none"/>
                      <w:lang w:eastAsia="zh-CN"/>
                    </w:rPr>
                  </w:pPr>
                  <w:r>
                    <w:rPr>
                      <w:rFonts w:hint="eastAsia" w:ascii="Times New Roman" w:hAnsi="Times New Roman" w:eastAsia="宋体" w:cs="Times New Roman"/>
                      <w:iCs/>
                      <w:snapToGrid/>
                      <w:color w:val="auto"/>
                      <w:kern w:val="0"/>
                      <w:sz w:val="21"/>
                      <w:szCs w:val="21"/>
                      <w:highlight w:val="none"/>
                      <w:lang w:eastAsia="zh-CN"/>
                    </w:rPr>
                    <w:t>本项目</w:t>
                  </w:r>
                  <w:r>
                    <w:rPr>
                      <w:rFonts w:hint="eastAsia" w:ascii="Times New Roman" w:hAnsi="Times New Roman" w:eastAsia="宋体" w:cs="Times New Roman"/>
                      <w:iCs/>
                      <w:snapToGrid/>
                      <w:color w:val="auto"/>
                      <w:kern w:val="0"/>
                      <w:sz w:val="21"/>
                      <w:szCs w:val="21"/>
                      <w:highlight w:val="none"/>
                      <w:lang w:val="en-US" w:eastAsia="zh-CN"/>
                    </w:rPr>
                    <w:t>位于</w:t>
                  </w:r>
                  <w:r>
                    <w:rPr>
                      <w:rFonts w:hint="eastAsia" w:ascii="Times New Roman" w:hAnsi="Times New Roman" w:eastAsia="宋体" w:cs="Times New Roman"/>
                      <w:iCs/>
                      <w:snapToGrid/>
                      <w:color w:val="auto"/>
                      <w:kern w:val="0"/>
                      <w:sz w:val="21"/>
                      <w:szCs w:val="21"/>
                      <w:highlight w:val="none"/>
                      <w:lang w:eastAsia="zh-CN"/>
                    </w:rPr>
                    <w:t>福建省福州市罗源县</w:t>
                  </w:r>
                  <w:r>
                    <w:rPr>
                      <w:rFonts w:hint="eastAsia" w:ascii="Times New Roman" w:hAnsi="Times New Roman" w:eastAsia="宋体" w:cs="Times New Roman"/>
                      <w:iCs/>
                      <w:snapToGrid/>
                      <w:color w:val="auto"/>
                      <w:kern w:val="0"/>
                      <w:sz w:val="21"/>
                      <w:szCs w:val="21"/>
                      <w:highlight w:val="none"/>
                      <w:lang w:val="en-US" w:eastAsia="zh-CN"/>
                    </w:rPr>
                    <w:t>金港工业区</w:t>
                  </w:r>
                  <w:r>
                    <w:rPr>
                      <w:rFonts w:hint="eastAsia" w:ascii="Times New Roman" w:hAnsi="Times New Roman" w:eastAsia="宋体" w:cs="Times New Roman"/>
                      <w:iCs/>
                      <w:snapToGrid/>
                      <w:color w:val="auto"/>
                      <w:kern w:val="0"/>
                      <w:sz w:val="21"/>
                      <w:szCs w:val="21"/>
                      <w:highlight w:val="none"/>
                      <w:lang w:eastAsia="zh-CN"/>
                    </w:rPr>
                    <w:t>，</w:t>
                  </w:r>
                  <w:r>
                    <w:rPr>
                      <w:rFonts w:hint="eastAsia" w:ascii="Times New Roman" w:hAnsi="Times New Roman" w:eastAsia="宋体" w:cs="Times New Roman"/>
                      <w:iCs/>
                      <w:snapToGrid/>
                      <w:color w:val="auto"/>
                      <w:kern w:val="0"/>
                      <w:sz w:val="21"/>
                      <w:szCs w:val="21"/>
                      <w:highlight w:val="none"/>
                      <w:lang w:val="en-US" w:eastAsia="zh-CN"/>
                    </w:rPr>
                    <w:t>骨料</w:t>
                  </w:r>
                  <w:r>
                    <w:rPr>
                      <w:rFonts w:hint="eastAsia" w:ascii="Times New Roman" w:hAnsi="Times New Roman" w:eastAsia="宋体" w:cs="Times New Roman"/>
                      <w:iCs/>
                      <w:snapToGrid/>
                      <w:color w:val="auto"/>
                      <w:kern w:val="0"/>
                      <w:sz w:val="21"/>
                      <w:szCs w:val="21"/>
                      <w:highlight w:val="none"/>
                      <w:lang w:eastAsia="zh-CN"/>
                    </w:rPr>
                    <w:t>烘干废气</w:t>
                  </w:r>
                  <w:r>
                    <w:rPr>
                      <w:rFonts w:hint="eastAsia" w:ascii="Times New Roman" w:hAnsi="Times New Roman" w:eastAsia="宋体" w:cs="Times New Roman"/>
                      <w:iCs/>
                      <w:snapToGrid/>
                      <w:color w:val="auto"/>
                      <w:kern w:val="0"/>
                      <w:sz w:val="21"/>
                      <w:szCs w:val="21"/>
                      <w:highlight w:val="none"/>
                      <w:lang w:val="en-US" w:eastAsia="zh-CN"/>
                    </w:rPr>
                    <w:t>通过</w:t>
                  </w:r>
                  <w:r>
                    <w:rPr>
                      <w:rFonts w:hint="eastAsia" w:ascii="Times New Roman" w:hAnsi="Times New Roman" w:eastAsia="宋体" w:cs="Times New Roman"/>
                      <w:iCs/>
                      <w:snapToGrid/>
                      <w:color w:val="auto"/>
                      <w:kern w:val="0"/>
                      <w:sz w:val="21"/>
                      <w:szCs w:val="21"/>
                      <w:highlight w:val="none"/>
                      <w:lang w:eastAsia="zh-CN"/>
                    </w:rPr>
                    <w:t>布袋除尘器对</w:t>
                  </w:r>
                  <w:r>
                    <w:rPr>
                      <w:rFonts w:hint="eastAsia" w:ascii="Times New Roman" w:hAnsi="Times New Roman" w:eastAsia="宋体" w:cs="Times New Roman"/>
                      <w:iCs/>
                      <w:snapToGrid/>
                      <w:color w:val="auto"/>
                      <w:kern w:val="0"/>
                      <w:sz w:val="21"/>
                      <w:szCs w:val="21"/>
                      <w:highlight w:val="none"/>
                      <w:lang w:val="en-US" w:eastAsia="zh-CN"/>
                    </w:rPr>
                    <w:t>其</w:t>
                  </w:r>
                  <w:r>
                    <w:rPr>
                      <w:rFonts w:hint="eastAsia" w:ascii="Times New Roman" w:hAnsi="Times New Roman" w:eastAsia="宋体" w:cs="Times New Roman"/>
                      <w:iCs/>
                      <w:snapToGrid/>
                      <w:color w:val="auto"/>
                      <w:kern w:val="0"/>
                      <w:sz w:val="21"/>
                      <w:szCs w:val="21"/>
                      <w:highlight w:val="none"/>
                      <w:lang w:eastAsia="zh-CN"/>
                    </w:rPr>
                    <w:t>进行处理。</w:t>
                  </w:r>
                </w:p>
              </w:tc>
              <w:tc>
                <w:tcPr>
                  <w:tcW w:w="679" w:type="pct"/>
                  <w:tcBorders>
                    <w:tl2br w:val="nil"/>
                    <w:tr2bl w:val="nil"/>
                  </w:tcBorders>
                  <w:noWrap w:val="0"/>
                  <w:vAlign w:val="center"/>
                </w:tcPr>
                <w:p w14:paraId="12BDED7D">
                  <w:pPr>
                    <w:widowControl w:val="0"/>
                    <w:kinsoku/>
                    <w:autoSpaceDE/>
                    <w:autoSpaceDN/>
                    <w:adjustRightInd w:val="0"/>
                    <w:snapToGrid w:val="0"/>
                    <w:spacing w:line="240" w:lineRule="auto"/>
                    <w:ind w:firstLine="0" w:firstLineChars="0"/>
                    <w:jc w:val="center"/>
                    <w:textAlignment w:val="auto"/>
                    <w:rPr>
                      <w:rFonts w:hint="default" w:ascii="Times New Roman" w:hAnsi="Times New Roman" w:eastAsia="宋体" w:cs="Times New Roman"/>
                      <w:iCs/>
                      <w:snapToGrid/>
                      <w:color w:val="auto"/>
                      <w:kern w:val="0"/>
                      <w:sz w:val="21"/>
                      <w:szCs w:val="21"/>
                      <w:highlight w:val="none"/>
                      <w:lang w:val="en-US" w:eastAsia="zh-CN"/>
                    </w:rPr>
                  </w:pPr>
                  <w:r>
                    <w:rPr>
                      <w:rFonts w:hint="eastAsia" w:ascii="Times New Roman" w:hAnsi="Times New Roman" w:eastAsia="宋体" w:cs="Times New Roman"/>
                      <w:iCs/>
                      <w:snapToGrid/>
                      <w:color w:val="auto"/>
                      <w:kern w:val="0"/>
                      <w:sz w:val="21"/>
                      <w:szCs w:val="21"/>
                      <w:highlight w:val="none"/>
                      <w:lang w:val="en-US" w:eastAsia="zh-CN"/>
                    </w:rPr>
                    <w:t>符合</w:t>
                  </w:r>
                </w:p>
              </w:tc>
            </w:tr>
            <w:tr w14:paraId="162B27F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273" w:hRule="atLeast"/>
              </w:trPr>
              <w:tc>
                <w:tcPr>
                  <w:tcW w:w="295" w:type="pct"/>
                  <w:vMerge w:val="continue"/>
                  <w:tcBorders>
                    <w:tl2br w:val="nil"/>
                    <w:tr2bl w:val="nil"/>
                  </w:tcBorders>
                  <w:noWrap w:val="0"/>
                  <w:vAlign w:val="center"/>
                </w:tcPr>
                <w:p w14:paraId="056EF067">
                  <w:pPr>
                    <w:widowControl w:val="0"/>
                    <w:kinsoku/>
                    <w:autoSpaceDE/>
                    <w:autoSpaceDN/>
                    <w:adjustRightInd w:val="0"/>
                    <w:snapToGrid w:val="0"/>
                    <w:spacing w:line="240" w:lineRule="auto"/>
                    <w:ind w:firstLine="0" w:firstLineChars="0"/>
                    <w:jc w:val="center"/>
                    <w:textAlignment w:val="auto"/>
                    <w:rPr>
                      <w:rFonts w:hint="eastAsia" w:ascii="Times New Roman" w:hAnsi="Times New Roman" w:eastAsia="宋体" w:cs="Times New Roman"/>
                      <w:iCs/>
                      <w:snapToGrid/>
                      <w:color w:val="auto"/>
                      <w:kern w:val="0"/>
                      <w:sz w:val="21"/>
                      <w:szCs w:val="21"/>
                      <w:highlight w:val="none"/>
                      <w:lang w:eastAsia="zh-CN"/>
                    </w:rPr>
                  </w:pPr>
                </w:p>
              </w:tc>
              <w:tc>
                <w:tcPr>
                  <w:tcW w:w="887" w:type="pct"/>
                  <w:vMerge w:val="continue"/>
                  <w:tcBorders>
                    <w:tl2br w:val="nil"/>
                    <w:tr2bl w:val="nil"/>
                  </w:tcBorders>
                  <w:noWrap w:val="0"/>
                  <w:vAlign w:val="center"/>
                </w:tcPr>
                <w:p w14:paraId="37015DE4">
                  <w:pPr>
                    <w:widowControl w:val="0"/>
                    <w:kinsoku/>
                    <w:autoSpaceDE/>
                    <w:autoSpaceDN/>
                    <w:adjustRightInd w:val="0"/>
                    <w:snapToGrid w:val="0"/>
                    <w:spacing w:line="240" w:lineRule="auto"/>
                    <w:ind w:firstLine="0" w:firstLineChars="0"/>
                    <w:jc w:val="center"/>
                    <w:textAlignment w:val="auto"/>
                    <w:rPr>
                      <w:rFonts w:hint="eastAsia" w:ascii="Times New Roman" w:hAnsi="Times New Roman" w:eastAsia="宋体" w:cs="Times New Roman"/>
                      <w:iCs/>
                      <w:snapToGrid/>
                      <w:color w:val="auto"/>
                      <w:kern w:val="0"/>
                      <w:sz w:val="21"/>
                      <w:szCs w:val="21"/>
                      <w:highlight w:val="none"/>
                      <w:lang w:eastAsia="zh-CN"/>
                    </w:rPr>
                  </w:pPr>
                </w:p>
              </w:tc>
              <w:tc>
                <w:tcPr>
                  <w:tcW w:w="1751" w:type="pct"/>
                  <w:tcBorders>
                    <w:tl2br w:val="nil"/>
                    <w:tr2bl w:val="nil"/>
                  </w:tcBorders>
                  <w:noWrap w:val="0"/>
                  <w:vAlign w:val="center"/>
                </w:tcPr>
                <w:p w14:paraId="7861ED63">
                  <w:pPr>
                    <w:widowControl w:val="0"/>
                    <w:kinsoku/>
                    <w:autoSpaceDE/>
                    <w:autoSpaceDN/>
                    <w:adjustRightInd w:val="0"/>
                    <w:snapToGrid w:val="0"/>
                    <w:spacing w:line="240" w:lineRule="auto"/>
                    <w:ind w:firstLine="0" w:firstLineChars="0"/>
                    <w:jc w:val="both"/>
                    <w:textAlignment w:val="auto"/>
                    <w:rPr>
                      <w:rFonts w:hint="eastAsia" w:ascii="Times New Roman" w:hAnsi="Times New Roman" w:eastAsia="宋体" w:cs="Times New Roman"/>
                      <w:iCs/>
                      <w:snapToGrid/>
                      <w:color w:val="auto"/>
                      <w:kern w:val="0"/>
                      <w:sz w:val="21"/>
                      <w:szCs w:val="21"/>
                      <w:highlight w:val="none"/>
                      <w:lang w:eastAsia="zh-CN"/>
                    </w:rPr>
                  </w:pPr>
                  <w:r>
                    <w:rPr>
                      <w:rFonts w:hint="eastAsia" w:ascii="Times New Roman" w:hAnsi="Times New Roman" w:eastAsia="宋体" w:cs="Times New Roman"/>
                      <w:iCs/>
                      <w:snapToGrid/>
                      <w:color w:val="auto"/>
                      <w:kern w:val="0"/>
                      <w:sz w:val="21"/>
                      <w:szCs w:val="21"/>
                      <w:highlight w:val="none"/>
                      <w:lang w:eastAsia="zh-CN"/>
                    </w:rPr>
                    <w:t>重点行业工业炉窑大气污染治理要求：建材：超高温竖窑、回转窑应配备覆膜袋式等高效除尘设施，其他耐火材料窑应配备袋式等除尘设施；以煤（含煤气）、重油等为燃料以及使用含硫粘结剂的，应配备石灰石石膏法等高效脱硫设施；超高温竖窑、回转窑、高温隧道窑应配备SCR、SNCR等脱硝设施。</w:t>
                  </w:r>
                </w:p>
              </w:tc>
              <w:tc>
                <w:tcPr>
                  <w:tcW w:w="1385" w:type="pct"/>
                  <w:tcBorders>
                    <w:tl2br w:val="nil"/>
                    <w:tr2bl w:val="nil"/>
                  </w:tcBorders>
                  <w:noWrap w:val="0"/>
                  <w:vAlign w:val="center"/>
                </w:tcPr>
                <w:p w14:paraId="1C4A3A0C">
                  <w:pPr>
                    <w:widowControl w:val="0"/>
                    <w:kinsoku/>
                    <w:autoSpaceDE/>
                    <w:autoSpaceDN/>
                    <w:adjustRightInd w:val="0"/>
                    <w:snapToGrid w:val="0"/>
                    <w:spacing w:line="240" w:lineRule="auto"/>
                    <w:ind w:firstLine="0" w:firstLineChars="0"/>
                    <w:jc w:val="both"/>
                    <w:textAlignment w:val="auto"/>
                    <w:rPr>
                      <w:rFonts w:hint="eastAsia" w:ascii="Times New Roman" w:hAnsi="Times New Roman" w:eastAsia="宋体" w:cs="Times New Roman"/>
                      <w:iCs/>
                      <w:snapToGrid/>
                      <w:color w:val="auto"/>
                      <w:kern w:val="0"/>
                      <w:sz w:val="21"/>
                      <w:szCs w:val="21"/>
                      <w:highlight w:val="none"/>
                      <w:lang w:eastAsia="zh-CN"/>
                    </w:rPr>
                  </w:pPr>
                  <w:r>
                    <w:rPr>
                      <w:rFonts w:hint="eastAsia" w:ascii="Times New Roman" w:hAnsi="Times New Roman" w:eastAsia="宋体" w:cs="Times New Roman"/>
                      <w:iCs/>
                      <w:snapToGrid/>
                      <w:color w:val="auto"/>
                      <w:kern w:val="0"/>
                      <w:sz w:val="21"/>
                      <w:szCs w:val="21"/>
                      <w:highlight w:val="none"/>
                      <w:lang w:eastAsia="zh-CN"/>
                    </w:rPr>
                    <w:t>本项目</w:t>
                  </w:r>
                  <w:r>
                    <w:rPr>
                      <w:rFonts w:hint="eastAsia" w:ascii="Times New Roman" w:hAnsi="Times New Roman" w:eastAsia="宋体" w:cs="Times New Roman"/>
                      <w:iCs/>
                      <w:snapToGrid/>
                      <w:color w:val="auto"/>
                      <w:kern w:val="0"/>
                      <w:sz w:val="21"/>
                      <w:szCs w:val="21"/>
                      <w:highlight w:val="none"/>
                      <w:lang w:val="en-US" w:eastAsia="zh-CN"/>
                    </w:rPr>
                    <w:t>骨料</w:t>
                  </w:r>
                  <w:r>
                    <w:rPr>
                      <w:rFonts w:hint="eastAsia" w:ascii="Times New Roman" w:hAnsi="Times New Roman" w:eastAsia="宋体" w:cs="Times New Roman"/>
                      <w:iCs/>
                      <w:snapToGrid/>
                      <w:color w:val="auto"/>
                      <w:kern w:val="0"/>
                      <w:sz w:val="21"/>
                      <w:szCs w:val="21"/>
                      <w:highlight w:val="none"/>
                      <w:lang w:eastAsia="zh-CN"/>
                    </w:rPr>
                    <w:t>烘干工序设置</w:t>
                  </w:r>
                  <w:r>
                    <w:rPr>
                      <w:rFonts w:hint="eastAsia" w:ascii="Times New Roman" w:hAnsi="Times New Roman" w:eastAsia="宋体" w:cs="Times New Roman"/>
                      <w:iCs/>
                      <w:snapToGrid/>
                      <w:color w:val="auto"/>
                      <w:kern w:val="0"/>
                      <w:sz w:val="21"/>
                      <w:szCs w:val="21"/>
                      <w:highlight w:val="none"/>
                      <w:lang w:val="en-US" w:eastAsia="zh-CN"/>
                    </w:rPr>
                    <w:t>有烘干滚筒+燃烧器</w:t>
                  </w:r>
                  <w:r>
                    <w:rPr>
                      <w:rFonts w:hint="eastAsia" w:ascii="Times New Roman" w:hAnsi="Times New Roman" w:eastAsia="宋体" w:cs="Times New Roman"/>
                      <w:iCs/>
                      <w:snapToGrid/>
                      <w:color w:val="auto"/>
                      <w:kern w:val="0"/>
                      <w:sz w:val="21"/>
                      <w:szCs w:val="21"/>
                      <w:highlight w:val="none"/>
                      <w:lang w:eastAsia="zh-CN"/>
                    </w:rPr>
                    <w:t>，属于工业炉窑，</w:t>
                  </w:r>
                  <w:r>
                    <w:rPr>
                      <w:rFonts w:hint="eastAsia" w:cs="Times New Roman"/>
                      <w:iCs/>
                      <w:snapToGrid/>
                      <w:color w:val="auto"/>
                      <w:kern w:val="0"/>
                      <w:sz w:val="21"/>
                      <w:szCs w:val="21"/>
                      <w:highlight w:val="none"/>
                      <w:lang w:val="en-US" w:eastAsia="zh-CN"/>
                    </w:rPr>
                    <w:t>骨料</w:t>
                  </w:r>
                  <w:r>
                    <w:rPr>
                      <w:rFonts w:hint="eastAsia" w:ascii="Times New Roman" w:hAnsi="Times New Roman" w:eastAsia="宋体" w:cs="Times New Roman"/>
                      <w:iCs/>
                      <w:snapToGrid/>
                      <w:color w:val="auto"/>
                      <w:kern w:val="0"/>
                      <w:sz w:val="21"/>
                      <w:szCs w:val="21"/>
                      <w:highlight w:val="none"/>
                      <w:lang w:eastAsia="zh-CN"/>
                    </w:rPr>
                    <w:t>烘干废气</w:t>
                  </w:r>
                  <w:r>
                    <w:rPr>
                      <w:rFonts w:hint="eastAsia" w:ascii="Times New Roman" w:hAnsi="Times New Roman" w:eastAsia="宋体" w:cs="Times New Roman"/>
                      <w:iCs/>
                      <w:snapToGrid/>
                      <w:color w:val="auto"/>
                      <w:kern w:val="0"/>
                      <w:sz w:val="21"/>
                      <w:szCs w:val="21"/>
                      <w:highlight w:val="none"/>
                      <w:lang w:val="en-US" w:eastAsia="zh-CN"/>
                    </w:rPr>
                    <w:t>通过</w:t>
                  </w:r>
                  <w:r>
                    <w:rPr>
                      <w:rFonts w:hint="eastAsia" w:ascii="Times New Roman" w:hAnsi="Times New Roman" w:eastAsia="宋体" w:cs="Times New Roman"/>
                      <w:iCs/>
                      <w:snapToGrid/>
                      <w:color w:val="auto"/>
                      <w:kern w:val="0"/>
                      <w:sz w:val="21"/>
                      <w:szCs w:val="21"/>
                      <w:highlight w:val="none"/>
                      <w:lang w:eastAsia="zh-CN"/>
                    </w:rPr>
                    <w:t>布袋除尘器对</w:t>
                  </w:r>
                  <w:r>
                    <w:rPr>
                      <w:rFonts w:hint="eastAsia" w:ascii="Times New Roman" w:hAnsi="Times New Roman" w:eastAsia="宋体" w:cs="Times New Roman"/>
                      <w:iCs/>
                      <w:snapToGrid/>
                      <w:color w:val="auto"/>
                      <w:kern w:val="0"/>
                      <w:sz w:val="21"/>
                      <w:szCs w:val="21"/>
                      <w:highlight w:val="none"/>
                      <w:lang w:val="en-US" w:eastAsia="zh-CN"/>
                    </w:rPr>
                    <w:t>其</w:t>
                  </w:r>
                  <w:r>
                    <w:rPr>
                      <w:rFonts w:hint="eastAsia" w:ascii="Times New Roman" w:hAnsi="Times New Roman" w:eastAsia="宋体" w:cs="Times New Roman"/>
                      <w:iCs/>
                      <w:snapToGrid/>
                      <w:color w:val="auto"/>
                      <w:kern w:val="0"/>
                      <w:sz w:val="21"/>
                      <w:szCs w:val="21"/>
                      <w:highlight w:val="none"/>
                      <w:lang w:eastAsia="zh-CN"/>
                    </w:rPr>
                    <w:t>进行处理。</w:t>
                  </w:r>
                </w:p>
              </w:tc>
              <w:tc>
                <w:tcPr>
                  <w:tcW w:w="679" w:type="pct"/>
                  <w:tcBorders>
                    <w:tl2br w:val="nil"/>
                    <w:tr2bl w:val="nil"/>
                  </w:tcBorders>
                  <w:noWrap w:val="0"/>
                  <w:vAlign w:val="center"/>
                </w:tcPr>
                <w:p w14:paraId="4DE87383">
                  <w:pPr>
                    <w:widowControl w:val="0"/>
                    <w:kinsoku/>
                    <w:autoSpaceDE/>
                    <w:autoSpaceDN/>
                    <w:adjustRightInd w:val="0"/>
                    <w:snapToGrid w:val="0"/>
                    <w:spacing w:line="240" w:lineRule="auto"/>
                    <w:ind w:firstLine="0" w:firstLineChars="0"/>
                    <w:jc w:val="center"/>
                    <w:textAlignment w:val="auto"/>
                    <w:rPr>
                      <w:rFonts w:hint="eastAsia" w:ascii="Times New Roman" w:hAnsi="Times New Roman" w:eastAsia="宋体" w:cs="Times New Roman"/>
                      <w:iCs/>
                      <w:snapToGrid/>
                      <w:color w:val="auto"/>
                      <w:kern w:val="0"/>
                      <w:sz w:val="21"/>
                      <w:szCs w:val="21"/>
                      <w:highlight w:val="none"/>
                      <w:lang w:eastAsia="zh-CN"/>
                    </w:rPr>
                  </w:pPr>
                  <w:r>
                    <w:rPr>
                      <w:rFonts w:hint="eastAsia" w:ascii="Times New Roman" w:hAnsi="Times New Roman" w:eastAsia="宋体" w:cs="Times New Roman"/>
                      <w:iCs/>
                      <w:snapToGrid/>
                      <w:color w:val="auto"/>
                      <w:kern w:val="0"/>
                      <w:sz w:val="21"/>
                      <w:szCs w:val="21"/>
                      <w:highlight w:val="none"/>
                      <w:lang w:val="en-US" w:eastAsia="zh-CN"/>
                    </w:rPr>
                    <w:t>符合</w:t>
                  </w:r>
                </w:p>
              </w:tc>
            </w:tr>
          </w:tbl>
          <w:p w14:paraId="12E92726">
            <w:pPr>
              <w:widowControl/>
              <w:ind w:firstLine="0" w:firstLineChars="0"/>
              <w:jc w:val="left"/>
              <w:rPr>
                <w:b/>
                <w:bCs/>
                <w:color w:val="auto"/>
                <w:kern w:val="0"/>
                <w:sz w:val="28"/>
                <w:szCs w:val="28"/>
                <w:highlight w:val="none"/>
                <w:lang w:bidi="ar"/>
              </w:rPr>
            </w:pPr>
            <w:r>
              <w:rPr>
                <w:rFonts w:hint="eastAsia"/>
                <w:b/>
                <w:bCs/>
                <w:color w:val="auto"/>
                <w:kern w:val="0"/>
                <w:sz w:val="28"/>
                <w:szCs w:val="28"/>
                <w:highlight w:val="none"/>
                <w:lang w:bidi="ar"/>
              </w:rPr>
              <w:t>1.</w:t>
            </w:r>
            <w:r>
              <w:rPr>
                <w:rFonts w:hint="eastAsia"/>
                <w:b/>
                <w:bCs/>
                <w:color w:val="auto"/>
                <w:kern w:val="0"/>
                <w:sz w:val="28"/>
                <w:szCs w:val="28"/>
                <w:highlight w:val="none"/>
                <w:lang w:val="en-US" w:eastAsia="zh-CN" w:bidi="ar"/>
              </w:rPr>
              <w:t>7</w:t>
            </w:r>
            <w:r>
              <w:rPr>
                <w:rFonts w:hint="eastAsia"/>
                <w:b/>
                <w:bCs/>
                <w:color w:val="auto"/>
                <w:kern w:val="0"/>
                <w:sz w:val="28"/>
                <w:szCs w:val="28"/>
                <w:highlight w:val="none"/>
                <w:lang w:bidi="ar"/>
              </w:rPr>
              <w:t xml:space="preserve"> </w:t>
            </w:r>
            <w:r>
              <w:rPr>
                <w:b/>
                <w:bCs/>
                <w:color w:val="auto"/>
                <w:kern w:val="0"/>
                <w:sz w:val="28"/>
                <w:szCs w:val="28"/>
                <w:highlight w:val="none"/>
                <w:lang w:bidi="ar"/>
              </w:rPr>
              <w:t>与周边相容性分析</w:t>
            </w:r>
          </w:p>
          <w:p w14:paraId="58C55858">
            <w:pPr>
              <w:ind w:firstLine="480"/>
              <w:rPr>
                <w:rFonts w:hint="eastAsia"/>
                <w:color w:val="auto"/>
                <w:highlight w:val="none"/>
              </w:rPr>
            </w:pPr>
            <w:r>
              <w:rPr>
                <w:color w:val="auto"/>
                <w:highlight w:val="none"/>
              </w:rPr>
              <w:t>根据现场踏勘，项目周围无生活饮用水水源保护区、无重大文物古迹、无国家重</w:t>
            </w:r>
            <w:r>
              <w:rPr>
                <w:rFonts w:ascii="Times New Roman" w:hAnsi="Times New Roman" w:eastAsia="宋体" w:cs="Times New Roman"/>
                <w:color w:val="auto"/>
                <w:highlight w:val="none"/>
              </w:rPr>
              <w:t>点保护的珍</w:t>
            </w:r>
            <w:r>
              <w:rPr>
                <w:rFonts w:hint="eastAsia" w:ascii="Times New Roman" w:hAnsi="Times New Roman" w:eastAsia="宋体" w:cs="Times New Roman"/>
                <w:color w:val="auto"/>
                <w:highlight w:val="none"/>
              </w:rPr>
              <w:t>惜动物和濒危植物。项目主要从事</w:t>
            </w:r>
            <w:r>
              <w:rPr>
                <w:rFonts w:hint="eastAsia" w:ascii="Times New Roman" w:hAnsi="Times New Roman" w:eastAsia="宋体" w:cs="Times New Roman"/>
                <w:color w:val="auto"/>
                <w:highlight w:val="none"/>
                <w:lang w:val="en-US" w:eastAsia="zh-CN"/>
              </w:rPr>
              <w:t>沥青混凝土和乳化沥青生产。项目食堂废水经隔油池预处理后与</w:t>
            </w:r>
            <w:r>
              <w:rPr>
                <w:rFonts w:hint="eastAsia" w:ascii="Times New Roman" w:hAnsi="Times New Roman" w:eastAsia="宋体" w:cs="Times New Roman"/>
                <w:color w:val="auto"/>
                <w:highlight w:val="none"/>
              </w:rPr>
              <w:t>生活废水一起经</w:t>
            </w:r>
            <w:r>
              <w:rPr>
                <w:rFonts w:hint="eastAsia" w:ascii="Times New Roman" w:hAnsi="Times New Roman" w:eastAsia="宋体" w:cs="Times New Roman"/>
                <w:color w:val="auto"/>
                <w:highlight w:val="none"/>
                <w:lang w:val="en-US" w:eastAsia="zh-CN"/>
              </w:rPr>
              <w:t>厂区</w:t>
            </w:r>
            <w:r>
              <w:rPr>
                <w:rFonts w:hint="eastAsia" w:ascii="Times New Roman" w:hAnsi="Times New Roman" w:eastAsia="宋体" w:cs="Times New Roman"/>
                <w:color w:val="auto"/>
                <w:highlight w:val="none"/>
              </w:rPr>
              <w:t>化粪池处理达</w:t>
            </w:r>
            <w:r>
              <w:rPr>
                <w:rFonts w:hint="eastAsia" w:ascii="Times New Roman" w:hAnsi="Times New Roman" w:eastAsia="宋体" w:cs="Times New Roman"/>
                <w:color w:val="auto"/>
                <w:highlight w:val="none"/>
                <w:lang w:val="en-US" w:eastAsia="zh-CN"/>
              </w:rPr>
              <w:t>标</w:t>
            </w:r>
            <w:r>
              <w:rPr>
                <w:rFonts w:hint="eastAsia" w:ascii="Times New Roman" w:hAnsi="Times New Roman" w:eastAsia="宋体" w:cs="Times New Roman"/>
                <w:color w:val="auto"/>
                <w:highlight w:val="none"/>
              </w:rPr>
              <w:t>后排入市政污水管网</w:t>
            </w:r>
            <w:r>
              <w:rPr>
                <w:rFonts w:hint="eastAsia" w:ascii="Times New Roman" w:hAnsi="Times New Roman" w:eastAsia="宋体" w:cs="Times New Roman"/>
                <w:color w:val="auto"/>
                <w:highlight w:val="none"/>
                <w:lang w:val="en-US" w:eastAsia="zh-CN"/>
              </w:rPr>
              <w:t>。生产废气主要为①骨料卸料扬尘；②骨料堆场扬尘；③矿粉罐粉</w:t>
            </w:r>
            <w:r>
              <w:rPr>
                <w:rFonts w:hint="eastAsia"/>
                <w:color w:val="auto"/>
                <w:highlight w:val="none"/>
                <w:lang w:val="en-US" w:eastAsia="zh-CN"/>
              </w:rPr>
              <w:t>尘</w:t>
            </w:r>
            <w:r>
              <w:rPr>
                <w:rFonts w:hint="eastAsia"/>
                <w:color w:val="auto"/>
                <w:highlight w:val="none"/>
              </w:rPr>
              <w:t>；④</w:t>
            </w:r>
            <w:r>
              <w:rPr>
                <w:rFonts w:hint="eastAsia"/>
                <w:color w:val="auto"/>
                <w:highlight w:val="none"/>
                <w:lang w:val="en-US" w:eastAsia="zh-CN"/>
              </w:rPr>
              <w:t>骨料烘干</w:t>
            </w:r>
            <w:r>
              <w:rPr>
                <w:rFonts w:hint="eastAsia"/>
                <w:color w:val="auto"/>
                <w:highlight w:val="none"/>
              </w:rPr>
              <w:t>废气；</w:t>
            </w:r>
            <w:r>
              <w:rPr>
                <w:rFonts w:hint="eastAsia"/>
                <w:color w:val="auto"/>
                <w:highlight w:val="none"/>
                <w:lang w:val="en-US" w:eastAsia="zh-CN"/>
              </w:rPr>
              <w:t>⑤导热油炉废气；⑦沥青烟废气；⑧食堂油烟</w:t>
            </w:r>
            <w:r>
              <w:rPr>
                <w:rFonts w:hint="eastAsia"/>
                <w:color w:val="auto"/>
                <w:highlight w:val="none"/>
              </w:rPr>
              <w:t>。</w:t>
            </w:r>
            <w:r>
              <w:rPr>
                <w:rFonts w:hint="eastAsia"/>
                <w:color w:val="auto"/>
                <w:highlight w:val="none"/>
                <w:lang w:val="en-US" w:eastAsia="zh-CN"/>
              </w:rPr>
              <w:t>其中骨料卸料扬尘和骨料堆场扬尘通过水喷淋降尘；矿粉罐粉尘经配套“布袋除尘器”处理后排放；骨料烘干</w:t>
            </w:r>
            <w:r>
              <w:rPr>
                <w:rFonts w:hint="eastAsia"/>
                <w:color w:val="auto"/>
                <w:highlight w:val="none"/>
              </w:rPr>
              <w:t>废气</w:t>
            </w:r>
            <w:r>
              <w:rPr>
                <w:rFonts w:hint="eastAsia"/>
                <w:color w:val="auto"/>
                <w:highlight w:val="none"/>
                <w:lang w:val="en-US" w:eastAsia="zh-CN"/>
              </w:rPr>
              <w:t>（颗粒物、SO</w:t>
            </w:r>
            <w:r>
              <w:rPr>
                <w:rFonts w:hint="eastAsia"/>
                <w:color w:val="auto"/>
                <w:highlight w:val="none"/>
                <w:vertAlign w:val="subscript"/>
                <w:lang w:val="en-US" w:eastAsia="zh-CN"/>
              </w:rPr>
              <w:t>2</w:t>
            </w:r>
            <w:r>
              <w:rPr>
                <w:rFonts w:hint="eastAsia"/>
                <w:color w:val="auto"/>
                <w:highlight w:val="none"/>
                <w:lang w:val="en-US" w:eastAsia="zh-CN"/>
              </w:rPr>
              <w:t>、NO</w:t>
            </w:r>
            <w:r>
              <w:rPr>
                <w:rFonts w:hint="eastAsia"/>
                <w:color w:val="auto"/>
                <w:highlight w:val="none"/>
                <w:vertAlign w:val="subscript"/>
                <w:lang w:val="en-US" w:eastAsia="zh-CN"/>
              </w:rPr>
              <w:t>X</w:t>
            </w:r>
            <w:r>
              <w:rPr>
                <w:rFonts w:hint="eastAsia"/>
                <w:color w:val="auto"/>
                <w:highlight w:val="none"/>
                <w:lang w:val="en-US" w:eastAsia="zh-CN"/>
              </w:rPr>
              <w:t>）经负压收集后，通过“布袋除尘器”处理后分别由1根20m高排气筒（DA001、DA004）排放；导热油炉废气（颗粒物、SO</w:t>
            </w:r>
            <w:r>
              <w:rPr>
                <w:rFonts w:hint="eastAsia"/>
                <w:color w:val="auto"/>
                <w:highlight w:val="none"/>
                <w:vertAlign w:val="subscript"/>
                <w:lang w:val="en-US" w:eastAsia="zh-CN"/>
              </w:rPr>
              <w:t>2</w:t>
            </w:r>
            <w:r>
              <w:rPr>
                <w:rFonts w:hint="eastAsia"/>
                <w:color w:val="auto"/>
                <w:highlight w:val="none"/>
                <w:lang w:val="en-US" w:eastAsia="zh-CN"/>
              </w:rPr>
              <w:t>、NO</w:t>
            </w:r>
            <w:r>
              <w:rPr>
                <w:rFonts w:hint="eastAsia"/>
                <w:color w:val="auto"/>
                <w:highlight w:val="none"/>
                <w:vertAlign w:val="subscript"/>
                <w:lang w:val="en-US" w:eastAsia="zh-CN"/>
              </w:rPr>
              <w:t>X</w:t>
            </w:r>
            <w:r>
              <w:rPr>
                <w:rFonts w:hint="eastAsia"/>
                <w:color w:val="auto"/>
                <w:highlight w:val="none"/>
                <w:lang w:val="en-US" w:eastAsia="zh-CN"/>
              </w:rPr>
              <w:t>）经“低氮燃烧”处理后分别通过1根8m高排气筒（DA002、DA005）排放；沥青烟废气（沥青烟、苯并</w:t>
            </w:r>
            <w:r>
              <w:rPr>
                <w:rFonts w:hint="default"/>
                <w:color w:val="auto"/>
                <w:highlight w:val="none"/>
                <w:lang w:val="en-US" w:eastAsia="zh-CN"/>
              </w:rPr>
              <w:t>[a]</w:t>
            </w:r>
            <w:r>
              <w:rPr>
                <w:rFonts w:hint="eastAsia"/>
                <w:color w:val="auto"/>
                <w:highlight w:val="none"/>
                <w:lang w:val="en-US" w:eastAsia="zh-CN"/>
              </w:rPr>
              <w:t>芘、非甲烷总烃）经负压收集后</w:t>
            </w:r>
            <w:r>
              <w:rPr>
                <w:rFonts w:hint="eastAsia" w:eastAsia="宋体"/>
                <w:color w:val="auto"/>
                <w:highlight w:val="none"/>
                <w:lang w:val="en-US" w:eastAsia="zh-CN"/>
              </w:rPr>
              <w:t>经过“喷淋塔+除雾器+活性炭吸附装置”</w:t>
            </w:r>
            <w:r>
              <w:rPr>
                <w:rFonts w:hint="eastAsia"/>
                <w:color w:val="auto"/>
                <w:highlight w:val="none"/>
                <w:lang w:val="en-US" w:eastAsia="zh-CN"/>
              </w:rPr>
              <w:t>处理后分别通过1根15m高排气筒（DA003、DA006）排放；食堂油烟收集后经过</w:t>
            </w:r>
            <w:r>
              <w:rPr>
                <w:rFonts w:ascii="Times New Roman" w:hAnsi="Times New Roman" w:eastAsia="宋体"/>
                <w:color w:val="auto"/>
                <w:sz w:val="24"/>
                <w:szCs w:val="24"/>
                <w:highlight w:val="none"/>
              </w:rPr>
              <w:t>油烟净化器处理后</w:t>
            </w:r>
            <w:r>
              <w:rPr>
                <w:rFonts w:hint="eastAsia" w:ascii="Times New Roman" w:hAnsi="Times New Roman" w:eastAsia="宋体" w:cs="Times New Roman"/>
                <w:color w:val="auto"/>
                <w:sz w:val="24"/>
                <w:szCs w:val="24"/>
                <w:highlight w:val="none"/>
                <w:lang w:val="en-US" w:eastAsia="zh-CN"/>
              </w:rPr>
              <w:t>通过专用油烟管道</w:t>
            </w:r>
            <w:r>
              <w:rPr>
                <w:rFonts w:hint="eastAsia"/>
                <w:color w:val="auto"/>
                <w:highlight w:val="none"/>
              </w:rPr>
              <w:t>（DA00</w:t>
            </w:r>
            <w:r>
              <w:rPr>
                <w:rFonts w:hint="eastAsia"/>
                <w:color w:val="auto"/>
                <w:highlight w:val="none"/>
                <w:lang w:val="en-US" w:eastAsia="zh-CN"/>
              </w:rPr>
              <w:t>7</w:t>
            </w:r>
            <w:r>
              <w:rPr>
                <w:rFonts w:hint="eastAsia"/>
                <w:color w:val="auto"/>
                <w:highlight w:val="none"/>
              </w:rPr>
              <w:t>）</w:t>
            </w:r>
            <w:r>
              <w:rPr>
                <w:rFonts w:hint="eastAsia" w:ascii="Times New Roman" w:hAnsi="Times New Roman" w:eastAsia="宋体" w:cs="Times New Roman"/>
                <w:color w:val="auto"/>
                <w:sz w:val="24"/>
                <w:szCs w:val="24"/>
                <w:highlight w:val="none"/>
                <w:lang w:val="en-US" w:eastAsia="zh-CN"/>
              </w:rPr>
              <w:t>引至屋面排放</w:t>
            </w:r>
            <w:r>
              <w:rPr>
                <w:color w:val="auto"/>
                <w:highlight w:val="none"/>
              </w:rPr>
              <w:t>。项目在生产过程产生的污染物经处理后可实现达标排放，对环境影响较小，项目与周围环境是相容且相互适应的。建设单位在确实落实本评价提出的各项污染治理措施的前提下，可实现污染物达标排放，且各污染物排放源强较低，运营期产生的</w:t>
            </w:r>
            <w:r>
              <w:rPr>
                <w:rFonts w:hint="eastAsia"/>
                <w:color w:val="auto"/>
                <w:highlight w:val="none"/>
              </w:rPr>
              <w:t>“</w:t>
            </w:r>
            <w:r>
              <w:rPr>
                <w:color w:val="auto"/>
                <w:highlight w:val="none"/>
              </w:rPr>
              <w:t>三废</w:t>
            </w:r>
            <w:r>
              <w:rPr>
                <w:rFonts w:hint="eastAsia"/>
                <w:color w:val="auto"/>
                <w:highlight w:val="none"/>
              </w:rPr>
              <w:t>”</w:t>
            </w:r>
            <w:r>
              <w:rPr>
                <w:color w:val="auto"/>
                <w:highlight w:val="none"/>
              </w:rPr>
              <w:t>及噪声对周边环境影响不明显，因此，项目建设与周边环境基本相容。</w:t>
            </w:r>
          </w:p>
        </w:tc>
      </w:tr>
    </w:tbl>
    <w:p w14:paraId="0FC29FCD">
      <w:pPr>
        <w:ind w:firstLine="600"/>
        <w:rPr>
          <w:rFonts w:eastAsia="黑体"/>
          <w:color w:val="auto"/>
          <w:sz w:val="30"/>
          <w:highlight w:val="none"/>
        </w:rPr>
        <w:sectPr>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5845351D">
      <w:pPr>
        <w:pStyle w:val="2"/>
        <w:rPr>
          <w:color w:val="auto"/>
          <w:highlight w:val="none"/>
        </w:rPr>
      </w:pPr>
      <w:bookmarkStart w:id="3" w:name="_Toc23764"/>
      <w:r>
        <w:rPr>
          <w:color w:val="auto"/>
          <w:highlight w:val="none"/>
        </w:rPr>
        <w:t>二、建设项目工程分析</w:t>
      </w:r>
      <w:bookmarkEnd w:id="3"/>
    </w:p>
    <w:tbl>
      <w:tblPr>
        <w:tblStyle w:val="27"/>
        <w:tblW w:w="907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87"/>
        <w:gridCol w:w="7792"/>
      </w:tblGrid>
      <w:tr w14:paraId="0F28F7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287" w:type="dxa"/>
            <w:noWrap w:val="0"/>
            <w:vAlign w:val="center"/>
          </w:tcPr>
          <w:p w14:paraId="6262CCC7">
            <w:pPr>
              <w:adjustRightInd w:val="0"/>
              <w:snapToGrid w:val="0"/>
              <w:spacing w:line="240" w:lineRule="auto"/>
              <w:ind w:firstLine="0" w:firstLineChars="0"/>
              <w:jc w:val="center"/>
              <w:rPr>
                <w:color w:val="auto"/>
                <w:highlight w:val="none"/>
              </w:rPr>
            </w:pPr>
            <w:r>
              <w:rPr>
                <w:color w:val="auto"/>
                <w:highlight w:val="none"/>
              </w:rPr>
              <w:t>建设</w:t>
            </w:r>
          </w:p>
          <w:p w14:paraId="5468676A">
            <w:pPr>
              <w:adjustRightInd w:val="0"/>
              <w:snapToGrid w:val="0"/>
              <w:spacing w:line="240" w:lineRule="auto"/>
              <w:ind w:firstLine="0" w:firstLineChars="0"/>
              <w:jc w:val="center"/>
              <w:rPr>
                <w:color w:val="auto"/>
                <w:highlight w:val="none"/>
              </w:rPr>
            </w:pPr>
            <w:r>
              <w:rPr>
                <w:color w:val="auto"/>
                <w:highlight w:val="none"/>
              </w:rPr>
              <w:t>内容</w:t>
            </w:r>
          </w:p>
        </w:tc>
        <w:tc>
          <w:tcPr>
            <w:tcW w:w="7792" w:type="dxa"/>
            <w:noWrap w:val="0"/>
            <w:vAlign w:val="top"/>
          </w:tcPr>
          <w:p w14:paraId="5028AF24">
            <w:pPr>
              <w:pStyle w:val="3"/>
              <w:rPr>
                <w:color w:val="auto"/>
                <w:highlight w:val="none"/>
              </w:rPr>
            </w:pPr>
            <w:r>
              <w:rPr>
                <w:rFonts w:hint="eastAsia"/>
                <w:color w:val="auto"/>
                <w:highlight w:val="none"/>
              </w:rPr>
              <w:t>2.</w:t>
            </w:r>
            <w:r>
              <w:rPr>
                <w:color w:val="auto"/>
                <w:highlight w:val="none"/>
              </w:rPr>
              <w:t>1</w:t>
            </w:r>
            <w:r>
              <w:rPr>
                <w:rFonts w:hint="eastAsia"/>
                <w:color w:val="auto"/>
                <w:highlight w:val="none"/>
              </w:rPr>
              <w:t xml:space="preserve"> 项目概况</w:t>
            </w:r>
          </w:p>
          <w:p w14:paraId="31A912E0">
            <w:pPr>
              <w:pStyle w:val="4"/>
              <w:rPr>
                <w:rFonts w:hint="eastAsia"/>
                <w:color w:val="auto"/>
                <w:highlight w:val="none"/>
              </w:rPr>
            </w:pPr>
            <w:r>
              <w:rPr>
                <w:rFonts w:hint="eastAsia"/>
                <w:color w:val="auto"/>
                <w:highlight w:val="none"/>
              </w:rPr>
              <w:t>2.1.1</w:t>
            </w:r>
            <w:r>
              <w:rPr>
                <w:color w:val="auto"/>
                <w:highlight w:val="none"/>
              </w:rPr>
              <w:t>项目</w:t>
            </w:r>
            <w:r>
              <w:rPr>
                <w:rFonts w:hint="eastAsia"/>
                <w:color w:val="auto"/>
                <w:highlight w:val="none"/>
              </w:rPr>
              <w:t>由来</w:t>
            </w:r>
          </w:p>
          <w:p w14:paraId="469DEB85">
            <w:pPr>
              <w:ind w:firstLine="480"/>
              <w:rPr>
                <w:rFonts w:hint="eastAsia"/>
                <w:color w:val="auto"/>
                <w:highlight w:val="none"/>
              </w:rPr>
            </w:pPr>
            <w:r>
              <w:rPr>
                <w:rFonts w:hint="eastAsia"/>
                <w:color w:val="auto"/>
                <w:highlight w:val="none"/>
              </w:rPr>
              <w:t>福州市科兴混凝土有限公司</w:t>
            </w:r>
            <w:r>
              <w:rPr>
                <w:rFonts w:hint="eastAsia"/>
                <w:color w:val="auto"/>
                <w:highlight w:val="none"/>
                <w:lang w:val="en-US" w:eastAsia="zh-CN"/>
              </w:rPr>
              <w:t>位于</w:t>
            </w:r>
            <w:r>
              <w:rPr>
                <w:rFonts w:hint="eastAsia"/>
                <w:color w:val="auto"/>
                <w:highlight w:val="none"/>
              </w:rPr>
              <w:t>福建省福州市罗源县</w:t>
            </w:r>
            <w:r>
              <w:rPr>
                <w:rFonts w:hint="eastAsia" w:ascii="Times New Roman" w:hAnsi="Times New Roman" w:eastAsia="宋体" w:cs="Times New Roman"/>
                <w:color w:val="auto"/>
                <w:highlight w:val="none"/>
                <w:lang w:val="en-US" w:eastAsia="zh-CN"/>
              </w:rPr>
              <w:t>金港工业区</w:t>
            </w:r>
            <w:r>
              <w:rPr>
                <w:rFonts w:hint="eastAsia"/>
                <w:color w:val="auto"/>
                <w:highlight w:val="none"/>
                <w:lang w:val="en-US" w:eastAsia="zh-CN"/>
              </w:rPr>
              <w:t>，建设单位于2025年4月30日</w:t>
            </w:r>
            <w:r>
              <w:rPr>
                <w:rFonts w:hint="eastAsia"/>
                <w:color w:val="auto"/>
                <w:highlight w:val="none"/>
              </w:rPr>
              <w:t>在罗源县发展和改革局进行了</w:t>
            </w:r>
            <w:r>
              <w:rPr>
                <w:rFonts w:hint="eastAsia"/>
                <w:color w:val="auto"/>
                <w:highlight w:val="none"/>
                <w:lang w:eastAsia="zh-CN"/>
              </w:rPr>
              <w:t>“</w:t>
            </w:r>
            <w:r>
              <w:rPr>
                <w:rFonts w:hint="eastAsia" w:eastAsia="宋体"/>
                <w:color w:val="auto"/>
                <w:highlight w:val="none"/>
                <w:lang w:val="en-US" w:eastAsia="zh-CN"/>
              </w:rPr>
              <w:t>福州市科兴混凝土有限公司沥青搅拌站</w:t>
            </w:r>
            <w:r>
              <w:rPr>
                <w:rFonts w:hint="eastAsia"/>
                <w:color w:val="auto"/>
                <w:highlight w:val="none"/>
                <w:lang w:eastAsia="zh-CN"/>
              </w:rPr>
              <w:t>”</w:t>
            </w:r>
            <w:r>
              <w:rPr>
                <w:rFonts w:hint="eastAsia"/>
                <w:color w:val="auto"/>
                <w:highlight w:val="none"/>
              </w:rPr>
              <w:t>项目</w:t>
            </w:r>
            <w:r>
              <w:rPr>
                <w:rFonts w:hint="eastAsia"/>
                <w:color w:val="auto"/>
                <w:highlight w:val="none"/>
                <w:lang w:val="en-US" w:eastAsia="zh-CN"/>
              </w:rPr>
              <w:t>新建</w:t>
            </w:r>
            <w:r>
              <w:rPr>
                <w:rFonts w:hint="eastAsia"/>
                <w:color w:val="auto"/>
                <w:highlight w:val="none"/>
              </w:rPr>
              <w:t>备案</w:t>
            </w:r>
            <w:r>
              <w:rPr>
                <w:rFonts w:hint="eastAsia"/>
                <w:color w:val="auto"/>
                <w:highlight w:val="none"/>
                <w:lang w:eastAsia="zh-CN"/>
              </w:rPr>
              <w:t>。</w:t>
            </w:r>
            <w:r>
              <w:rPr>
                <w:rFonts w:hint="eastAsia"/>
                <w:color w:val="auto"/>
                <w:highlight w:val="none"/>
                <w:lang w:val="en-US" w:eastAsia="zh-CN"/>
              </w:rPr>
              <w:t>同时</w:t>
            </w:r>
            <w:r>
              <w:rPr>
                <w:rFonts w:hint="eastAsia"/>
                <w:color w:val="auto"/>
                <w:highlight w:val="none"/>
              </w:rPr>
              <w:t>建设单位现已与</w:t>
            </w:r>
            <w:r>
              <w:rPr>
                <w:rFonts w:hint="eastAsia"/>
                <w:color w:val="auto"/>
                <w:highlight w:val="none"/>
                <w:lang w:val="en-US" w:eastAsia="zh-CN"/>
              </w:rPr>
              <w:t>罗源县自然资源和规划局</w:t>
            </w:r>
            <w:r>
              <w:rPr>
                <w:rFonts w:hint="eastAsia"/>
                <w:color w:val="auto"/>
                <w:highlight w:val="none"/>
              </w:rPr>
              <w:t>签订的</w:t>
            </w:r>
            <w:r>
              <w:rPr>
                <w:rFonts w:hint="eastAsia"/>
                <w:color w:val="auto"/>
                <w:highlight w:val="none"/>
                <w:lang w:val="en-US" w:eastAsia="zh-CN"/>
              </w:rPr>
              <w:t>国有建设用地使用权出让合同</w:t>
            </w:r>
            <w:r>
              <w:rPr>
                <w:rFonts w:hint="eastAsia" w:ascii="Times New Roman" w:hAnsi="Times New Roman" w:eastAsia="宋体" w:cs="Times New Roman"/>
                <w:color w:val="auto"/>
                <w:highlight w:val="none"/>
              </w:rPr>
              <w:t>（详见附件5）</w:t>
            </w:r>
            <w:r>
              <w:rPr>
                <w:rFonts w:hint="eastAsia"/>
                <w:color w:val="auto"/>
                <w:highlight w:val="none"/>
              </w:rPr>
              <w:t>，</w:t>
            </w:r>
            <w:r>
              <w:rPr>
                <w:rFonts w:hint="eastAsia"/>
                <w:color w:val="auto"/>
                <w:highlight w:val="none"/>
                <w:lang w:val="en-US" w:eastAsia="zh-CN"/>
              </w:rPr>
              <w:t>本项目用地</w:t>
            </w:r>
            <w:r>
              <w:rPr>
                <w:rFonts w:hint="eastAsia" w:ascii="Times New Roman" w:hAnsi="Times New Roman" w:eastAsia="宋体" w:cs="Times New Roman"/>
                <w:color w:val="auto"/>
                <w:highlight w:val="none"/>
              </w:rPr>
              <w:t>面积</w:t>
            </w:r>
            <w:r>
              <w:rPr>
                <w:rFonts w:hint="eastAsia" w:ascii="Times New Roman" w:hAnsi="Times New Roman" w:eastAsia="宋体" w:cs="Times New Roman"/>
                <w:color w:val="auto"/>
                <w:highlight w:val="none"/>
                <w:lang w:val="en-US" w:eastAsia="zh-CN"/>
              </w:rPr>
              <w:t>为11.01</w:t>
            </w:r>
            <w:r>
              <w:rPr>
                <w:rFonts w:hint="eastAsia" w:ascii="Times New Roman" w:hAnsi="Times New Roman" w:eastAsia="宋体" w:cs="Times New Roman"/>
                <w:color w:val="auto"/>
                <w:highlight w:val="none"/>
              </w:rPr>
              <w:t>亩。</w:t>
            </w:r>
          </w:p>
          <w:p w14:paraId="690308CA">
            <w:pPr>
              <w:widowControl/>
              <w:ind w:firstLine="480"/>
              <w:jc w:val="left"/>
              <w:rPr>
                <w:rFonts w:hint="eastAsia"/>
                <w:color w:val="auto"/>
                <w:highlight w:val="none"/>
              </w:rPr>
            </w:pPr>
            <w:r>
              <w:rPr>
                <w:color w:val="auto"/>
                <w:highlight w:val="none"/>
              </w:rPr>
              <w:t>根据《中华人民共和国环境影响评价法》、《建设项目环境保护管理条例》</w:t>
            </w:r>
            <w:r>
              <w:rPr>
                <w:rFonts w:hint="eastAsia"/>
                <w:color w:val="auto"/>
                <w:highlight w:val="none"/>
              </w:rPr>
              <w:t>（</w:t>
            </w:r>
            <w:r>
              <w:rPr>
                <w:color w:val="auto"/>
                <w:highlight w:val="none"/>
              </w:rPr>
              <w:t>国务院第253号令</w:t>
            </w:r>
            <w:r>
              <w:rPr>
                <w:rFonts w:hint="eastAsia"/>
                <w:color w:val="auto"/>
                <w:highlight w:val="none"/>
              </w:rPr>
              <w:t>）</w:t>
            </w:r>
            <w:r>
              <w:rPr>
                <w:color w:val="auto"/>
                <w:highlight w:val="none"/>
              </w:rPr>
              <w:t>和《建设项目环境影响评价分类管理名录》的有</w:t>
            </w:r>
            <w:r>
              <w:rPr>
                <w:rFonts w:hint="eastAsia" w:hAnsi="宋体"/>
                <w:color w:val="auto"/>
                <w:kern w:val="0"/>
                <w:highlight w:val="none"/>
              </w:rPr>
              <w:t>关规定，</w:t>
            </w:r>
            <w:r>
              <w:rPr>
                <w:rFonts w:hint="eastAsia" w:hAnsi="宋体"/>
                <w:color w:val="auto"/>
                <w:kern w:val="0"/>
                <w:highlight w:val="none"/>
                <w:lang w:val="en-US" w:eastAsia="zh-CN"/>
              </w:rPr>
              <w:t>本</w:t>
            </w:r>
            <w:r>
              <w:rPr>
                <w:rFonts w:hint="eastAsia" w:hAnsi="宋体"/>
                <w:color w:val="auto"/>
                <w:kern w:val="0"/>
                <w:highlight w:val="none"/>
              </w:rPr>
              <w:t>项目属于“二十七、非金属矿物制品业30；石墨及其他非金属矿物制品制造309；</w:t>
            </w:r>
            <w:r>
              <w:rPr>
                <w:rFonts w:hint="default" w:ascii="Times New Roman" w:hAnsi="Times New Roman" w:eastAsia="宋体" w:cs="Times New Roman"/>
                <w:color w:val="auto"/>
                <w:highlight w:val="none"/>
                <w:lang w:val="en-US" w:eastAsia="zh-CN"/>
              </w:rPr>
              <w:t xml:space="preserve">3099 </w:t>
            </w:r>
            <w:r>
              <w:rPr>
                <w:rFonts w:hint="eastAsia" w:ascii="Times New Roman" w:hAnsi="Times New Roman" w:eastAsia="宋体" w:cs="Times New Roman"/>
                <w:color w:val="auto"/>
                <w:highlight w:val="none"/>
                <w:lang w:val="en-US" w:eastAsia="zh-CN"/>
              </w:rPr>
              <w:t>其他非金属矿物制品制造</w:t>
            </w:r>
            <w:r>
              <w:rPr>
                <w:rFonts w:hint="eastAsia" w:hAnsi="宋体"/>
                <w:color w:val="auto"/>
                <w:kern w:val="0"/>
                <w:highlight w:val="none"/>
              </w:rPr>
              <w:t>：其他”</w:t>
            </w:r>
            <w:r>
              <w:rPr>
                <w:rFonts w:hAnsi="宋体"/>
                <w:color w:val="auto"/>
                <w:kern w:val="0"/>
                <w:highlight w:val="none"/>
              </w:rPr>
              <w:t>，</w:t>
            </w:r>
            <w:r>
              <w:rPr>
                <w:rFonts w:hint="eastAsia" w:hAnsi="宋体"/>
                <w:color w:val="auto"/>
                <w:kern w:val="0"/>
                <w:highlight w:val="none"/>
              </w:rPr>
              <w:t>本项目</w:t>
            </w:r>
            <w:r>
              <w:rPr>
                <w:rFonts w:hint="eastAsia" w:hAnsi="宋体"/>
                <w:color w:val="auto"/>
                <w:kern w:val="0"/>
                <w:highlight w:val="none"/>
                <w:lang w:val="en-US" w:eastAsia="zh-CN"/>
              </w:rPr>
              <w:t>为沥青混凝土和乳化沥青的生产项目</w:t>
            </w:r>
            <w:r>
              <w:rPr>
                <w:rFonts w:hint="eastAsia" w:hAnsi="宋体"/>
                <w:color w:val="auto"/>
                <w:kern w:val="0"/>
                <w:highlight w:val="none"/>
              </w:rPr>
              <w:t>，</w:t>
            </w:r>
            <w:r>
              <w:rPr>
                <w:rFonts w:hAnsi="宋体"/>
                <w:color w:val="auto"/>
                <w:kern w:val="0"/>
                <w:highlight w:val="none"/>
              </w:rPr>
              <w:t>应编制环境影响报告表</w:t>
            </w:r>
            <w:r>
              <w:rPr>
                <w:color w:val="auto"/>
                <w:highlight w:val="none"/>
              </w:rPr>
              <w:t>。因此，建设单位委托</w:t>
            </w:r>
            <w:r>
              <w:rPr>
                <w:rFonts w:hint="eastAsia"/>
                <w:color w:val="auto"/>
                <w:highlight w:val="none"/>
              </w:rPr>
              <w:t>福建新时代环保科技有限公司</w:t>
            </w:r>
            <w:r>
              <w:rPr>
                <w:color w:val="auto"/>
                <w:highlight w:val="none"/>
              </w:rPr>
              <w:t>编制该项目的环境影响报告表</w:t>
            </w:r>
            <w:r>
              <w:rPr>
                <w:rFonts w:hint="eastAsia"/>
                <w:color w:val="auto"/>
                <w:highlight w:val="none"/>
              </w:rPr>
              <w:t>（委托书见附件1）</w:t>
            </w:r>
            <w:r>
              <w:rPr>
                <w:color w:val="auto"/>
                <w:highlight w:val="none"/>
              </w:rPr>
              <w:t>。</w:t>
            </w:r>
            <w:r>
              <w:rPr>
                <w:rFonts w:hint="eastAsia"/>
                <w:bCs/>
                <w:color w:val="auto"/>
                <w:highlight w:val="none"/>
              </w:rPr>
              <w:t>本单位接受委托后即派技术人员现场踏勘和收集有关资料，按照国家相关环保法律、法规、污染防治技术政策的有关规范及《建设项目环境影响报告表编制技术指南（污染影响类）（试行）》编制报告表，供建设单位报生态环境主管部门审批。</w:t>
            </w:r>
          </w:p>
          <w:p w14:paraId="34904BB2">
            <w:pPr>
              <w:ind w:firstLine="0" w:firstLineChars="0"/>
              <w:jc w:val="center"/>
              <w:rPr>
                <w:b/>
                <w:bCs/>
                <w:color w:val="auto"/>
                <w:highlight w:val="none"/>
              </w:rPr>
            </w:pPr>
            <w:r>
              <w:rPr>
                <w:b/>
                <w:bCs/>
                <w:color w:val="auto"/>
                <w:highlight w:val="none"/>
              </w:rPr>
              <w:t>表</w:t>
            </w:r>
            <w:r>
              <w:rPr>
                <w:rFonts w:hint="eastAsia"/>
                <w:b/>
                <w:bCs/>
                <w:color w:val="auto"/>
                <w:highlight w:val="none"/>
              </w:rPr>
              <w:t>2.1</w:t>
            </w:r>
            <w:r>
              <w:rPr>
                <w:b/>
                <w:bCs/>
                <w:color w:val="auto"/>
                <w:highlight w:val="none"/>
              </w:rPr>
              <w:t>-1  建设项目环境影响评价分类管理名录</w:t>
            </w:r>
          </w:p>
          <w:tbl>
            <w:tblPr>
              <w:tblStyle w:val="27"/>
              <w:tblW w:w="7658"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87"/>
              <w:gridCol w:w="2153"/>
              <w:gridCol w:w="1736"/>
              <w:gridCol w:w="2059"/>
              <w:gridCol w:w="1223"/>
            </w:tblGrid>
            <w:tr w14:paraId="2F7BF53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1" w:hRule="atLeast"/>
                <w:jc w:val="center"/>
              </w:trPr>
              <w:tc>
                <w:tcPr>
                  <w:tcW w:w="2640" w:type="dxa"/>
                  <w:gridSpan w:val="2"/>
                  <w:tcBorders>
                    <w:tl2br w:val="single" w:color="auto" w:sz="4" w:space="0"/>
                  </w:tcBorders>
                  <w:shd w:val="clear" w:color="auto" w:fill="auto"/>
                  <w:noWrap w:val="0"/>
                  <w:vAlign w:val="center"/>
                </w:tcPr>
                <w:p w14:paraId="18DA4FBF">
                  <w:pPr>
                    <w:pStyle w:val="98"/>
                    <w:adjustRightInd/>
                    <w:snapToGrid/>
                    <w:rPr>
                      <w:b/>
                      <w:bCs/>
                      <w:color w:val="auto"/>
                      <w:szCs w:val="21"/>
                      <w:highlight w:val="none"/>
                      <w:lang w:val="zh-CN"/>
                    </w:rPr>
                  </w:pPr>
                  <w:r>
                    <w:rPr>
                      <w:b/>
                      <w:bCs/>
                      <w:color w:val="auto"/>
                      <w:szCs w:val="21"/>
                      <w:highlight w:val="none"/>
                      <w:lang w:val="zh-CN"/>
                    </w:rPr>
                    <w:t xml:space="preserve">  </w:t>
                  </w:r>
                  <w:r>
                    <w:rPr>
                      <w:rFonts w:hint="eastAsia"/>
                      <w:b/>
                      <w:bCs/>
                      <w:color w:val="auto"/>
                      <w:szCs w:val="21"/>
                      <w:highlight w:val="none"/>
                    </w:rPr>
                    <w:t xml:space="preserve">     </w:t>
                  </w:r>
                  <w:r>
                    <w:rPr>
                      <w:b/>
                      <w:bCs/>
                      <w:color w:val="auto"/>
                      <w:szCs w:val="21"/>
                      <w:highlight w:val="none"/>
                      <w:lang w:val="zh-CN"/>
                    </w:rPr>
                    <w:t>环评类别</w:t>
                  </w:r>
                </w:p>
                <w:p w14:paraId="066A19EA">
                  <w:pPr>
                    <w:pStyle w:val="98"/>
                    <w:adjustRightInd/>
                    <w:snapToGrid/>
                    <w:jc w:val="both"/>
                    <w:rPr>
                      <w:b/>
                      <w:bCs/>
                      <w:color w:val="auto"/>
                      <w:szCs w:val="21"/>
                      <w:highlight w:val="none"/>
                      <w:lang w:val="zh-CN"/>
                    </w:rPr>
                  </w:pPr>
                  <w:r>
                    <w:rPr>
                      <w:b/>
                      <w:bCs/>
                      <w:color w:val="auto"/>
                      <w:szCs w:val="21"/>
                      <w:highlight w:val="none"/>
                      <w:lang w:val="zh-CN"/>
                    </w:rPr>
                    <w:t xml:space="preserve">项目类别 </w:t>
                  </w:r>
                </w:p>
              </w:tc>
              <w:tc>
                <w:tcPr>
                  <w:tcW w:w="1736" w:type="dxa"/>
                  <w:shd w:val="clear" w:color="auto" w:fill="auto"/>
                  <w:noWrap w:val="0"/>
                  <w:vAlign w:val="center"/>
                </w:tcPr>
                <w:p w14:paraId="5C1403F1">
                  <w:pPr>
                    <w:pStyle w:val="98"/>
                    <w:adjustRightInd/>
                    <w:snapToGrid/>
                    <w:rPr>
                      <w:b/>
                      <w:bCs/>
                      <w:color w:val="auto"/>
                      <w:szCs w:val="21"/>
                      <w:highlight w:val="none"/>
                      <w:lang w:val="zh-CN"/>
                    </w:rPr>
                  </w:pPr>
                  <w:r>
                    <w:rPr>
                      <w:b/>
                      <w:bCs/>
                      <w:color w:val="auto"/>
                      <w:szCs w:val="21"/>
                      <w:highlight w:val="none"/>
                      <w:lang w:val="zh-CN"/>
                    </w:rPr>
                    <w:t>报告书</w:t>
                  </w:r>
                </w:p>
              </w:tc>
              <w:tc>
                <w:tcPr>
                  <w:tcW w:w="2059" w:type="dxa"/>
                  <w:shd w:val="clear" w:color="auto" w:fill="D7D7D7"/>
                  <w:noWrap w:val="0"/>
                  <w:vAlign w:val="center"/>
                </w:tcPr>
                <w:p w14:paraId="05074666">
                  <w:pPr>
                    <w:pStyle w:val="98"/>
                    <w:adjustRightInd/>
                    <w:snapToGrid/>
                    <w:rPr>
                      <w:b/>
                      <w:bCs/>
                      <w:color w:val="auto"/>
                      <w:szCs w:val="21"/>
                      <w:highlight w:val="none"/>
                      <w:lang w:val="zh-CN"/>
                    </w:rPr>
                  </w:pPr>
                  <w:r>
                    <w:rPr>
                      <w:b/>
                      <w:bCs/>
                      <w:color w:val="auto"/>
                      <w:szCs w:val="21"/>
                      <w:highlight w:val="none"/>
                      <w:lang w:val="zh-CN"/>
                    </w:rPr>
                    <w:t>报告表</w:t>
                  </w:r>
                </w:p>
              </w:tc>
              <w:tc>
                <w:tcPr>
                  <w:tcW w:w="1223" w:type="dxa"/>
                  <w:noWrap w:val="0"/>
                  <w:vAlign w:val="center"/>
                </w:tcPr>
                <w:p w14:paraId="62464CA4">
                  <w:pPr>
                    <w:pStyle w:val="98"/>
                    <w:adjustRightInd/>
                    <w:snapToGrid/>
                    <w:rPr>
                      <w:b/>
                      <w:bCs/>
                      <w:color w:val="auto"/>
                      <w:szCs w:val="21"/>
                      <w:highlight w:val="none"/>
                      <w:lang w:val="zh-CN"/>
                    </w:rPr>
                  </w:pPr>
                  <w:r>
                    <w:rPr>
                      <w:b/>
                      <w:bCs/>
                      <w:color w:val="auto"/>
                      <w:szCs w:val="21"/>
                      <w:highlight w:val="none"/>
                      <w:lang w:val="zh-CN"/>
                    </w:rPr>
                    <w:t>登记表</w:t>
                  </w:r>
                </w:p>
              </w:tc>
            </w:tr>
            <w:tr w14:paraId="6F4E9B7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1" w:hRule="atLeast"/>
                <w:jc w:val="center"/>
              </w:trPr>
              <w:tc>
                <w:tcPr>
                  <w:tcW w:w="7658" w:type="dxa"/>
                  <w:gridSpan w:val="5"/>
                  <w:shd w:val="clear" w:color="auto" w:fill="D7D7D7"/>
                  <w:noWrap w:val="0"/>
                  <w:vAlign w:val="center"/>
                </w:tcPr>
                <w:p w14:paraId="7E688E89">
                  <w:pPr>
                    <w:pStyle w:val="98"/>
                    <w:adjustRightInd/>
                    <w:snapToGrid/>
                    <w:jc w:val="both"/>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二十七、非金属矿物制品业 30</w:t>
                  </w:r>
                </w:p>
              </w:tc>
            </w:tr>
            <w:tr w14:paraId="51FC4AD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405" w:hRule="atLeast"/>
                <w:jc w:val="center"/>
              </w:trPr>
              <w:tc>
                <w:tcPr>
                  <w:tcW w:w="487" w:type="dxa"/>
                  <w:shd w:val="clear" w:color="auto" w:fill="auto"/>
                  <w:noWrap w:val="0"/>
                  <w:vAlign w:val="center"/>
                </w:tcPr>
                <w:p w14:paraId="06A13B71">
                  <w:pPr>
                    <w:pStyle w:val="98"/>
                    <w:adjustRightInd/>
                    <w:snapToGrid/>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60</w:t>
                  </w:r>
                </w:p>
              </w:tc>
              <w:tc>
                <w:tcPr>
                  <w:tcW w:w="2153" w:type="dxa"/>
                  <w:shd w:val="clear" w:color="auto" w:fill="auto"/>
                  <w:noWrap w:val="0"/>
                  <w:vAlign w:val="center"/>
                </w:tcPr>
                <w:p w14:paraId="670BFCCA">
                  <w:pPr>
                    <w:pStyle w:val="98"/>
                    <w:adjustRightInd/>
                    <w:snapToGrid/>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耐火材料制品制造 308；石墨及其他非金属矿物制品制造 309</w:t>
                  </w:r>
                </w:p>
              </w:tc>
              <w:tc>
                <w:tcPr>
                  <w:tcW w:w="1736" w:type="dxa"/>
                  <w:shd w:val="clear" w:color="auto" w:fill="auto"/>
                  <w:noWrap w:val="0"/>
                  <w:vAlign w:val="center"/>
                </w:tcPr>
                <w:p w14:paraId="4BE6E1A2">
                  <w:pPr>
                    <w:pStyle w:val="98"/>
                    <w:adjustRightInd/>
                    <w:snapToGrid/>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石棉制品；含焙烧的石墨、碳素制品</w:t>
                  </w:r>
                </w:p>
              </w:tc>
              <w:tc>
                <w:tcPr>
                  <w:tcW w:w="2059" w:type="dxa"/>
                  <w:shd w:val="clear" w:color="auto" w:fill="D7D7D7"/>
                  <w:noWrap w:val="0"/>
                  <w:vAlign w:val="center"/>
                </w:tcPr>
                <w:p w14:paraId="6EDAFDCC">
                  <w:pPr>
                    <w:pStyle w:val="98"/>
                    <w:adjustRightInd/>
                    <w:snapToGrid/>
                    <w:rPr>
                      <w:rFonts w:hint="eastAsia" w:ascii="Times New Roman" w:hAnsi="Times New Roman" w:eastAsia="宋体" w:cs="Times New Roman"/>
                      <w:color w:val="auto"/>
                      <w:szCs w:val="21"/>
                      <w:highlight w:val="none"/>
                      <w:lang w:val="zh-CN" w:eastAsia="zh-CN"/>
                    </w:rPr>
                  </w:pPr>
                  <w:r>
                    <w:rPr>
                      <w:rFonts w:hint="eastAsia" w:ascii="Times New Roman" w:hAnsi="Times New Roman" w:eastAsia="宋体" w:cs="Times New Roman"/>
                      <w:color w:val="auto"/>
                      <w:szCs w:val="21"/>
                      <w:highlight w:val="none"/>
                      <w:lang w:val="en-US" w:eastAsia="zh-CN"/>
                    </w:rPr>
                    <w:t>其他</w:t>
                  </w:r>
                </w:p>
              </w:tc>
              <w:tc>
                <w:tcPr>
                  <w:tcW w:w="1223" w:type="dxa"/>
                  <w:noWrap w:val="0"/>
                  <w:vAlign w:val="center"/>
                </w:tcPr>
                <w:p w14:paraId="04A962A0">
                  <w:pPr>
                    <w:pStyle w:val="98"/>
                    <w:adjustRightInd/>
                    <w:snapToGrid/>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w:t>
                  </w:r>
                </w:p>
              </w:tc>
            </w:tr>
          </w:tbl>
          <w:p w14:paraId="442788CC">
            <w:pPr>
              <w:pStyle w:val="4"/>
              <w:rPr>
                <w:rFonts w:hint="eastAsia"/>
                <w:color w:val="auto"/>
                <w:highlight w:val="none"/>
              </w:rPr>
            </w:pPr>
            <w:r>
              <w:rPr>
                <w:rFonts w:hint="eastAsia"/>
                <w:color w:val="auto"/>
                <w:highlight w:val="none"/>
              </w:rPr>
              <w:t>2.1.2</w:t>
            </w:r>
            <w:r>
              <w:rPr>
                <w:color w:val="auto"/>
                <w:highlight w:val="none"/>
              </w:rPr>
              <w:t>项目</w:t>
            </w:r>
            <w:r>
              <w:rPr>
                <w:rFonts w:hint="eastAsia"/>
                <w:color w:val="auto"/>
                <w:highlight w:val="none"/>
              </w:rPr>
              <w:t>基本情况</w:t>
            </w:r>
          </w:p>
          <w:p w14:paraId="5F9C1579">
            <w:pPr>
              <w:ind w:firstLine="480"/>
              <w:rPr>
                <w:rFonts w:hint="eastAsia"/>
                <w:color w:val="auto"/>
                <w:highlight w:val="none"/>
              </w:rPr>
            </w:pPr>
            <w:r>
              <w:rPr>
                <w:color w:val="auto"/>
                <w:highlight w:val="none"/>
              </w:rPr>
              <w:t>项目名称：</w:t>
            </w:r>
            <w:r>
              <w:rPr>
                <w:rFonts w:hint="eastAsia"/>
                <w:color w:val="auto"/>
                <w:highlight w:val="none"/>
              </w:rPr>
              <w:t>福州市科兴混凝土有限公司沥青搅拌站</w:t>
            </w:r>
          </w:p>
          <w:p w14:paraId="78CD63B5">
            <w:pPr>
              <w:ind w:firstLine="480"/>
              <w:rPr>
                <w:rFonts w:hint="eastAsia"/>
                <w:color w:val="auto"/>
                <w:highlight w:val="none"/>
              </w:rPr>
            </w:pPr>
            <w:r>
              <w:rPr>
                <w:color w:val="auto"/>
                <w:highlight w:val="none"/>
              </w:rPr>
              <w:t>建设单位：</w:t>
            </w:r>
            <w:r>
              <w:rPr>
                <w:rFonts w:hint="eastAsia"/>
                <w:color w:val="auto"/>
                <w:highlight w:val="none"/>
              </w:rPr>
              <w:t>福州市科兴混凝土有限公司</w:t>
            </w:r>
          </w:p>
          <w:p w14:paraId="2DF1AFF1">
            <w:pPr>
              <w:ind w:firstLine="480"/>
              <w:rPr>
                <w:rFonts w:hint="eastAsia"/>
                <w:color w:val="auto"/>
                <w:highlight w:val="none"/>
              </w:rPr>
            </w:pPr>
            <w:r>
              <w:rPr>
                <w:color w:val="auto"/>
                <w:highlight w:val="none"/>
              </w:rPr>
              <w:t>建设地点：</w:t>
            </w:r>
            <w:r>
              <w:rPr>
                <w:rFonts w:hint="eastAsia"/>
                <w:color w:val="auto"/>
                <w:highlight w:val="none"/>
              </w:rPr>
              <w:t>福建省福州市罗源县</w:t>
            </w:r>
            <w:r>
              <w:rPr>
                <w:rFonts w:hint="eastAsia" w:ascii="Times New Roman" w:hAnsi="Times New Roman" w:eastAsia="宋体" w:cs="Times New Roman"/>
                <w:color w:val="auto"/>
                <w:highlight w:val="none"/>
                <w:lang w:val="en-US" w:eastAsia="zh-CN"/>
              </w:rPr>
              <w:t>金港工业区</w:t>
            </w:r>
          </w:p>
          <w:p w14:paraId="5D389E10">
            <w:pPr>
              <w:ind w:firstLine="480"/>
              <w:rPr>
                <w:rFonts w:hint="eastAsia" w:eastAsia="宋体"/>
                <w:color w:val="auto"/>
                <w:highlight w:val="none"/>
                <w:lang w:eastAsia="zh-CN"/>
              </w:rPr>
            </w:pPr>
            <w:r>
              <w:rPr>
                <w:color w:val="auto"/>
                <w:highlight w:val="none"/>
              </w:rPr>
              <w:t>建设性质：</w:t>
            </w:r>
            <w:r>
              <w:rPr>
                <w:rFonts w:hint="eastAsia"/>
                <w:color w:val="auto"/>
                <w:highlight w:val="none"/>
                <w:lang w:val="en-US" w:eastAsia="zh-CN"/>
              </w:rPr>
              <w:t>新建</w:t>
            </w:r>
          </w:p>
          <w:p w14:paraId="501F3C21">
            <w:pPr>
              <w:ind w:firstLine="480"/>
              <w:rPr>
                <w:rFonts w:hint="eastAsia"/>
                <w:color w:val="auto"/>
                <w:highlight w:val="none"/>
              </w:rPr>
            </w:pPr>
            <w:r>
              <w:rPr>
                <w:color w:val="auto"/>
                <w:highlight w:val="none"/>
              </w:rPr>
              <w:t>总投资：</w:t>
            </w:r>
            <w:r>
              <w:rPr>
                <w:rFonts w:hint="eastAsia"/>
                <w:color w:val="auto"/>
                <w:highlight w:val="none"/>
                <w:lang w:val="en-US" w:eastAsia="zh-CN"/>
              </w:rPr>
              <w:t>30000</w:t>
            </w:r>
            <w:r>
              <w:rPr>
                <w:color w:val="auto"/>
                <w:highlight w:val="none"/>
              </w:rPr>
              <w:t>万人民币</w:t>
            </w:r>
            <w:r>
              <w:rPr>
                <w:rFonts w:hint="eastAsia"/>
                <w:color w:val="auto"/>
                <w:highlight w:val="none"/>
              </w:rPr>
              <w:t>，环保投资：</w:t>
            </w:r>
            <w:r>
              <w:rPr>
                <w:rFonts w:hint="eastAsia"/>
                <w:color w:val="auto"/>
                <w:highlight w:val="none"/>
                <w:lang w:val="en-US" w:eastAsia="zh-CN"/>
              </w:rPr>
              <w:t>52</w:t>
            </w:r>
            <w:r>
              <w:rPr>
                <w:rFonts w:hint="eastAsia"/>
                <w:color w:val="auto"/>
                <w:highlight w:val="none"/>
              </w:rPr>
              <w:t>万人民币</w:t>
            </w:r>
          </w:p>
          <w:p w14:paraId="23C78E15">
            <w:pPr>
              <w:ind w:firstLine="480"/>
              <w:rPr>
                <w:rFonts w:hint="eastAsia"/>
                <w:color w:val="auto"/>
                <w:highlight w:val="none"/>
              </w:rPr>
            </w:pPr>
            <w:r>
              <w:rPr>
                <w:rFonts w:hint="eastAsia"/>
                <w:color w:val="auto"/>
                <w:highlight w:val="none"/>
              </w:rPr>
              <w:t>劳动定员及工作制度：</w:t>
            </w:r>
            <w:r>
              <w:rPr>
                <w:color w:val="auto"/>
                <w:highlight w:val="none"/>
              </w:rPr>
              <w:t>职工人数</w:t>
            </w:r>
            <w:r>
              <w:rPr>
                <w:rFonts w:hint="eastAsia"/>
                <w:color w:val="auto"/>
                <w:highlight w:val="none"/>
                <w:lang w:val="en-US" w:eastAsia="zh-CN"/>
              </w:rPr>
              <w:t>10</w:t>
            </w:r>
            <w:r>
              <w:rPr>
                <w:color w:val="auto"/>
                <w:highlight w:val="none"/>
              </w:rPr>
              <w:t>人，</w:t>
            </w:r>
            <w:r>
              <w:rPr>
                <w:rFonts w:hint="eastAsia"/>
                <w:color w:val="auto"/>
                <w:highlight w:val="none"/>
                <w:lang w:val="en-US" w:eastAsia="zh-CN"/>
              </w:rPr>
              <w:t>均</w:t>
            </w:r>
            <w:r>
              <w:rPr>
                <w:rFonts w:hint="eastAsia"/>
                <w:color w:val="auto"/>
                <w:highlight w:val="none"/>
              </w:rPr>
              <w:t>在</w:t>
            </w:r>
            <w:r>
              <w:rPr>
                <w:color w:val="auto"/>
                <w:highlight w:val="none"/>
              </w:rPr>
              <w:t>厂区内食宿</w:t>
            </w:r>
            <w:r>
              <w:rPr>
                <w:rFonts w:hint="eastAsia"/>
                <w:color w:val="auto"/>
                <w:highlight w:val="none"/>
              </w:rPr>
              <w:t>；</w:t>
            </w:r>
            <w:r>
              <w:rPr>
                <w:color w:val="auto"/>
                <w:highlight w:val="none"/>
              </w:rPr>
              <w:t>年工作日2</w:t>
            </w:r>
            <w:r>
              <w:rPr>
                <w:rFonts w:hint="eastAsia"/>
                <w:color w:val="auto"/>
                <w:highlight w:val="none"/>
                <w:lang w:val="en-US" w:eastAsia="zh-CN"/>
              </w:rPr>
              <w:t>4</w:t>
            </w:r>
            <w:r>
              <w:rPr>
                <w:color w:val="auto"/>
                <w:highlight w:val="none"/>
              </w:rPr>
              <w:t>0天，</w:t>
            </w:r>
            <w:r>
              <w:rPr>
                <w:rFonts w:hint="eastAsia"/>
                <w:color w:val="auto"/>
                <w:highlight w:val="none"/>
                <w:lang w:val="en-US" w:eastAsia="zh-CN"/>
              </w:rPr>
              <w:t>2</w:t>
            </w:r>
            <w:r>
              <w:rPr>
                <w:color w:val="auto"/>
                <w:highlight w:val="none"/>
              </w:rPr>
              <w:t>班制，</w:t>
            </w:r>
            <w:r>
              <w:rPr>
                <w:rFonts w:hint="eastAsia"/>
                <w:color w:val="auto"/>
                <w:highlight w:val="none"/>
              </w:rPr>
              <w:t>每</w:t>
            </w:r>
            <w:r>
              <w:rPr>
                <w:rFonts w:hint="eastAsia"/>
                <w:color w:val="auto"/>
                <w:highlight w:val="none"/>
                <w:lang w:val="en-US" w:eastAsia="zh-CN"/>
              </w:rPr>
              <w:t>班8</w:t>
            </w:r>
            <w:r>
              <w:rPr>
                <w:rFonts w:hint="eastAsia"/>
                <w:color w:val="auto"/>
                <w:highlight w:val="none"/>
              </w:rPr>
              <w:t>小时</w:t>
            </w:r>
          </w:p>
          <w:p w14:paraId="55FE29B1">
            <w:pPr>
              <w:ind w:firstLine="480"/>
              <w:rPr>
                <w:rFonts w:hint="eastAsia"/>
                <w:color w:val="auto"/>
                <w:highlight w:val="none"/>
              </w:rPr>
            </w:pPr>
            <w:r>
              <w:rPr>
                <w:rFonts w:hint="eastAsia"/>
                <w:color w:val="auto"/>
                <w:highlight w:val="none"/>
              </w:rPr>
              <w:t>生产规模及产品方案：</w:t>
            </w:r>
            <w:r>
              <w:rPr>
                <w:rFonts w:hint="eastAsia"/>
                <w:color w:val="auto"/>
                <w:highlight w:val="none"/>
                <w:lang w:val="en-US" w:eastAsia="zh-CN"/>
              </w:rPr>
              <w:t>本项目分为两期建设，一期项目年产9.5万吨沥青混凝土以及0.5万吨乳化沥青，二期项目年产19万吨沥青混凝土以及1万吨乳化沥青</w:t>
            </w:r>
            <w:r>
              <w:rPr>
                <w:rFonts w:hint="eastAsia"/>
                <w:color w:val="auto"/>
                <w:highlight w:val="none"/>
              </w:rPr>
              <w:t>。</w:t>
            </w:r>
          </w:p>
          <w:p w14:paraId="0743A6F0">
            <w:pPr>
              <w:pStyle w:val="3"/>
              <w:rPr>
                <w:color w:val="auto"/>
                <w:highlight w:val="none"/>
              </w:rPr>
            </w:pPr>
            <w:r>
              <w:rPr>
                <w:color w:val="auto"/>
                <w:highlight w:val="none"/>
              </w:rPr>
              <w:t>2.2 建设内容</w:t>
            </w:r>
          </w:p>
          <w:p w14:paraId="103ABE92">
            <w:pPr>
              <w:pStyle w:val="85"/>
              <w:ind w:firstLine="480"/>
              <w:rPr>
                <w:rFonts w:hint="eastAsia"/>
                <w:color w:val="auto"/>
                <w:highlight w:val="none"/>
              </w:rPr>
            </w:pPr>
            <w:r>
              <w:rPr>
                <w:color w:val="auto"/>
                <w:highlight w:val="none"/>
              </w:rPr>
              <w:t>本项目主要由主体工程、公用工程和环保工程组成，具体内容详见表</w:t>
            </w:r>
            <w:r>
              <w:rPr>
                <w:rFonts w:hint="eastAsia"/>
                <w:color w:val="auto"/>
                <w:highlight w:val="none"/>
              </w:rPr>
              <w:t>2.2-1</w:t>
            </w:r>
            <w:r>
              <w:rPr>
                <w:color w:val="auto"/>
                <w:highlight w:val="none"/>
              </w:rPr>
              <w:t>所示</w:t>
            </w:r>
            <w:r>
              <w:rPr>
                <w:rFonts w:hint="eastAsia"/>
                <w:color w:val="auto"/>
                <w:highlight w:val="none"/>
              </w:rPr>
              <w:t>。</w:t>
            </w:r>
          </w:p>
          <w:p w14:paraId="5CDBF7FD">
            <w:pPr>
              <w:pStyle w:val="59"/>
              <w:ind w:left="0" w:firstLine="0" w:firstLineChars="0"/>
              <w:jc w:val="center"/>
              <w:rPr>
                <w:bCs/>
                <w:color w:val="auto"/>
                <w:highlight w:val="none"/>
              </w:rPr>
            </w:pPr>
            <w:r>
              <w:rPr>
                <w:bCs/>
                <w:color w:val="auto"/>
                <w:highlight w:val="none"/>
              </w:rPr>
              <w:t>表2.2-1  项目</w:t>
            </w:r>
            <w:r>
              <w:rPr>
                <w:rFonts w:hint="eastAsia"/>
                <w:bCs/>
                <w:color w:val="auto"/>
                <w:highlight w:val="none"/>
              </w:rPr>
              <w:t>主体</w:t>
            </w:r>
            <w:r>
              <w:rPr>
                <w:bCs/>
                <w:color w:val="auto"/>
                <w:highlight w:val="none"/>
              </w:rPr>
              <w:t>工程组成表</w:t>
            </w:r>
          </w:p>
          <w:tbl>
            <w:tblPr>
              <w:tblStyle w:val="129"/>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509"/>
              <w:gridCol w:w="877"/>
              <w:gridCol w:w="994"/>
              <w:gridCol w:w="5193"/>
            </w:tblGrid>
            <w:tr w14:paraId="2783242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571" w:type="pct"/>
                  <w:gridSpan w:val="3"/>
                  <w:tcBorders>
                    <w:tl2br w:val="nil"/>
                    <w:tr2bl w:val="nil"/>
                  </w:tcBorders>
                  <w:noWrap w:val="0"/>
                  <w:vAlign w:val="center"/>
                </w:tcPr>
                <w:p w14:paraId="021A0447">
                  <w:pPr>
                    <w:pStyle w:val="98"/>
                    <w:widowControl w:val="0"/>
                    <w:kinsoku/>
                    <w:autoSpaceDE/>
                    <w:autoSpaceDN/>
                    <w:adjustRightInd/>
                    <w:snapToGrid/>
                    <w:textAlignment w:val="auto"/>
                    <w:rPr>
                      <w:rFonts w:hint="eastAsia" w:ascii="Times New Roman" w:hAnsi="Times New Roman" w:cs="Times New Roman"/>
                      <w:b/>
                      <w:bCs/>
                      <w:snapToGrid/>
                      <w:color w:val="auto"/>
                      <w:kern w:val="2"/>
                      <w:szCs w:val="24"/>
                      <w:highlight w:val="none"/>
                      <w:lang w:eastAsia="zh-CN"/>
                    </w:rPr>
                  </w:pPr>
                  <w:r>
                    <w:rPr>
                      <w:rFonts w:hint="eastAsia" w:ascii="Times New Roman" w:hAnsi="Times New Roman" w:cs="Times New Roman"/>
                      <w:b/>
                      <w:bCs/>
                      <w:snapToGrid/>
                      <w:color w:val="auto"/>
                      <w:kern w:val="2"/>
                      <w:szCs w:val="24"/>
                      <w:highlight w:val="none"/>
                      <w:lang w:eastAsia="zh-CN"/>
                    </w:rPr>
                    <w:t>项目组成</w:t>
                  </w:r>
                </w:p>
              </w:tc>
              <w:tc>
                <w:tcPr>
                  <w:tcW w:w="3428" w:type="pct"/>
                  <w:tcBorders>
                    <w:tl2br w:val="nil"/>
                    <w:tr2bl w:val="nil"/>
                  </w:tcBorders>
                  <w:noWrap w:val="0"/>
                  <w:vAlign w:val="center"/>
                </w:tcPr>
                <w:p w14:paraId="269769FA">
                  <w:pPr>
                    <w:pStyle w:val="98"/>
                    <w:widowControl w:val="0"/>
                    <w:kinsoku/>
                    <w:autoSpaceDE/>
                    <w:autoSpaceDN/>
                    <w:adjustRightInd/>
                    <w:snapToGrid/>
                    <w:textAlignment w:val="auto"/>
                    <w:rPr>
                      <w:rFonts w:hint="eastAsia" w:ascii="Times New Roman" w:hAnsi="Times New Roman" w:cs="Times New Roman"/>
                      <w:b/>
                      <w:bCs/>
                      <w:snapToGrid/>
                      <w:color w:val="auto"/>
                      <w:kern w:val="2"/>
                      <w:szCs w:val="24"/>
                      <w:highlight w:val="none"/>
                      <w:lang w:eastAsia="zh-CN"/>
                    </w:rPr>
                  </w:pPr>
                  <w:r>
                    <w:rPr>
                      <w:rFonts w:hint="eastAsia" w:ascii="Times New Roman" w:hAnsi="Times New Roman" w:cs="Times New Roman"/>
                      <w:b/>
                      <w:bCs/>
                      <w:snapToGrid/>
                      <w:color w:val="auto"/>
                      <w:kern w:val="2"/>
                      <w:szCs w:val="24"/>
                      <w:highlight w:val="none"/>
                      <w:lang w:eastAsia="zh-CN"/>
                    </w:rPr>
                    <w:t>主要建设内容</w:t>
                  </w:r>
                </w:p>
              </w:tc>
            </w:tr>
            <w:tr w14:paraId="2306951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2" w:hRule="atLeast"/>
              </w:trPr>
              <w:tc>
                <w:tcPr>
                  <w:tcW w:w="336" w:type="pct"/>
                  <w:vMerge w:val="restart"/>
                  <w:tcBorders>
                    <w:tl2br w:val="nil"/>
                    <w:tr2bl w:val="nil"/>
                  </w:tcBorders>
                  <w:noWrap w:val="0"/>
                  <w:vAlign w:val="center"/>
                </w:tcPr>
                <w:p w14:paraId="343416D4">
                  <w:pPr>
                    <w:pStyle w:val="98"/>
                    <w:widowControl w:val="0"/>
                    <w:kinsoku/>
                    <w:autoSpaceDE/>
                    <w:autoSpaceDN/>
                    <w:adjustRightInd/>
                    <w:snapToGrid/>
                    <w:jc w:val="center"/>
                    <w:textAlignment w:val="auto"/>
                    <w:rPr>
                      <w:rFonts w:hint="eastAsia" w:ascii="Times New Roman" w:hAnsi="Times New Roman" w:cs="Times New Roman"/>
                      <w:snapToGrid/>
                      <w:color w:val="auto"/>
                      <w:kern w:val="2"/>
                      <w:szCs w:val="24"/>
                      <w:highlight w:val="none"/>
                      <w:lang w:eastAsia="zh-CN"/>
                    </w:rPr>
                  </w:pPr>
                  <w:r>
                    <w:rPr>
                      <w:rFonts w:hint="eastAsia" w:ascii="Times New Roman" w:hAnsi="Times New Roman" w:cs="Times New Roman"/>
                      <w:snapToGrid/>
                      <w:color w:val="auto"/>
                      <w:kern w:val="2"/>
                      <w:szCs w:val="24"/>
                      <w:highlight w:val="none"/>
                      <w:lang w:eastAsia="zh-CN"/>
                    </w:rPr>
                    <w:t>主体 工程</w:t>
                  </w:r>
                </w:p>
              </w:tc>
              <w:tc>
                <w:tcPr>
                  <w:tcW w:w="579" w:type="pct"/>
                  <w:vMerge w:val="restart"/>
                  <w:tcBorders>
                    <w:tl2br w:val="nil"/>
                    <w:tr2bl w:val="nil"/>
                  </w:tcBorders>
                  <w:noWrap w:val="0"/>
                  <w:vAlign w:val="center"/>
                </w:tcPr>
                <w:p w14:paraId="29BB6FE2">
                  <w:pPr>
                    <w:pStyle w:val="98"/>
                    <w:widowControl w:val="0"/>
                    <w:kinsoku/>
                    <w:autoSpaceDE/>
                    <w:autoSpaceDN/>
                    <w:adjustRightInd/>
                    <w:snapToGrid/>
                    <w:jc w:val="center"/>
                    <w:textAlignment w:val="auto"/>
                    <w:rPr>
                      <w:rFonts w:hint="eastAsia" w:ascii="Times New Roman" w:hAnsi="Times New Roman" w:cs="Times New Roman"/>
                      <w:snapToGrid/>
                      <w:color w:val="auto"/>
                      <w:kern w:val="2"/>
                      <w:szCs w:val="24"/>
                      <w:highlight w:val="none"/>
                      <w:lang w:eastAsia="zh-CN"/>
                    </w:rPr>
                  </w:pPr>
                  <w:r>
                    <w:rPr>
                      <w:rFonts w:hint="eastAsia" w:ascii="Times New Roman" w:hAnsi="Times New Roman" w:cs="Times New Roman"/>
                      <w:snapToGrid/>
                      <w:color w:val="auto"/>
                      <w:kern w:val="2"/>
                      <w:szCs w:val="24"/>
                      <w:highlight w:val="none"/>
                      <w:lang w:eastAsia="zh-CN"/>
                    </w:rPr>
                    <w:t>沥青混凝土搅拌</w:t>
                  </w:r>
                  <w:r>
                    <w:rPr>
                      <w:rFonts w:hint="eastAsia" w:ascii="Times New Roman" w:hAnsi="Times New Roman" w:cs="Times New Roman"/>
                      <w:snapToGrid/>
                      <w:color w:val="auto"/>
                      <w:kern w:val="2"/>
                      <w:szCs w:val="24"/>
                      <w:highlight w:val="none"/>
                      <w:lang w:val="en-US" w:eastAsia="zh-CN"/>
                    </w:rPr>
                    <w:t>生产区</w:t>
                  </w:r>
                </w:p>
              </w:tc>
              <w:tc>
                <w:tcPr>
                  <w:tcW w:w="656" w:type="pct"/>
                  <w:tcBorders>
                    <w:tl2br w:val="nil"/>
                    <w:tr2bl w:val="nil"/>
                  </w:tcBorders>
                  <w:noWrap w:val="0"/>
                  <w:vAlign w:val="center"/>
                </w:tcPr>
                <w:p w14:paraId="5A8A78ED">
                  <w:pPr>
                    <w:pStyle w:val="98"/>
                    <w:widowControl w:val="0"/>
                    <w:kinsoku/>
                    <w:autoSpaceDE/>
                    <w:autoSpaceDN/>
                    <w:adjustRightInd/>
                    <w:snapToGrid/>
                    <w:textAlignment w:val="auto"/>
                    <w:rPr>
                      <w:rFonts w:hint="default" w:ascii="Times New Roman" w:hAnsi="Times New Roman" w:cs="Times New Roman"/>
                      <w:snapToGrid/>
                      <w:color w:val="auto"/>
                      <w:kern w:val="2"/>
                      <w:szCs w:val="24"/>
                      <w:highlight w:val="none"/>
                      <w:lang w:val="en-US" w:eastAsia="zh-CN"/>
                    </w:rPr>
                  </w:pPr>
                  <w:r>
                    <w:rPr>
                      <w:rFonts w:hint="eastAsia" w:cs="Times New Roman"/>
                      <w:snapToGrid/>
                      <w:color w:val="auto"/>
                      <w:kern w:val="2"/>
                      <w:szCs w:val="24"/>
                      <w:highlight w:val="none"/>
                      <w:lang w:val="en-US" w:eastAsia="zh-CN"/>
                    </w:rPr>
                    <w:t>一期</w:t>
                  </w:r>
                </w:p>
              </w:tc>
              <w:tc>
                <w:tcPr>
                  <w:tcW w:w="3428" w:type="pct"/>
                  <w:tcBorders>
                    <w:tl2br w:val="nil"/>
                    <w:tr2bl w:val="nil"/>
                  </w:tcBorders>
                  <w:noWrap w:val="0"/>
                  <w:vAlign w:val="center"/>
                </w:tcPr>
                <w:p w14:paraId="0423A47F">
                  <w:pPr>
                    <w:pStyle w:val="98"/>
                    <w:widowControl w:val="0"/>
                    <w:kinsoku/>
                    <w:autoSpaceDE/>
                    <w:autoSpaceDN/>
                    <w:adjustRightInd/>
                    <w:snapToGrid/>
                    <w:textAlignment w:val="auto"/>
                    <w:rPr>
                      <w:rFonts w:hint="default" w:ascii="Times New Roman" w:hAnsi="Times New Roman" w:cs="Times New Roman"/>
                      <w:snapToGrid/>
                      <w:color w:val="auto"/>
                      <w:kern w:val="2"/>
                      <w:szCs w:val="24"/>
                      <w:highlight w:val="none"/>
                      <w:lang w:val="en-US" w:eastAsia="zh-CN"/>
                    </w:rPr>
                  </w:pPr>
                  <w:r>
                    <w:rPr>
                      <w:rFonts w:hint="default" w:ascii="Times New Roman" w:hAnsi="Times New Roman" w:cs="Times New Roman"/>
                      <w:color w:val="auto"/>
                      <w:kern w:val="2"/>
                      <w:highlight w:val="none"/>
                      <w:lang w:val="en-US" w:eastAsia="zh-CN"/>
                    </w:rPr>
                    <w:t>位于整个厂区</w:t>
                  </w:r>
                  <w:r>
                    <w:rPr>
                      <w:rFonts w:hint="eastAsia" w:ascii="Times New Roman" w:hAnsi="Times New Roman" w:cs="Times New Roman"/>
                      <w:color w:val="auto"/>
                      <w:kern w:val="2"/>
                      <w:highlight w:val="none"/>
                      <w:lang w:val="en-US" w:eastAsia="zh-CN"/>
                    </w:rPr>
                    <w:t>东</w:t>
                  </w:r>
                  <w:r>
                    <w:rPr>
                      <w:rFonts w:hint="default" w:ascii="Times New Roman" w:hAnsi="Times New Roman" w:cs="Times New Roman"/>
                      <w:color w:val="auto"/>
                      <w:kern w:val="2"/>
                      <w:highlight w:val="none"/>
                      <w:lang w:val="en-US" w:eastAsia="zh-CN"/>
                    </w:rPr>
                    <w:t>侧。</w:t>
                  </w:r>
                  <w:r>
                    <w:rPr>
                      <w:rFonts w:hint="eastAsia" w:ascii="Times New Roman" w:hAnsi="Times New Roman" w:cs="Times New Roman"/>
                      <w:color w:val="auto"/>
                      <w:kern w:val="2"/>
                      <w:highlight w:val="none"/>
                      <w:lang w:val="en-US" w:eastAsia="zh-CN"/>
                    </w:rPr>
                    <w:t>设置有</w:t>
                  </w:r>
                  <w:r>
                    <w:rPr>
                      <w:rFonts w:hint="eastAsia" w:ascii="Times New Roman" w:hAnsi="Times New Roman" w:cs="Times New Roman"/>
                      <w:snapToGrid/>
                      <w:color w:val="auto"/>
                      <w:kern w:val="2"/>
                      <w:szCs w:val="24"/>
                      <w:highlight w:val="none"/>
                      <w:lang w:eastAsia="zh-CN"/>
                    </w:rPr>
                    <w:t>搅拌机组、冷骨料斗及输送系统、骨料烘干加热系统、热骨料提升系统、热骨料筛分及储存系统、粉料储存及供给系统、沥青加热系统、称重计量系统</w:t>
                  </w:r>
                </w:p>
              </w:tc>
            </w:tr>
            <w:tr w14:paraId="6D74C8C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2" w:hRule="atLeast"/>
              </w:trPr>
              <w:tc>
                <w:tcPr>
                  <w:tcW w:w="336" w:type="pct"/>
                  <w:vMerge w:val="continue"/>
                  <w:tcBorders>
                    <w:tl2br w:val="nil"/>
                    <w:tr2bl w:val="nil"/>
                  </w:tcBorders>
                  <w:noWrap w:val="0"/>
                  <w:vAlign w:val="center"/>
                </w:tcPr>
                <w:p w14:paraId="62509D32">
                  <w:pPr>
                    <w:pStyle w:val="98"/>
                    <w:widowControl w:val="0"/>
                    <w:kinsoku/>
                    <w:autoSpaceDE/>
                    <w:autoSpaceDN/>
                    <w:adjustRightInd/>
                    <w:snapToGrid/>
                    <w:jc w:val="center"/>
                    <w:textAlignment w:val="auto"/>
                    <w:rPr>
                      <w:rFonts w:hint="eastAsia" w:ascii="Times New Roman" w:hAnsi="Times New Roman" w:cs="Times New Roman"/>
                      <w:snapToGrid/>
                      <w:color w:val="auto"/>
                      <w:kern w:val="2"/>
                      <w:szCs w:val="24"/>
                      <w:highlight w:val="none"/>
                      <w:lang w:eastAsia="zh-CN"/>
                    </w:rPr>
                  </w:pPr>
                </w:p>
              </w:tc>
              <w:tc>
                <w:tcPr>
                  <w:tcW w:w="579" w:type="pct"/>
                  <w:vMerge w:val="continue"/>
                  <w:tcBorders>
                    <w:tl2br w:val="nil"/>
                    <w:tr2bl w:val="nil"/>
                  </w:tcBorders>
                  <w:noWrap w:val="0"/>
                  <w:vAlign w:val="center"/>
                </w:tcPr>
                <w:p w14:paraId="0A98AA2B">
                  <w:pPr>
                    <w:pStyle w:val="98"/>
                    <w:widowControl w:val="0"/>
                    <w:kinsoku/>
                    <w:autoSpaceDE/>
                    <w:autoSpaceDN/>
                    <w:adjustRightInd/>
                    <w:snapToGrid/>
                    <w:jc w:val="center"/>
                    <w:textAlignment w:val="auto"/>
                    <w:rPr>
                      <w:rFonts w:hint="eastAsia" w:ascii="Times New Roman" w:hAnsi="Times New Roman" w:cs="Times New Roman"/>
                      <w:snapToGrid/>
                      <w:color w:val="auto"/>
                      <w:kern w:val="2"/>
                      <w:szCs w:val="24"/>
                      <w:highlight w:val="none"/>
                      <w:lang w:eastAsia="zh-CN"/>
                    </w:rPr>
                  </w:pPr>
                </w:p>
              </w:tc>
              <w:tc>
                <w:tcPr>
                  <w:tcW w:w="656" w:type="pct"/>
                  <w:tcBorders>
                    <w:tl2br w:val="nil"/>
                    <w:tr2bl w:val="nil"/>
                  </w:tcBorders>
                  <w:noWrap w:val="0"/>
                  <w:vAlign w:val="center"/>
                </w:tcPr>
                <w:p w14:paraId="385C3268">
                  <w:pPr>
                    <w:pStyle w:val="98"/>
                    <w:widowControl w:val="0"/>
                    <w:kinsoku/>
                    <w:autoSpaceDE/>
                    <w:autoSpaceDN/>
                    <w:adjustRightInd/>
                    <w:snapToGrid/>
                    <w:textAlignment w:val="auto"/>
                    <w:rPr>
                      <w:rFonts w:hint="default" w:ascii="Times New Roman" w:hAnsi="Times New Roman" w:cs="Times New Roman"/>
                      <w:snapToGrid/>
                      <w:color w:val="auto"/>
                      <w:kern w:val="2"/>
                      <w:szCs w:val="24"/>
                      <w:highlight w:val="none"/>
                      <w:lang w:val="en-US" w:eastAsia="zh-CN"/>
                    </w:rPr>
                  </w:pPr>
                  <w:r>
                    <w:rPr>
                      <w:rFonts w:hint="eastAsia" w:cs="Times New Roman"/>
                      <w:snapToGrid/>
                      <w:color w:val="auto"/>
                      <w:kern w:val="2"/>
                      <w:szCs w:val="24"/>
                      <w:highlight w:val="none"/>
                      <w:lang w:val="en-US" w:eastAsia="zh-CN"/>
                    </w:rPr>
                    <w:t>二期</w:t>
                  </w:r>
                </w:p>
              </w:tc>
              <w:tc>
                <w:tcPr>
                  <w:tcW w:w="3428" w:type="pct"/>
                  <w:tcBorders>
                    <w:tl2br w:val="nil"/>
                    <w:tr2bl w:val="nil"/>
                  </w:tcBorders>
                  <w:noWrap w:val="0"/>
                  <w:vAlign w:val="center"/>
                </w:tcPr>
                <w:p w14:paraId="0037DC9B">
                  <w:pPr>
                    <w:pStyle w:val="98"/>
                    <w:widowControl w:val="0"/>
                    <w:kinsoku/>
                    <w:autoSpaceDE/>
                    <w:autoSpaceDN/>
                    <w:adjustRightInd/>
                    <w:snapToGrid/>
                    <w:textAlignment w:val="auto"/>
                    <w:rPr>
                      <w:rFonts w:hint="default" w:ascii="Times New Roman" w:hAnsi="Times New Roman" w:cs="Times New Roman"/>
                      <w:color w:val="auto"/>
                      <w:kern w:val="2"/>
                      <w:highlight w:val="none"/>
                      <w:lang w:val="en-US" w:eastAsia="zh-CN"/>
                    </w:rPr>
                  </w:pPr>
                  <w:r>
                    <w:rPr>
                      <w:rFonts w:hint="default" w:ascii="Times New Roman" w:hAnsi="Times New Roman" w:cs="Times New Roman"/>
                      <w:color w:val="auto"/>
                      <w:kern w:val="2"/>
                      <w:highlight w:val="none"/>
                      <w:lang w:val="en-US" w:eastAsia="zh-CN"/>
                    </w:rPr>
                    <w:t>位于整个厂区</w:t>
                  </w:r>
                  <w:r>
                    <w:rPr>
                      <w:rFonts w:hint="eastAsia" w:ascii="Times New Roman" w:hAnsi="Times New Roman" w:cs="Times New Roman"/>
                      <w:color w:val="auto"/>
                      <w:kern w:val="2"/>
                      <w:highlight w:val="none"/>
                      <w:lang w:val="en-US" w:eastAsia="zh-CN"/>
                    </w:rPr>
                    <w:t>南</w:t>
                  </w:r>
                  <w:r>
                    <w:rPr>
                      <w:rFonts w:hint="default" w:ascii="Times New Roman" w:hAnsi="Times New Roman" w:cs="Times New Roman"/>
                      <w:color w:val="auto"/>
                      <w:kern w:val="2"/>
                      <w:highlight w:val="none"/>
                      <w:lang w:val="en-US" w:eastAsia="zh-CN"/>
                    </w:rPr>
                    <w:t>侧。</w:t>
                  </w:r>
                  <w:r>
                    <w:rPr>
                      <w:rFonts w:hint="eastAsia" w:ascii="Times New Roman" w:hAnsi="Times New Roman" w:cs="Times New Roman"/>
                      <w:color w:val="auto"/>
                      <w:kern w:val="2"/>
                      <w:highlight w:val="none"/>
                      <w:lang w:val="en-US" w:eastAsia="zh-CN"/>
                    </w:rPr>
                    <w:t>设置有</w:t>
                  </w:r>
                  <w:r>
                    <w:rPr>
                      <w:rFonts w:hint="eastAsia" w:ascii="Times New Roman" w:hAnsi="Times New Roman" w:cs="Times New Roman"/>
                      <w:snapToGrid/>
                      <w:color w:val="auto"/>
                      <w:kern w:val="2"/>
                      <w:szCs w:val="24"/>
                      <w:highlight w:val="none"/>
                      <w:lang w:eastAsia="zh-CN"/>
                    </w:rPr>
                    <w:t>搅拌机组、冷骨料斗及输送系统、骨料烘干加热系统、热骨料提升系统、热骨料筛分及储存系统、粉料储存及供给系统、沥青加热系统、称重计量系统</w:t>
                  </w:r>
                </w:p>
              </w:tc>
            </w:tr>
            <w:tr w14:paraId="613D5CC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47" w:hRule="atLeast"/>
              </w:trPr>
              <w:tc>
                <w:tcPr>
                  <w:tcW w:w="336" w:type="pct"/>
                  <w:vMerge w:val="continue"/>
                  <w:tcBorders>
                    <w:tl2br w:val="nil"/>
                    <w:tr2bl w:val="nil"/>
                  </w:tcBorders>
                  <w:noWrap w:val="0"/>
                  <w:vAlign w:val="center"/>
                </w:tcPr>
                <w:p w14:paraId="2229E846">
                  <w:pPr>
                    <w:pStyle w:val="98"/>
                    <w:widowControl w:val="0"/>
                    <w:kinsoku/>
                    <w:autoSpaceDE/>
                    <w:autoSpaceDN/>
                    <w:adjustRightInd/>
                    <w:snapToGrid/>
                    <w:jc w:val="center"/>
                    <w:textAlignment w:val="auto"/>
                    <w:rPr>
                      <w:rFonts w:hint="eastAsia" w:ascii="Times New Roman" w:hAnsi="Times New Roman" w:cs="Times New Roman"/>
                      <w:snapToGrid/>
                      <w:color w:val="auto"/>
                      <w:kern w:val="2"/>
                      <w:szCs w:val="24"/>
                      <w:highlight w:val="none"/>
                      <w:lang w:eastAsia="zh-CN"/>
                    </w:rPr>
                  </w:pPr>
                </w:p>
              </w:tc>
              <w:tc>
                <w:tcPr>
                  <w:tcW w:w="579" w:type="pct"/>
                  <w:vMerge w:val="restart"/>
                  <w:tcBorders>
                    <w:tl2br w:val="nil"/>
                    <w:tr2bl w:val="nil"/>
                  </w:tcBorders>
                  <w:noWrap w:val="0"/>
                  <w:vAlign w:val="center"/>
                </w:tcPr>
                <w:p w14:paraId="12FA7046">
                  <w:pPr>
                    <w:pStyle w:val="98"/>
                    <w:widowControl w:val="0"/>
                    <w:kinsoku/>
                    <w:autoSpaceDE/>
                    <w:autoSpaceDN/>
                    <w:adjustRightInd/>
                    <w:snapToGrid/>
                    <w:textAlignment w:val="auto"/>
                    <w:rPr>
                      <w:rFonts w:hint="eastAsia" w:ascii="Times New Roman" w:hAnsi="Times New Roman" w:cs="Times New Roman"/>
                      <w:snapToGrid/>
                      <w:color w:val="auto"/>
                      <w:kern w:val="2"/>
                      <w:szCs w:val="24"/>
                      <w:highlight w:val="none"/>
                      <w:lang w:eastAsia="zh-CN"/>
                    </w:rPr>
                  </w:pPr>
                  <w:r>
                    <w:rPr>
                      <w:rFonts w:hint="eastAsia" w:ascii="Times New Roman" w:hAnsi="Times New Roman" w:cs="Times New Roman"/>
                      <w:snapToGrid/>
                      <w:color w:val="auto"/>
                      <w:kern w:val="2"/>
                      <w:szCs w:val="24"/>
                      <w:highlight w:val="none"/>
                      <w:lang w:eastAsia="zh-CN"/>
                    </w:rPr>
                    <w:t>乳化沥青生产区</w:t>
                  </w:r>
                </w:p>
              </w:tc>
              <w:tc>
                <w:tcPr>
                  <w:tcW w:w="994" w:type="dxa"/>
                  <w:tcBorders>
                    <w:tl2br w:val="nil"/>
                    <w:tr2bl w:val="nil"/>
                  </w:tcBorders>
                  <w:noWrap w:val="0"/>
                  <w:vAlign w:val="center"/>
                </w:tcPr>
                <w:p w14:paraId="0B23CEEB">
                  <w:pPr>
                    <w:pStyle w:val="98"/>
                    <w:widowControl w:val="0"/>
                    <w:kinsoku/>
                    <w:autoSpaceDE/>
                    <w:autoSpaceDN/>
                    <w:adjustRightInd/>
                    <w:snapToGrid/>
                    <w:ind w:firstLine="0" w:firstLineChars="0"/>
                    <w:textAlignment w:val="auto"/>
                    <w:rPr>
                      <w:rFonts w:hint="eastAsia" w:ascii="Times New Roman" w:hAnsi="Times New Roman" w:cs="Times New Roman"/>
                      <w:snapToGrid/>
                      <w:color w:val="auto"/>
                      <w:kern w:val="2"/>
                      <w:szCs w:val="24"/>
                      <w:highlight w:val="none"/>
                      <w:lang w:eastAsia="zh-CN"/>
                    </w:rPr>
                  </w:pPr>
                  <w:r>
                    <w:rPr>
                      <w:rFonts w:hint="eastAsia" w:cs="Times New Roman"/>
                      <w:snapToGrid/>
                      <w:color w:val="auto"/>
                      <w:kern w:val="2"/>
                      <w:szCs w:val="24"/>
                      <w:highlight w:val="none"/>
                      <w:lang w:val="en-US" w:eastAsia="zh-CN"/>
                    </w:rPr>
                    <w:t>一期</w:t>
                  </w:r>
                </w:p>
              </w:tc>
              <w:tc>
                <w:tcPr>
                  <w:tcW w:w="3428" w:type="pct"/>
                  <w:tcBorders>
                    <w:tl2br w:val="nil"/>
                    <w:tr2bl w:val="nil"/>
                  </w:tcBorders>
                  <w:noWrap w:val="0"/>
                  <w:vAlign w:val="center"/>
                </w:tcPr>
                <w:p w14:paraId="619E49CE">
                  <w:pPr>
                    <w:pStyle w:val="98"/>
                    <w:widowControl w:val="0"/>
                    <w:kinsoku/>
                    <w:autoSpaceDE/>
                    <w:autoSpaceDN/>
                    <w:adjustRightInd/>
                    <w:snapToGrid/>
                    <w:textAlignment w:val="auto"/>
                    <w:rPr>
                      <w:rFonts w:hint="eastAsia" w:ascii="Times New Roman" w:hAnsi="Times New Roman" w:cs="Times New Roman"/>
                      <w:snapToGrid/>
                      <w:color w:val="auto"/>
                      <w:kern w:val="2"/>
                      <w:szCs w:val="24"/>
                      <w:highlight w:val="none"/>
                      <w:lang w:eastAsia="zh-CN"/>
                    </w:rPr>
                  </w:pPr>
                  <w:r>
                    <w:rPr>
                      <w:rFonts w:hint="default" w:ascii="Times New Roman" w:hAnsi="Times New Roman" w:cs="Times New Roman"/>
                      <w:color w:val="auto"/>
                      <w:kern w:val="2"/>
                      <w:highlight w:val="none"/>
                      <w:lang w:val="en-US" w:eastAsia="zh-CN"/>
                    </w:rPr>
                    <w:t>位于整个厂区</w:t>
                  </w:r>
                  <w:r>
                    <w:rPr>
                      <w:rFonts w:hint="eastAsia" w:ascii="Times New Roman" w:hAnsi="Times New Roman" w:cs="Times New Roman"/>
                      <w:color w:val="auto"/>
                      <w:kern w:val="2"/>
                      <w:highlight w:val="none"/>
                      <w:lang w:val="en-US" w:eastAsia="zh-CN"/>
                    </w:rPr>
                    <w:t>东</w:t>
                  </w:r>
                  <w:r>
                    <w:rPr>
                      <w:rFonts w:hint="default" w:ascii="Times New Roman" w:hAnsi="Times New Roman" w:cs="Times New Roman"/>
                      <w:color w:val="auto"/>
                      <w:kern w:val="2"/>
                      <w:highlight w:val="none"/>
                      <w:lang w:val="en-US" w:eastAsia="zh-CN"/>
                    </w:rPr>
                    <w:t>侧。</w:t>
                  </w:r>
                  <w:r>
                    <w:rPr>
                      <w:rFonts w:hint="eastAsia" w:cs="Times New Roman"/>
                      <w:snapToGrid/>
                      <w:color w:val="auto"/>
                      <w:kern w:val="2"/>
                      <w:szCs w:val="24"/>
                      <w:highlight w:val="none"/>
                      <w:lang w:val="en-US" w:eastAsia="zh-CN"/>
                    </w:rPr>
                    <w:t>位于</w:t>
                  </w:r>
                  <w:r>
                    <w:rPr>
                      <w:rFonts w:hint="eastAsia" w:ascii="Times New Roman" w:hAnsi="Times New Roman" w:cs="Times New Roman"/>
                      <w:snapToGrid/>
                      <w:color w:val="auto"/>
                      <w:kern w:val="2"/>
                      <w:szCs w:val="24"/>
                      <w:highlight w:val="none"/>
                      <w:lang w:eastAsia="zh-CN"/>
                    </w:rPr>
                    <w:t>为乳化沥青制作区域，含乳化剂储存罐及乳化生产设备等</w:t>
                  </w:r>
                </w:p>
              </w:tc>
            </w:tr>
            <w:tr w14:paraId="1B6382F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47" w:hRule="atLeast"/>
              </w:trPr>
              <w:tc>
                <w:tcPr>
                  <w:tcW w:w="336" w:type="pct"/>
                  <w:vMerge w:val="continue"/>
                  <w:tcBorders>
                    <w:tl2br w:val="nil"/>
                    <w:tr2bl w:val="nil"/>
                  </w:tcBorders>
                  <w:noWrap w:val="0"/>
                  <w:vAlign w:val="center"/>
                </w:tcPr>
                <w:p w14:paraId="2225DB39">
                  <w:pPr>
                    <w:pStyle w:val="98"/>
                    <w:widowControl w:val="0"/>
                    <w:kinsoku/>
                    <w:autoSpaceDE/>
                    <w:autoSpaceDN/>
                    <w:adjustRightInd/>
                    <w:snapToGrid/>
                    <w:jc w:val="center"/>
                    <w:textAlignment w:val="auto"/>
                    <w:rPr>
                      <w:rFonts w:hint="eastAsia" w:ascii="Times New Roman" w:hAnsi="Times New Roman" w:cs="Times New Roman"/>
                      <w:snapToGrid/>
                      <w:color w:val="auto"/>
                      <w:kern w:val="2"/>
                      <w:szCs w:val="24"/>
                      <w:highlight w:val="none"/>
                      <w:lang w:eastAsia="zh-CN"/>
                    </w:rPr>
                  </w:pPr>
                </w:p>
              </w:tc>
              <w:tc>
                <w:tcPr>
                  <w:tcW w:w="579" w:type="pct"/>
                  <w:vMerge w:val="continue"/>
                  <w:tcBorders>
                    <w:tl2br w:val="nil"/>
                    <w:tr2bl w:val="nil"/>
                  </w:tcBorders>
                  <w:noWrap w:val="0"/>
                  <w:vAlign w:val="center"/>
                </w:tcPr>
                <w:p w14:paraId="1C4B18CA">
                  <w:pPr>
                    <w:pStyle w:val="98"/>
                    <w:widowControl w:val="0"/>
                    <w:kinsoku/>
                    <w:autoSpaceDE/>
                    <w:autoSpaceDN/>
                    <w:adjustRightInd/>
                    <w:snapToGrid/>
                    <w:textAlignment w:val="auto"/>
                    <w:rPr>
                      <w:rFonts w:hint="eastAsia" w:ascii="Times New Roman" w:hAnsi="Times New Roman" w:cs="Times New Roman"/>
                      <w:snapToGrid/>
                      <w:color w:val="auto"/>
                      <w:kern w:val="2"/>
                      <w:szCs w:val="24"/>
                      <w:highlight w:val="none"/>
                      <w:lang w:eastAsia="zh-CN"/>
                    </w:rPr>
                  </w:pPr>
                </w:p>
              </w:tc>
              <w:tc>
                <w:tcPr>
                  <w:tcW w:w="994" w:type="dxa"/>
                  <w:tcBorders>
                    <w:tl2br w:val="nil"/>
                    <w:tr2bl w:val="nil"/>
                  </w:tcBorders>
                  <w:noWrap w:val="0"/>
                  <w:vAlign w:val="center"/>
                </w:tcPr>
                <w:p w14:paraId="38CB055E">
                  <w:pPr>
                    <w:pStyle w:val="98"/>
                    <w:widowControl w:val="0"/>
                    <w:kinsoku/>
                    <w:autoSpaceDE/>
                    <w:autoSpaceDN/>
                    <w:adjustRightInd/>
                    <w:snapToGrid/>
                    <w:ind w:firstLine="0" w:firstLineChars="0"/>
                    <w:textAlignment w:val="auto"/>
                    <w:rPr>
                      <w:rFonts w:hint="eastAsia" w:ascii="Times New Roman" w:hAnsi="Times New Roman" w:cs="Times New Roman"/>
                      <w:snapToGrid/>
                      <w:color w:val="auto"/>
                      <w:kern w:val="2"/>
                      <w:szCs w:val="24"/>
                      <w:highlight w:val="none"/>
                      <w:lang w:eastAsia="zh-CN"/>
                    </w:rPr>
                  </w:pPr>
                  <w:r>
                    <w:rPr>
                      <w:rFonts w:hint="eastAsia" w:cs="Times New Roman"/>
                      <w:snapToGrid/>
                      <w:color w:val="auto"/>
                      <w:kern w:val="2"/>
                      <w:szCs w:val="24"/>
                      <w:highlight w:val="none"/>
                      <w:lang w:val="en-US" w:eastAsia="zh-CN"/>
                    </w:rPr>
                    <w:t>二期</w:t>
                  </w:r>
                </w:p>
              </w:tc>
              <w:tc>
                <w:tcPr>
                  <w:tcW w:w="3428" w:type="pct"/>
                  <w:tcBorders>
                    <w:tl2br w:val="nil"/>
                    <w:tr2bl w:val="nil"/>
                  </w:tcBorders>
                  <w:noWrap w:val="0"/>
                  <w:vAlign w:val="center"/>
                </w:tcPr>
                <w:p w14:paraId="12C5CE6E">
                  <w:pPr>
                    <w:pStyle w:val="98"/>
                    <w:widowControl w:val="0"/>
                    <w:kinsoku/>
                    <w:autoSpaceDE/>
                    <w:autoSpaceDN/>
                    <w:adjustRightInd/>
                    <w:snapToGrid/>
                    <w:textAlignment w:val="auto"/>
                    <w:rPr>
                      <w:rFonts w:hint="eastAsia" w:ascii="Times New Roman" w:hAnsi="Times New Roman" w:cs="Times New Roman"/>
                      <w:snapToGrid/>
                      <w:color w:val="auto"/>
                      <w:kern w:val="2"/>
                      <w:szCs w:val="24"/>
                      <w:highlight w:val="none"/>
                      <w:lang w:eastAsia="zh-CN"/>
                    </w:rPr>
                  </w:pPr>
                  <w:r>
                    <w:rPr>
                      <w:rFonts w:hint="default" w:ascii="Times New Roman" w:hAnsi="Times New Roman" w:cs="Times New Roman"/>
                      <w:color w:val="auto"/>
                      <w:kern w:val="2"/>
                      <w:highlight w:val="none"/>
                      <w:lang w:val="en-US" w:eastAsia="zh-CN"/>
                    </w:rPr>
                    <w:t>位于整个厂区</w:t>
                  </w:r>
                  <w:r>
                    <w:rPr>
                      <w:rFonts w:hint="eastAsia" w:ascii="Times New Roman" w:hAnsi="Times New Roman" w:cs="Times New Roman"/>
                      <w:color w:val="auto"/>
                      <w:kern w:val="2"/>
                      <w:highlight w:val="none"/>
                      <w:lang w:val="en-US" w:eastAsia="zh-CN"/>
                    </w:rPr>
                    <w:t>南</w:t>
                  </w:r>
                  <w:r>
                    <w:rPr>
                      <w:rFonts w:hint="default" w:ascii="Times New Roman" w:hAnsi="Times New Roman" w:cs="Times New Roman"/>
                      <w:color w:val="auto"/>
                      <w:kern w:val="2"/>
                      <w:highlight w:val="none"/>
                      <w:lang w:val="en-US" w:eastAsia="zh-CN"/>
                    </w:rPr>
                    <w:t>侧。</w:t>
                  </w:r>
                  <w:r>
                    <w:rPr>
                      <w:rFonts w:hint="eastAsia" w:ascii="Times New Roman" w:hAnsi="Times New Roman" w:cs="Times New Roman"/>
                      <w:snapToGrid/>
                      <w:color w:val="auto"/>
                      <w:kern w:val="2"/>
                      <w:szCs w:val="24"/>
                      <w:highlight w:val="none"/>
                      <w:lang w:eastAsia="zh-CN"/>
                    </w:rPr>
                    <w:t>含乳化剂储存罐及乳化生产设备等</w:t>
                  </w:r>
                </w:p>
              </w:tc>
            </w:tr>
            <w:tr w14:paraId="6831B09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336" w:type="pct"/>
                  <w:vMerge w:val="restart"/>
                  <w:tcBorders>
                    <w:tl2br w:val="nil"/>
                    <w:tr2bl w:val="nil"/>
                  </w:tcBorders>
                  <w:noWrap w:val="0"/>
                  <w:vAlign w:val="center"/>
                </w:tcPr>
                <w:p w14:paraId="26963840">
                  <w:pPr>
                    <w:pStyle w:val="98"/>
                    <w:widowControl w:val="0"/>
                    <w:kinsoku/>
                    <w:autoSpaceDE/>
                    <w:autoSpaceDN/>
                    <w:adjustRightInd/>
                    <w:snapToGrid/>
                    <w:jc w:val="center"/>
                    <w:textAlignment w:val="auto"/>
                    <w:rPr>
                      <w:rFonts w:hint="eastAsia" w:ascii="Times New Roman" w:hAnsi="Times New Roman" w:cs="Times New Roman"/>
                      <w:snapToGrid/>
                      <w:color w:val="auto"/>
                      <w:kern w:val="2"/>
                      <w:szCs w:val="24"/>
                      <w:highlight w:val="none"/>
                      <w:lang w:eastAsia="zh-CN"/>
                    </w:rPr>
                  </w:pPr>
                  <w:r>
                    <w:rPr>
                      <w:rFonts w:hint="eastAsia" w:ascii="Times New Roman" w:hAnsi="Times New Roman" w:cs="Times New Roman"/>
                      <w:snapToGrid/>
                      <w:color w:val="auto"/>
                      <w:kern w:val="2"/>
                      <w:szCs w:val="24"/>
                      <w:highlight w:val="none"/>
                      <w:lang w:eastAsia="zh-CN"/>
                    </w:rPr>
                    <w:t>辅助 工程</w:t>
                  </w:r>
                </w:p>
              </w:tc>
              <w:tc>
                <w:tcPr>
                  <w:tcW w:w="1235" w:type="pct"/>
                  <w:gridSpan w:val="2"/>
                  <w:tcBorders>
                    <w:tl2br w:val="nil"/>
                    <w:tr2bl w:val="nil"/>
                  </w:tcBorders>
                  <w:noWrap w:val="0"/>
                  <w:vAlign w:val="center"/>
                </w:tcPr>
                <w:p w14:paraId="6803BCD8">
                  <w:pPr>
                    <w:pStyle w:val="98"/>
                    <w:widowControl w:val="0"/>
                    <w:kinsoku/>
                    <w:autoSpaceDE/>
                    <w:autoSpaceDN/>
                    <w:adjustRightInd/>
                    <w:snapToGrid/>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原料堆场区</w:t>
                  </w:r>
                </w:p>
              </w:tc>
              <w:tc>
                <w:tcPr>
                  <w:tcW w:w="3428" w:type="pct"/>
                  <w:tcBorders>
                    <w:tl2br w:val="nil"/>
                    <w:tr2bl w:val="nil"/>
                  </w:tcBorders>
                  <w:noWrap w:val="0"/>
                  <w:vAlign w:val="center"/>
                </w:tcPr>
                <w:p w14:paraId="7491BCD4">
                  <w:pPr>
                    <w:pStyle w:val="98"/>
                    <w:widowControl w:val="0"/>
                    <w:kinsoku/>
                    <w:autoSpaceDE/>
                    <w:autoSpaceDN/>
                    <w:adjustRightInd/>
                    <w:snapToGrid/>
                    <w:textAlignment w:val="auto"/>
                    <w:rPr>
                      <w:rFonts w:hint="eastAsia" w:ascii="Times New Roman" w:hAnsi="Times New Roman" w:cs="Times New Roman"/>
                      <w:snapToGrid/>
                      <w:color w:val="auto"/>
                      <w:kern w:val="2"/>
                      <w:szCs w:val="24"/>
                      <w:highlight w:val="none"/>
                      <w:lang w:eastAsia="zh-CN"/>
                    </w:rPr>
                  </w:pPr>
                  <w:r>
                    <w:rPr>
                      <w:rFonts w:hint="eastAsia" w:ascii="Times New Roman" w:hAnsi="Times New Roman" w:cs="Times New Roman"/>
                      <w:snapToGrid/>
                      <w:color w:val="auto"/>
                      <w:kern w:val="2"/>
                      <w:szCs w:val="24"/>
                      <w:highlight w:val="none"/>
                      <w:lang w:eastAsia="zh-CN"/>
                    </w:rPr>
                    <w:t>暂时储存碎石，</w:t>
                  </w:r>
                  <w:r>
                    <w:rPr>
                      <w:rFonts w:hint="eastAsia" w:ascii="Times New Roman" w:hAnsi="Times New Roman" w:cs="Times New Roman"/>
                      <w:snapToGrid/>
                      <w:color w:val="auto"/>
                      <w:kern w:val="2"/>
                      <w:szCs w:val="24"/>
                      <w:highlight w:val="none"/>
                      <w:lang w:val="en-US" w:eastAsia="zh-CN"/>
                    </w:rPr>
                    <w:t>共4个堆棚</w:t>
                  </w:r>
                  <w:r>
                    <w:rPr>
                      <w:rFonts w:hint="eastAsia" w:ascii="Times New Roman" w:hAnsi="Times New Roman" w:cs="Times New Roman"/>
                      <w:snapToGrid/>
                      <w:color w:val="auto"/>
                      <w:kern w:val="2"/>
                      <w:szCs w:val="24"/>
                      <w:highlight w:val="none"/>
                      <w:lang w:eastAsia="zh-CN"/>
                    </w:rPr>
                    <w:t>，均为半封闭棚架式</w:t>
                  </w:r>
                </w:p>
              </w:tc>
            </w:tr>
            <w:tr w14:paraId="724BF8F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336" w:type="pct"/>
                  <w:vMerge w:val="continue"/>
                  <w:tcBorders>
                    <w:tl2br w:val="nil"/>
                    <w:tr2bl w:val="nil"/>
                  </w:tcBorders>
                  <w:noWrap w:val="0"/>
                  <w:vAlign w:val="center"/>
                </w:tcPr>
                <w:p w14:paraId="65070F48">
                  <w:pPr>
                    <w:pStyle w:val="98"/>
                    <w:widowControl w:val="0"/>
                    <w:kinsoku/>
                    <w:autoSpaceDE/>
                    <w:autoSpaceDN/>
                    <w:adjustRightInd/>
                    <w:snapToGrid/>
                    <w:jc w:val="center"/>
                    <w:textAlignment w:val="auto"/>
                    <w:rPr>
                      <w:rFonts w:hint="eastAsia" w:ascii="Times New Roman" w:hAnsi="Times New Roman" w:cs="Times New Roman"/>
                      <w:snapToGrid/>
                      <w:color w:val="auto"/>
                      <w:kern w:val="2"/>
                      <w:szCs w:val="24"/>
                      <w:highlight w:val="none"/>
                      <w:lang w:eastAsia="zh-CN"/>
                    </w:rPr>
                  </w:pPr>
                </w:p>
              </w:tc>
              <w:tc>
                <w:tcPr>
                  <w:tcW w:w="1235" w:type="pct"/>
                  <w:gridSpan w:val="2"/>
                  <w:tcBorders>
                    <w:tl2br w:val="nil"/>
                    <w:tr2bl w:val="nil"/>
                  </w:tcBorders>
                  <w:noWrap w:val="0"/>
                  <w:vAlign w:val="center"/>
                </w:tcPr>
                <w:p w14:paraId="439FED98">
                  <w:pPr>
                    <w:pStyle w:val="98"/>
                    <w:widowControl w:val="0"/>
                    <w:kinsoku/>
                    <w:autoSpaceDE/>
                    <w:autoSpaceDN/>
                    <w:adjustRightInd/>
                    <w:snapToGrid/>
                    <w:textAlignment w:val="auto"/>
                    <w:rPr>
                      <w:rFonts w:hint="eastAsia" w:ascii="Times New Roman" w:hAnsi="Times New Roman" w:cs="Times New Roman"/>
                      <w:snapToGrid/>
                      <w:color w:val="auto"/>
                      <w:kern w:val="2"/>
                      <w:szCs w:val="24"/>
                      <w:highlight w:val="none"/>
                      <w:lang w:eastAsia="zh-CN"/>
                    </w:rPr>
                  </w:pPr>
                  <w:r>
                    <w:rPr>
                      <w:rFonts w:hint="eastAsia" w:ascii="Times New Roman" w:hAnsi="Times New Roman" w:cs="Times New Roman"/>
                      <w:snapToGrid/>
                      <w:color w:val="auto"/>
                      <w:kern w:val="2"/>
                      <w:szCs w:val="24"/>
                      <w:highlight w:val="none"/>
                      <w:lang w:eastAsia="zh-CN"/>
                    </w:rPr>
                    <w:t>储罐堆场</w:t>
                  </w:r>
                </w:p>
              </w:tc>
              <w:tc>
                <w:tcPr>
                  <w:tcW w:w="3428" w:type="pct"/>
                  <w:tcBorders>
                    <w:tl2br w:val="nil"/>
                    <w:tr2bl w:val="nil"/>
                  </w:tcBorders>
                  <w:noWrap w:val="0"/>
                  <w:vAlign w:val="center"/>
                </w:tcPr>
                <w:p w14:paraId="5F087964">
                  <w:pPr>
                    <w:pStyle w:val="98"/>
                    <w:widowControl w:val="0"/>
                    <w:kinsoku/>
                    <w:autoSpaceDE/>
                    <w:autoSpaceDN/>
                    <w:adjustRightInd/>
                    <w:snapToGrid/>
                    <w:textAlignment w:val="auto"/>
                    <w:rPr>
                      <w:rFonts w:hint="default" w:ascii="Times New Roman" w:hAnsi="Times New Roman" w:eastAsia="宋体"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eastAsia="zh-CN"/>
                    </w:rPr>
                    <w:t>内设50m</w:t>
                  </w:r>
                  <w:r>
                    <w:rPr>
                      <w:rFonts w:hint="eastAsia" w:ascii="Times New Roman" w:hAnsi="Times New Roman" w:cs="Times New Roman"/>
                      <w:snapToGrid/>
                      <w:color w:val="auto"/>
                      <w:kern w:val="2"/>
                      <w:szCs w:val="24"/>
                      <w:highlight w:val="none"/>
                      <w:vertAlign w:val="superscript"/>
                      <w:lang w:eastAsia="zh-CN"/>
                    </w:rPr>
                    <w:t>3</w:t>
                  </w:r>
                  <w:r>
                    <w:rPr>
                      <w:rFonts w:hint="eastAsia" w:ascii="Times New Roman" w:hAnsi="Times New Roman" w:cs="Times New Roman"/>
                      <w:snapToGrid/>
                      <w:color w:val="auto"/>
                      <w:kern w:val="2"/>
                      <w:szCs w:val="24"/>
                      <w:highlight w:val="none"/>
                      <w:lang w:eastAsia="zh-CN"/>
                    </w:rPr>
                    <w:t>石油沥青储罐</w:t>
                  </w:r>
                  <w:r>
                    <w:rPr>
                      <w:rFonts w:hint="eastAsia" w:cs="Times New Roman"/>
                      <w:snapToGrid/>
                      <w:color w:val="auto"/>
                      <w:kern w:val="2"/>
                      <w:szCs w:val="24"/>
                      <w:highlight w:val="none"/>
                      <w:lang w:val="en-US" w:eastAsia="zh-CN"/>
                    </w:rPr>
                    <w:t>2</w:t>
                  </w:r>
                  <w:r>
                    <w:rPr>
                      <w:rFonts w:hint="eastAsia"/>
                      <w:color w:val="auto"/>
                      <w:highlight w:val="none"/>
                      <w:lang w:val="en-US" w:eastAsia="zh-CN"/>
                    </w:rPr>
                    <w:t>只；15m</w:t>
                  </w:r>
                  <w:r>
                    <w:rPr>
                      <w:rFonts w:hint="eastAsia"/>
                      <w:color w:val="auto"/>
                      <w:highlight w:val="none"/>
                      <w:vertAlign w:val="superscript"/>
                      <w:lang w:val="en-US" w:eastAsia="zh-CN"/>
                    </w:rPr>
                    <w:t>3</w:t>
                  </w:r>
                  <w:r>
                    <w:rPr>
                      <w:rFonts w:hint="eastAsia" w:ascii="Times New Roman" w:hAnsi="Times New Roman" w:cs="Times New Roman"/>
                      <w:snapToGrid/>
                      <w:color w:val="auto"/>
                      <w:kern w:val="2"/>
                      <w:szCs w:val="24"/>
                      <w:highlight w:val="none"/>
                      <w:lang w:eastAsia="zh-CN"/>
                    </w:rPr>
                    <w:t>石油沥青储罐</w:t>
                  </w:r>
                  <w:r>
                    <w:rPr>
                      <w:rFonts w:hint="eastAsia" w:cs="Times New Roman"/>
                      <w:snapToGrid/>
                      <w:color w:val="auto"/>
                      <w:kern w:val="2"/>
                      <w:szCs w:val="24"/>
                      <w:highlight w:val="none"/>
                      <w:lang w:val="en-US" w:eastAsia="zh-CN"/>
                    </w:rPr>
                    <w:t>2</w:t>
                  </w:r>
                  <w:r>
                    <w:rPr>
                      <w:rFonts w:hint="eastAsia"/>
                      <w:color w:val="auto"/>
                      <w:highlight w:val="none"/>
                      <w:lang w:val="en-US" w:eastAsia="zh-CN"/>
                    </w:rPr>
                    <w:t>只；20m</w:t>
                  </w:r>
                  <w:r>
                    <w:rPr>
                      <w:rFonts w:hint="eastAsia"/>
                      <w:color w:val="auto"/>
                      <w:highlight w:val="none"/>
                      <w:vertAlign w:val="superscript"/>
                      <w:lang w:val="en-US" w:eastAsia="zh-CN"/>
                    </w:rPr>
                    <w:t>3</w:t>
                  </w:r>
                  <w:r>
                    <w:rPr>
                      <w:rFonts w:hint="eastAsia"/>
                      <w:color w:val="auto"/>
                      <w:highlight w:val="none"/>
                      <w:lang w:val="en-US" w:eastAsia="zh-CN"/>
                    </w:rPr>
                    <w:t>乳化沥青成品罐2只；3m</w:t>
                  </w:r>
                  <w:r>
                    <w:rPr>
                      <w:rFonts w:hint="eastAsia"/>
                      <w:color w:val="auto"/>
                      <w:highlight w:val="none"/>
                      <w:vertAlign w:val="superscript"/>
                      <w:lang w:val="en-US" w:eastAsia="zh-CN"/>
                    </w:rPr>
                    <w:t>3</w:t>
                  </w:r>
                  <w:r>
                    <w:rPr>
                      <w:rFonts w:hint="eastAsia"/>
                      <w:color w:val="auto"/>
                      <w:highlight w:val="none"/>
                      <w:lang w:val="en-US" w:eastAsia="zh-CN"/>
                    </w:rPr>
                    <w:t>导热油炉罐4只</w:t>
                  </w:r>
                </w:p>
              </w:tc>
            </w:tr>
            <w:tr w14:paraId="0E092D2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336" w:type="pct"/>
                  <w:vMerge w:val="continue"/>
                  <w:tcBorders>
                    <w:tl2br w:val="nil"/>
                    <w:tr2bl w:val="nil"/>
                  </w:tcBorders>
                  <w:noWrap w:val="0"/>
                  <w:vAlign w:val="center"/>
                </w:tcPr>
                <w:p w14:paraId="0278FBE9">
                  <w:pPr>
                    <w:pStyle w:val="98"/>
                    <w:widowControl w:val="0"/>
                    <w:kinsoku/>
                    <w:autoSpaceDE/>
                    <w:autoSpaceDN/>
                    <w:adjustRightInd/>
                    <w:snapToGrid/>
                    <w:jc w:val="center"/>
                    <w:textAlignment w:val="auto"/>
                    <w:rPr>
                      <w:rFonts w:hint="eastAsia" w:ascii="Times New Roman" w:hAnsi="Times New Roman" w:cs="Times New Roman"/>
                      <w:snapToGrid/>
                      <w:color w:val="auto"/>
                      <w:kern w:val="2"/>
                      <w:szCs w:val="24"/>
                      <w:highlight w:val="none"/>
                      <w:lang w:eastAsia="zh-CN"/>
                    </w:rPr>
                  </w:pPr>
                </w:p>
              </w:tc>
              <w:tc>
                <w:tcPr>
                  <w:tcW w:w="1235" w:type="pct"/>
                  <w:gridSpan w:val="2"/>
                  <w:tcBorders>
                    <w:tl2br w:val="nil"/>
                    <w:tr2bl w:val="nil"/>
                  </w:tcBorders>
                  <w:noWrap w:val="0"/>
                  <w:vAlign w:val="center"/>
                </w:tcPr>
                <w:p w14:paraId="5C8EF76B">
                  <w:pPr>
                    <w:pStyle w:val="98"/>
                    <w:widowControl w:val="0"/>
                    <w:kinsoku/>
                    <w:autoSpaceDE/>
                    <w:autoSpaceDN/>
                    <w:adjustRightInd/>
                    <w:snapToGrid/>
                    <w:textAlignment w:val="auto"/>
                    <w:rPr>
                      <w:rFonts w:hint="eastAsia" w:ascii="Times New Roman" w:hAnsi="Times New Roman" w:cs="Times New Roman"/>
                      <w:snapToGrid/>
                      <w:color w:val="auto"/>
                      <w:kern w:val="2"/>
                      <w:szCs w:val="24"/>
                      <w:highlight w:val="none"/>
                      <w:lang w:eastAsia="zh-CN"/>
                    </w:rPr>
                  </w:pPr>
                  <w:r>
                    <w:rPr>
                      <w:rFonts w:hint="eastAsia" w:ascii="Times New Roman" w:hAnsi="Times New Roman" w:cs="Times New Roman"/>
                      <w:snapToGrid/>
                      <w:color w:val="auto"/>
                      <w:kern w:val="2"/>
                      <w:szCs w:val="24"/>
                      <w:highlight w:val="none"/>
                      <w:lang w:eastAsia="zh-CN"/>
                    </w:rPr>
                    <w:t>检验实验室</w:t>
                  </w:r>
                </w:p>
              </w:tc>
              <w:tc>
                <w:tcPr>
                  <w:tcW w:w="3428" w:type="pct"/>
                  <w:tcBorders>
                    <w:tl2br w:val="nil"/>
                    <w:tr2bl w:val="nil"/>
                  </w:tcBorders>
                  <w:noWrap w:val="0"/>
                  <w:vAlign w:val="center"/>
                </w:tcPr>
                <w:p w14:paraId="7693D780">
                  <w:pPr>
                    <w:pStyle w:val="98"/>
                    <w:widowControl w:val="0"/>
                    <w:kinsoku/>
                    <w:autoSpaceDE/>
                    <w:autoSpaceDN/>
                    <w:adjustRightInd/>
                    <w:snapToGrid/>
                    <w:textAlignment w:val="auto"/>
                    <w:rPr>
                      <w:rFonts w:hint="eastAsia" w:ascii="Times New Roman" w:hAnsi="Times New Roman" w:cs="Times New Roman"/>
                      <w:snapToGrid/>
                      <w:color w:val="auto"/>
                      <w:kern w:val="2"/>
                      <w:szCs w:val="24"/>
                      <w:highlight w:val="none"/>
                      <w:lang w:eastAsia="zh-CN"/>
                    </w:rPr>
                  </w:pPr>
                  <w:r>
                    <w:rPr>
                      <w:rFonts w:hint="eastAsia" w:ascii="Times New Roman" w:hAnsi="Times New Roman" w:cs="Times New Roman"/>
                      <w:snapToGrid/>
                      <w:color w:val="auto"/>
                      <w:kern w:val="2"/>
                      <w:szCs w:val="24"/>
                      <w:highlight w:val="none"/>
                      <w:lang w:eastAsia="zh-CN"/>
                    </w:rPr>
                    <w:t>对原料及产品进行化验</w:t>
                  </w:r>
                </w:p>
              </w:tc>
            </w:tr>
            <w:tr w14:paraId="319F711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336" w:type="pct"/>
                  <w:vMerge w:val="continue"/>
                  <w:tcBorders>
                    <w:tl2br w:val="nil"/>
                    <w:tr2bl w:val="nil"/>
                  </w:tcBorders>
                  <w:noWrap w:val="0"/>
                  <w:vAlign w:val="center"/>
                </w:tcPr>
                <w:p w14:paraId="25A72584">
                  <w:pPr>
                    <w:pStyle w:val="98"/>
                    <w:widowControl w:val="0"/>
                    <w:kinsoku/>
                    <w:autoSpaceDE/>
                    <w:autoSpaceDN/>
                    <w:adjustRightInd/>
                    <w:snapToGrid/>
                    <w:jc w:val="center"/>
                    <w:textAlignment w:val="auto"/>
                    <w:rPr>
                      <w:rFonts w:hint="eastAsia" w:ascii="Times New Roman" w:hAnsi="Times New Roman" w:cs="Times New Roman"/>
                      <w:snapToGrid/>
                      <w:color w:val="auto"/>
                      <w:kern w:val="2"/>
                      <w:szCs w:val="24"/>
                      <w:highlight w:val="none"/>
                      <w:lang w:eastAsia="zh-CN"/>
                    </w:rPr>
                  </w:pPr>
                </w:p>
              </w:tc>
              <w:tc>
                <w:tcPr>
                  <w:tcW w:w="1235" w:type="pct"/>
                  <w:gridSpan w:val="2"/>
                  <w:tcBorders>
                    <w:tl2br w:val="nil"/>
                    <w:tr2bl w:val="nil"/>
                  </w:tcBorders>
                  <w:noWrap w:val="0"/>
                  <w:vAlign w:val="center"/>
                </w:tcPr>
                <w:p w14:paraId="086653AC">
                  <w:pPr>
                    <w:pStyle w:val="98"/>
                    <w:widowControl w:val="0"/>
                    <w:kinsoku/>
                    <w:autoSpaceDE/>
                    <w:autoSpaceDN/>
                    <w:adjustRightInd/>
                    <w:snapToGrid/>
                    <w:ind w:firstLine="0" w:firstLineChars="0"/>
                    <w:textAlignment w:val="auto"/>
                    <w:rPr>
                      <w:rFonts w:hint="eastAsia" w:ascii="Times New Roman" w:hAnsi="Times New Roman" w:cs="Times New Roman"/>
                      <w:snapToGrid/>
                      <w:color w:val="auto"/>
                      <w:kern w:val="2"/>
                      <w:szCs w:val="24"/>
                      <w:highlight w:val="none"/>
                      <w:lang w:eastAsia="zh-CN"/>
                    </w:rPr>
                  </w:pPr>
                  <w:r>
                    <w:rPr>
                      <w:rFonts w:hint="eastAsia" w:ascii="Times New Roman" w:hAnsi="Times New Roman" w:cs="Times New Roman"/>
                      <w:snapToGrid/>
                      <w:color w:val="auto"/>
                      <w:kern w:val="2"/>
                      <w:szCs w:val="24"/>
                      <w:highlight w:val="none"/>
                      <w:lang w:eastAsia="zh-CN"/>
                    </w:rPr>
                    <w:t>办公楼</w:t>
                  </w:r>
                </w:p>
              </w:tc>
              <w:tc>
                <w:tcPr>
                  <w:tcW w:w="3428" w:type="pct"/>
                  <w:tcBorders>
                    <w:tl2br w:val="nil"/>
                    <w:tr2bl w:val="nil"/>
                  </w:tcBorders>
                  <w:noWrap w:val="0"/>
                  <w:vAlign w:val="center"/>
                </w:tcPr>
                <w:p w14:paraId="215E01A4">
                  <w:pPr>
                    <w:pStyle w:val="98"/>
                    <w:widowControl w:val="0"/>
                    <w:kinsoku/>
                    <w:autoSpaceDE/>
                    <w:autoSpaceDN/>
                    <w:adjustRightInd/>
                    <w:snapToGrid/>
                    <w:ind w:firstLine="0" w:firstLineChars="0"/>
                    <w:textAlignment w:val="auto"/>
                    <w:rPr>
                      <w:rFonts w:hint="eastAsia" w:ascii="Times New Roman" w:hAnsi="Times New Roman" w:cs="Times New Roman"/>
                      <w:snapToGrid/>
                      <w:color w:val="auto"/>
                      <w:kern w:val="2"/>
                      <w:szCs w:val="24"/>
                      <w:highlight w:val="none"/>
                      <w:lang w:eastAsia="zh-CN"/>
                    </w:rPr>
                  </w:pPr>
                  <w:r>
                    <w:rPr>
                      <w:rFonts w:hint="eastAsia" w:ascii="Times New Roman" w:hAnsi="Times New Roman" w:cs="Times New Roman"/>
                      <w:snapToGrid/>
                      <w:color w:val="auto"/>
                      <w:kern w:val="2"/>
                      <w:szCs w:val="24"/>
                      <w:highlight w:val="none"/>
                      <w:lang w:eastAsia="zh-CN"/>
                    </w:rPr>
                    <w:t>行政办公</w:t>
                  </w:r>
                  <w:r>
                    <w:rPr>
                      <w:rFonts w:hint="eastAsia" w:ascii="Times New Roman" w:hAnsi="Times New Roman" w:cs="Times New Roman"/>
                      <w:snapToGrid/>
                      <w:color w:val="auto"/>
                      <w:kern w:val="2"/>
                      <w:szCs w:val="24"/>
                      <w:highlight w:val="none"/>
                      <w:lang w:val="en-US" w:eastAsia="zh-CN"/>
                    </w:rPr>
                    <w:t>场所</w:t>
                  </w:r>
                </w:p>
              </w:tc>
            </w:tr>
            <w:tr w14:paraId="201F892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336" w:type="pct"/>
                  <w:vMerge w:val="continue"/>
                  <w:tcBorders>
                    <w:tl2br w:val="nil"/>
                    <w:tr2bl w:val="nil"/>
                  </w:tcBorders>
                  <w:noWrap w:val="0"/>
                  <w:vAlign w:val="center"/>
                </w:tcPr>
                <w:p w14:paraId="5157F632">
                  <w:pPr>
                    <w:pStyle w:val="98"/>
                    <w:widowControl w:val="0"/>
                    <w:kinsoku/>
                    <w:autoSpaceDE/>
                    <w:autoSpaceDN/>
                    <w:adjustRightInd/>
                    <w:snapToGrid/>
                    <w:jc w:val="center"/>
                    <w:textAlignment w:val="auto"/>
                    <w:rPr>
                      <w:rFonts w:hint="eastAsia" w:ascii="Times New Roman" w:hAnsi="Times New Roman" w:cs="Times New Roman"/>
                      <w:snapToGrid/>
                      <w:color w:val="auto"/>
                      <w:kern w:val="2"/>
                      <w:szCs w:val="24"/>
                      <w:highlight w:val="none"/>
                      <w:lang w:eastAsia="zh-CN"/>
                    </w:rPr>
                  </w:pPr>
                </w:p>
              </w:tc>
              <w:tc>
                <w:tcPr>
                  <w:tcW w:w="1235" w:type="pct"/>
                  <w:gridSpan w:val="2"/>
                  <w:tcBorders>
                    <w:tl2br w:val="nil"/>
                    <w:tr2bl w:val="nil"/>
                  </w:tcBorders>
                  <w:noWrap w:val="0"/>
                  <w:vAlign w:val="center"/>
                </w:tcPr>
                <w:p w14:paraId="2A57B2E4">
                  <w:pPr>
                    <w:pStyle w:val="98"/>
                    <w:widowControl w:val="0"/>
                    <w:kinsoku/>
                    <w:autoSpaceDE/>
                    <w:autoSpaceDN/>
                    <w:adjustRightInd/>
                    <w:snapToGrid/>
                    <w:ind w:firstLine="0" w:firstLineChars="0"/>
                    <w:textAlignment w:val="auto"/>
                    <w:rPr>
                      <w:rFonts w:hint="eastAsia" w:ascii="Times New Roman" w:hAnsi="Times New Roman" w:cs="Times New Roman"/>
                      <w:snapToGrid/>
                      <w:color w:val="auto"/>
                      <w:kern w:val="2"/>
                      <w:szCs w:val="24"/>
                      <w:highlight w:val="none"/>
                      <w:lang w:eastAsia="zh-CN"/>
                    </w:rPr>
                  </w:pPr>
                  <w:r>
                    <w:rPr>
                      <w:rFonts w:hint="eastAsia" w:ascii="Times New Roman" w:hAnsi="Times New Roman" w:cs="Times New Roman"/>
                      <w:snapToGrid/>
                      <w:color w:val="auto"/>
                      <w:kern w:val="2"/>
                      <w:szCs w:val="24"/>
                      <w:highlight w:val="none"/>
                      <w:lang w:val="en-US" w:eastAsia="zh-CN"/>
                    </w:rPr>
                    <w:t>宿舍楼</w:t>
                  </w:r>
                </w:p>
              </w:tc>
              <w:tc>
                <w:tcPr>
                  <w:tcW w:w="3428" w:type="pct"/>
                  <w:tcBorders>
                    <w:tl2br w:val="nil"/>
                    <w:tr2bl w:val="nil"/>
                  </w:tcBorders>
                  <w:noWrap w:val="0"/>
                  <w:vAlign w:val="center"/>
                </w:tcPr>
                <w:p w14:paraId="1BEF70F2">
                  <w:pPr>
                    <w:pStyle w:val="98"/>
                    <w:widowControl w:val="0"/>
                    <w:kinsoku/>
                    <w:autoSpaceDE/>
                    <w:autoSpaceDN/>
                    <w:adjustRightInd/>
                    <w:snapToGrid/>
                    <w:ind w:firstLine="0" w:firstLineChars="0"/>
                    <w:textAlignment w:val="auto"/>
                    <w:rPr>
                      <w:rFonts w:hint="eastAsia" w:ascii="Times New Roman" w:hAnsi="Times New Roman" w:cs="Times New Roman"/>
                      <w:snapToGrid/>
                      <w:color w:val="auto"/>
                      <w:kern w:val="2"/>
                      <w:szCs w:val="24"/>
                      <w:highlight w:val="none"/>
                      <w:lang w:eastAsia="zh-CN"/>
                    </w:rPr>
                  </w:pPr>
                  <w:r>
                    <w:rPr>
                      <w:rFonts w:hint="eastAsia" w:ascii="Times New Roman" w:hAnsi="Times New Roman" w:cs="Times New Roman"/>
                      <w:snapToGrid/>
                      <w:color w:val="auto"/>
                      <w:kern w:val="2"/>
                      <w:szCs w:val="24"/>
                      <w:highlight w:val="none"/>
                      <w:lang w:val="en-US" w:eastAsia="zh-CN"/>
                    </w:rPr>
                    <w:t>员工休息场所</w:t>
                  </w:r>
                </w:p>
              </w:tc>
            </w:tr>
            <w:tr w14:paraId="26B469A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336" w:type="pct"/>
                  <w:vMerge w:val="continue"/>
                  <w:tcBorders>
                    <w:tl2br w:val="nil"/>
                    <w:tr2bl w:val="nil"/>
                  </w:tcBorders>
                  <w:noWrap w:val="0"/>
                  <w:vAlign w:val="center"/>
                </w:tcPr>
                <w:p w14:paraId="363CBFA0">
                  <w:pPr>
                    <w:pStyle w:val="98"/>
                    <w:widowControl w:val="0"/>
                    <w:kinsoku/>
                    <w:autoSpaceDE/>
                    <w:autoSpaceDN/>
                    <w:adjustRightInd/>
                    <w:snapToGrid/>
                    <w:jc w:val="center"/>
                    <w:textAlignment w:val="auto"/>
                    <w:rPr>
                      <w:rFonts w:hint="eastAsia" w:ascii="Times New Roman" w:hAnsi="Times New Roman" w:cs="Times New Roman"/>
                      <w:snapToGrid/>
                      <w:color w:val="auto"/>
                      <w:kern w:val="2"/>
                      <w:szCs w:val="24"/>
                      <w:highlight w:val="none"/>
                      <w:lang w:eastAsia="zh-CN"/>
                    </w:rPr>
                  </w:pPr>
                </w:p>
              </w:tc>
              <w:tc>
                <w:tcPr>
                  <w:tcW w:w="1235" w:type="pct"/>
                  <w:gridSpan w:val="2"/>
                  <w:tcBorders>
                    <w:tl2br w:val="nil"/>
                    <w:tr2bl w:val="nil"/>
                  </w:tcBorders>
                  <w:noWrap w:val="0"/>
                  <w:vAlign w:val="center"/>
                </w:tcPr>
                <w:p w14:paraId="49FADDB4">
                  <w:pPr>
                    <w:pStyle w:val="98"/>
                    <w:widowControl w:val="0"/>
                    <w:kinsoku/>
                    <w:autoSpaceDE/>
                    <w:autoSpaceDN/>
                    <w:adjustRightInd/>
                    <w:snapToGrid/>
                    <w:ind w:firstLine="0" w:firstLineChars="0"/>
                    <w:textAlignment w:val="auto"/>
                    <w:rPr>
                      <w:rFonts w:hint="eastAsia" w:ascii="Times New Roman" w:hAnsi="Times New Roman" w:cs="Times New Roman"/>
                      <w:snapToGrid/>
                      <w:color w:val="auto"/>
                      <w:kern w:val="2"/>
                      <w:szCs w:val="24"/>
                      <w:highlight w:val="none"/>
                      <w:lang w:eastAsia="zh-CN"/>
                    </w:rPr>
                  </w:pPr>
                  <w:r>
                    <w:rPr>
                      <w:rFonts w:hint="eastAsia" w:ascii="Times New Roman" w:hAnsi="Times New Roman" w:cs="Times New Roman"/>
                      <w:snapToGrid/>
                      <w:color w:val="auto"/>
                      <w:kern w:val="2"/>
                      <w:szCs w:val="24"/>
                      <w:highlight w:val="none"/>
                      <w:lang w:val="en-US" w:eastAsia="zh-CN"/>
                    </w:rPr>
                    <w:t>食堂</w:t>
                  </w:r>
                </w:p>
              </w:tc>
              <w:tc>
                <w:tcPr>
                  <w:tcW w:w="3428" w:type="pct"/>
                  <w:tcBorders>
                    <w:tl2br w:val="nil"/>
                    <w:tr2bl w:val="nil"/>
                  </w:tcBorders>
                  <w:noWrap w:val="0"/>
                  <w:vAlign w:val="center"/>
                </w:tcPr>
                <w:p w14:paraId="7461EECF">
                  <w:pPr>
                    <w:pStyle w:val="98"/>
                    <w:widowControl w:val="0"/>
                    <w:kinsoku/>
                    <w:autoSpaceDE/>
                    <w:autoSpaceDN/>
                    <w:adjustRightInd/>
                    <w:snapToGrid/>
                    <w:ind w:firstLine="0" w:firstLineChars="0"/>
                    <w:textAlignment w:val="auto"/>
                    <w:rPr>
                      <w:rFonts w:hint="eastAsia" w:ascii="Times New Roman" w:hAnsi="Times New Roman" w:cs="Times New Roman"/>
                      <w:snapToGrid/>
                      <w:color w:val="auto"/>
                      <w:kern w:val="2"/>
                      <w:szCs w:val="24"/>
                      <w:highlight w:val="none"/>
                      <w:lang w:eastAsia="zh-CN"/>
                    </w:rPr>
                  </w:pPr>
                  <w:r>
                    <w:rPr>
                      <w:rFonts w:hint="eastAsia" w:ascii="Times New Roman" w:hAnsi="Times New Roman" w:cs="Times New Roman"/>
                      <w:snapToGrid/>
                      <w:color w:val="auto"/>
                      <w:kern w:val="2"/>
                      <w:szCs w:val="24"/>
                      <w:highlight w:val="none"/>
                      <w:lang w:val="en-US" w:eastAsia="zh-CN"/>
                    </w:rPr>
                    <w:t>住厂员工食堂</w:t>
                  </w:r>
                </w:p>
              </w:tc>
            </w:tr>
            <w:tr w14:paraId="26D7B42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336" w:type="pct"/>
                  <w:vMerge w:val="restart"/>
                  <w:tcBorders>
                    <w:tl2br w:val="nil"/>
                    <w:tr2bl w:val="nil"/>
                  </w:tcBorders>
                  <w:noWrap w:val="0"/>
                  <w:vAlign w:val="center"/>
                </w:tcPr>
                <w:p w14:paraId="3EC78FE4">
                  <w:pPr>
                    <w:pStyle w:val="98"/>
                    <w:widowControl w:val="0"/>
                    <w:kinsoku/>
                    <w:autoSpaceDE/>
                    <w:autoSpaceDN/>
                    <w:adjustRightInd/>
                    <w:snapToGrid/>
                    <w:jc w:val="center"/>
                    <w:textAlignment w:val="auto"/>
                    <w:rPr>
                      <w:rFonts w:hint="eastAsia" w:ascii="Times New Roman" w:hAnsi="Times New Roman" w:cs="Times New Roman"/>
                      <w:snapToGrid/>
                      <w:color w:val="auto"/>
                      <w:kern w:val="2"/>
                      <w:szCs w:val="24"/>
                      <w:highlight w:val="none"/>
                      <w:lang w:eastAsia="zh-CN"/>
                    </w:rPr>
                  </w:pPr>
                  <w:r>
                    <w:rPr>
                      <w:rFonts w:hint="eastAsia" w:ascii="Times New Roman" w:hAnsi="Times New Roman" w:cs="Times New Roman"/>
                      <w:snapToGrid/>
                      <w:color w:val="auto"/>
                      <w:kern w:val="2"/>
                      <w:szCs w:val="24"/>
                      <w:highlight w:val="none"/>
                      <w:lang w:eastAsia="zh-CN"/>
                    </w:rPr>
                    <w:t>公用 工程</w:t>
                  </w:r>
                </w:p>
              </w:tc>
              <w:tc>
                <w:tcPr>
                  <w:tcW w:w="1235" w:type="pct"/>
                  <w:gridSpan w:val="2"/>
                  <w:tcBorders>
                    <w:tl2br w:val="nil"/>
                    <w:tr2bl w:val="nil"/>
                  </w:tcBorders>
                  <w:noWrap w:val="0"/>
                  <w:vAlign w:val="center"/>
                </w:tcPr>
                <w:p w14:paraId="4871FC58">
                  <w:pPr>
                    <w:pStyle w:val="98"/>
                    <w:adjustRightInd/>
                    <w:snapToGrid/>
                    <w:ind w:firstLine="0" w:firstLineChars="0"/>
                    <w:rPr>
                      <w:rFonts w:hint="eastAsia" w:ascii="Times New Roman" w:hAnsi="Times New Roman" w:cs="Times New Roman"/>
                      <w:snapToGrid/>
                      <w:color w:val="auto"/>
                      <w:kern w:val="2"/>
                      <w:szCs w:val="24"/>
                      <w:highlight w:val="none"/>
                      <w:lang w:eastAsia="zh-CN"/>
                    </w:rPr>
                  </w:pPr>
                  <w:r>
                    <w:rPr>
                      <w:rFonts w:hint="eastAsia"/>
                      <w:color w:val="auto"/>
                      <w:szCs w:val="21"/>
                      <w:highlight w:val="none"/>
                    </w:rPr>
                    <w:t>供水</w:t>
                  </w:r>
                </w:p>
              </w:tc>
              <w:tc>
                <w:tcPr>
                  <w:tcW w:w="3428" w:type="pct"/>
                  <w:tcBorders>
                    <w:tl2br w:val="nil"/>
                    <w:tr2bl w:val="nil"/>
                  </w:tcBorders>
                  <w:noWrap w:val="0"/>
                  <w:vAlign w:val="center"/>
                </w:tcPr>
                <w:p w14:paraId="54ECABC3">
                  <w:pPr>
                    <w:pStyle w:val="98"/>
                    <w:adjustRightInd/>
                    <w:snapToGrid/>
                    <w:ind w:firstLine="0" w:firstLineChars="0"/>
                    <w:rPr>
                      <w:rFonts w:hint="eastAsia" w:ascii="Times New Roman" w:hAnsi="Times New Roman" w:cs="Times New Roman"/>
                      <w:snapToGrid/>
                      <w:color w:val="auto"/>
                      <w:kern w:val="2"/>
                      <w:szCs w:val="24"/>
                      <w:highlight w:val="none"/>
                      <w:lang w:eastAsia="zh-CN"/>
                    </w:rPr>
                  </w:pPr>
                  <w:r>
                    <w:rPr>
                      <w:rFonts w:hint="eastAsia"/>
                      <w:color w:val="auto"/>
                      <w:szCs w:val="21"/>
                      <w:highlight w:val="none"/>
                    </w:rPr>
                    <w:t>接市政供水管网</w:t>
                  </w:r>
                </w:p>
              </w:tc>
            </w:tr>
            <w:tr w14:paraId="38F31FC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336" w:type="pct"/>
                  <w:vMerge w:val="continue"/>
                  <w:tcBorders>
                    <w:tl2br w:val="nil"/>
                    <w:tr2bl w:val="nil"/>
                  </w:tcBorders>
                  <w:noWrap w:val="0"/>
                  <w:vAlign w:val="center"/>
                </w:tcPr>
                <w:p w14:paraId="6594948F">
                  <w:pPr>
                    <w:pStyle w:val="98"/>
                    <w:widowControl w:val="0"/>
                    <w:kinsoku/>
                    <w:autoSpaceDE/>
                    <w:autoSpaceDN/>
                    <w:adjustRightInd/>
                    <w:snapToGrid/>
                    <w:textAlignment w:val="auto"/>
                    <w:rPr>
                      <w:rFonts w:hint="eastAsia" w:ascii="Times New Roman" w:hAnsi="Times New Roman" w:cs="Times New Roman"/>
                      <w:snapToGrid/>
                      <w:color w:val="auto"/>
                      <w:kern w:val="2"/>
                      <w:szCs w:val="24"/>
                      <w:highlight w:val="none"/>
                      <w:lang w:eastAsia="zh-CN"/>
                    </w:rPr>
                  </w:pPr>
                </w:p>
              </w:tc>
              <w:tc>
                <w:tcPr>
                  <w:tcW w:w="1235" w:type="pct"/>
                  <w:gridSpan w:val="2"/>
                  <w:tcBorders>
                    <w:tl2br w:val="nil"/>
                    <w:tr2bl w:val="nil"/>
                  </w:tcBorders>
                  <w:noWrap w:val="0"/>
                  <w:vAlign w:val="center"/>
                </w:tcPr>
                <w:p w14:paraId="31D24A64">
                  <w:pPr>
                    <w:pStyle w:val="98"/>
                    <w:adjustRightInd/>
                    <w:snapToGrid/>
                    <w:ind w:firstLine="0" w:firstLineChars="0"/>
                    <w:rPr>
                      <w:rFonts w:hint="eastAsia" w:ascii="Times New Roman" w:hAnsi="Times New Roman" w:cs="Times New Roman"/>
                      <w:snapToGrid/>
                      <w:color w:val="auto"/>
                      <w:kern w:val="2"/>
                      <w:szCs w:val="24"/>
                      <w:highlight w:val="none"/>
                      <w:lang w:eastAsia="zh-CN"/>
                    </w:rPr>
                  </w:pPr>
                  <w:r>
                    <w:rPr>
                      <w:rFonts w:hint="eastAsia"/>
                      <w:color w:val="auto"/>
                      <w:szCs w:val="21"/>
                      <w:highlight w:val="none"/>
                    </w:rPr>
                    <w:t>排水</w:t>
                  </w:r>
                </w:p>
              </w:tc>
              <w:tc>
                <w:tcPr>
                  <w:tcW w:w="3428" w:type="pct"/>
                  <w:tcBorders>
                    <w:tl2br w:val="nil"/>
                    <w:tr2bl w:val="nil"/>
                  </w:tcBorders>
                  <w:noWrap w:val="0"/>
                  <w:vAlign w:val="center"/>
                </w:tcPr>
                <w:p w14:paraId="1F3810D1">
                  <w:pPr>
                    <w:pStyle w:val="98"/>
                    <w:adjustRightInd/>
                    <w:snapToGrid/>
                    <w:ind w:firstLine="0" w:firstLineChars="0"/>
                    <w:rPr>
                      <w:rFonts w:hint="default" w:ascii="Times New Roman" w:hAnsi="Times New Roman" w:eastAsia="宋体" w:cs="Times New Roman"/>
                      <w:iCs/>
                      <w:color w:val="auto"/>
                      <w:kern w:val="0"/>
                      <w:sz w:val="21"/>
                      <w:szCs w:val="21"/>
                      <w:highlight w:val="none"/>
                      <w:lang w:val="en-US" w:eastAsia="zh-CN"/>
                    </w:rPr>
                  </w:pPr>
                  <w:r>
                    <w:rPr>
                      <w:rFonts w:hint="eastAsia" w:ascii="Times New Roman" w:hAnsi="Times New Roman" w:eastAsia="宋体" w:cs="Times New Roman"/>
                      <w:iCs/>
                      <w:color w:val="auto"/>
                      <w:kern w:val="0"/>
                      <w:sz w:val="21"/>
                      <w:szCs w:val="21"/>
                      <w:highlight w:val="none"/>
                      <w:lang w:val="en-US" w:eastAsia="zh-CN"/>
                    </w:rPr>
                    <w:t>实行雨污分流；雨水经厂区雨水管收集后排入市政雨水管网；项目食堂废水经隔油池预处理后与</w:t>
                  </w:r>
                  <w:r>
                    <w:rPr>
                      <w:rFonts w:hint="eastAsia" w:ascii="Times New Roman" w:hAnsi="Times New Roman" w:eastAsia="宋体" w:cs="Times New Roman"/>
                      <w:iCs/>
                      <w:color w:val="auto"/>
                      <w:kern w:val="0"/>
                      <w:sz w:val="21"/>
                      <w:szCs w:val="21"/>
                      <w:highlight w:val="none"/>
                    </w:rPr>
                    <w:t>生活废水一起经</w:t>
                  </w:r>
                  <w:r>
                    <w:rPr>
                      <w:rFonts w:hint="eastAsia" w:ascii="Times New Roman" w:hAnsi="Times New Roman" w:eastAsia="宋体" w:cs="Times New Roman"/>
                      <w:iCs/>
                      <w:color w:val="auto"/>
                      <w:kern w:val="0"/>
                      <w:sz w:val="21"/>
                      <w:szCs w:val="21"/>
                      <w:highlight w:val="none"/>
                      <w:lang w:val="en-US" w:eastAsia="zh-CN"/>
                    </w:rPr>
                    <w:t>厂区</w:t>
                  </w:r>
                  <w:r>
                    <w:rPr>
                      <w:rFonts w:hint="eastAsia" w:ascii="Times New Roman" w:hAnsi="Times New Roman" w:eastAsia="宋体" w:cs="Times New Roman"/>
                      <w:iCs/>
                      <w:color w:val="auto"/>
                      <w:kern w:val="0"/>
                      <w:sz w:val="21"/>
                      <w:szCs w:val="21"/>
                      <w:highlight w:val="none"/>
                    </w:rPr>
                    <w:t>化粪池处理达</w:t>
                  </w:r>
                  <w:r>
                    <w:rPr>
                      <w:rFonts w:hint="eastAsia" w:ascii="Times New Roman" w:hAnsi="Times New Roman" w:eastAsia="宋体" w:cs="Times New Roman"/>
                      <w:iCs/>
                      <w:color w:val="auto"/>
                      <w:kern w:val="0"/>
                      <w:sz w:val="21"/>
                      <w:szCs w:val="21"/>
                      <w:highlight w:val="none"/>
                      <w:lang w:val="en-US" w:eastAsia="zh-CN"/>
                    </w:rPr>
                    <w:t>标</w:t>
                  </w:r>
                  <w:r>
                    <w:rPr>
                      <w:rFonts w:hint="eastAsia" w:ascii="Times New Roman" w:hAnsi="Times New Roman" w:eastAsia="宋体" w:cs="Times New Roman"/>
                      <w:iCs/>
                      <w:color w:val="auto"/>
                      <w:kern w:val="0"/>
                      <w:sz w:val="21"/>
                      <w:szCs w:val="21"/>
                      <w:highlight w:val="none"/>
                    </w:rPr>
                    <w:t>后排入市政污水管网</w:t>
                  </w:r>
                </w:p>
              </w:tc>
            </w:tr>
            <w:tr w14:paraId="36735D5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336" w:type="pct"/>
                  <w:vMerge w:val="continue"/>
                  <w:tcBorders>
                    <w:tl2br w:val="nil"/>
                    <w:tr2bl w:val="nil"/>
                  </w:tcBorders>
                  <w:noWrap w:val="0"/>
                  <w:vAlign w:val="center"/>
                </w:tcPr>
                <w:p w14:paraId="24620F55">
                  <w:pPr>
                    <w:pStyle w:val="98"/>
                    <w:widowControl w:val="0"/>
                    <w:kinsoku/>
                    <w:autoSpaceDE/>
                    <w:autoSpaceDN/>
                    <w:adjustRightInd/>
                    <w:snapToGrid/>
                    <w:textAlignment w:val="auto"/>
                    <w:rPr>
                      <w:rFonts w:hint="eastAsia" w:ascii="Times New Roman" w:hAnsi="Times New Roman" w:cs="Times New Roman"/>
                      <w:snapToGrid/>
                      <w:color w:val="auto"/>
                      <w:kern w:val="2"/>
                      <w:szCs w:val="24"/>
                      <w:highlight w:val="none"/>
                      <w:lang w:eastAsia="zh-CN"/>
                    </w:rPr>
                  </w:pPr>
                </w:p>
              </w:tc>
              <w:tc>
                <w:tcPr>
                  <w:tcW w:w="1235" w:type="pct"/>
                  <w:gridSpan w:val="2"/>
                  <w:tcBorders>
                    <w:tl2br w:val="nil"/>
                    <w:tr2bl w:val="nil"/>
                  </w:tcBorders>
                  <w:noWrap w:val="0"/>
                  <w:vAlign w:val="center"/>
                </w:tcPr>
                <w:p w14:paraId="41278143">
                  <w:pPr>
                    <w:pStyle w:val="98"/>
                    <w:adjustRightInd/>
                    <w:snapToGrid/>
                    <w:ind w:firstLine="0" w:firstLineChars="0"/>
                    <w:rPr>
                      <w:rFonts w:hint="eastAsia" w:ascii="Times New Roman" w:hAnsi="Times New Roman" w:cs="Times New Roman"/>
                      <w:snapToGrid/>
                      <w:color w:val="auto"/>
                      <w:kern w:val="2"/>
                      <w:szCs w:val="24"/>
                      <w:highlight w:val="none"/>
                      <w:lang w:eastAsia="zh-CN"/>
                    </w:rPr>
                  </w:pPr>
                  <w:r>
                    <w:rPr>
                      <w:rFonts w:hint="eastAsia"/>
                      <w:color w:val="auto"/>
                      <w:szCs w:val="21"/>
                      <w:highlight w:val="none"/>
                    </w:rPr>
                    <w:t>供电</w:t>
                  </w:r>
                </w:p>
              </w:tc>
              <w:tc>
                <w:tcPr>
                  <w:tcW w:w="3428" w:type="pct"/>
                  <w:tcBorders>
                    <w:tl2br w:val="nil"/>
                    <w:tr2bl w:val="nil"/>
                  </w:tcBorders>
                  <w:noWrap w:val="0"/>
                  <w:vAlign w:val="center"/>
                </w:tcPr>
                <w:p w14:paraId="0F97CA74">
                  <w:pPr>
                    <w:pStyle w:val="98"/>
                    <w:adjustRightInd/>
                    <w:snapToGrid/>
                    <w:ind w:firstLine="0" w:firstLineChars="0"/>
                    <w:rPr>
                      <w:rFonts w:hint="eastAsia" w:ascii="Times New Roman" w:hAnsi="Times New Roman" w:eastAsia="宋体" w:cs="Times New Roman"/>
                      <w:iCs/>
                      <w:color w:val="auto"/>
                      <w:kern w:val="0"/>
                      <w:sz w:val="21"/>
                      <w:szCs w:val="21"/>
                      <w:highlight w:val="none"/>
                      <w:lang w:val="en-US" w:eastAsia="zh-CN"/>
                    </w:rPr>
                  </w:pPr>
                  <w:r>
                    <w:rPr>
                      <w:rFonts w:hint="eastAsia" w:ascii="Times New Roman" w:hAnsi="Times New Roman" w:eastAsia="宋体" w:cs="Times New Roman"/>
                      <w:iCs/>
                      <w:color w:val="auto"/>
                      <w:kern w:val="0"/>
                      <w:sz w:val="21"/>
                      <w:szCs w:val="21"/>
                      <w:highlight w:val="none"/>
                      <w:lang w:val="en-US" w:eastAsia="zh-CN"/>
                    </w:rPr>
                    <w:t>接市政供电系统</w:t>
                  </w:r>
                </w:p>
              </w:tc>
            </w:tr>
            <w:tr w14:paraId="19CF649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336" w:type="pct"/>
                  <w:vMerge w:val="restart"/>
                  <w:tcBorders>
                    <w:tl2br w:val="nil"/>
                    <w:tr2bl w:val="nil"/>
                  </w:tcBorders>
                  <w:noWrap w:val="0"/>
                  <w:vAlign w:val="center"/>
                </w:tcPr>
                <w:p w14:paraId="4DC2E500">
                  <w:pPr>
                    <w:pStyle w:val="98"/>
                    <w:widowControl w:val="0"/>
                    <w:kinsoku/>
                    <w:autoSpaceDE/>
                    <w:autoSpaceDN/>
                    <w:adjustRightInd/>
                    <w:snapToGrid/>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环保工程</w:t>
                  </w:r>
                </w:p>
              </w:tc>
              <w:tc>
                <w:tcPr>
                  <w:tcW w:w="1235" w:type="pct"/>
                  <w:gridSpan w:val="2"/>
                  <w:tcBorders>
                    <w:tl2br w:val="nil"/>
                    <w:tr2bl w:val="nil"/>
                  </w:tcBorders>
                  <w:noWrap w:val="0"/>
                  <w:vAlign w:val="center"/>
                </w:tcPr>
                <w:p w14:paraId="68A39680">
                  <w:pPr>
                    <w:pStyle w:val="98"/>
                    <w:adjustRightInd/>
                    <w:snapToGrid/>
                    <w:ind w:firstLine="0" w:firstLineChars="0"/>
                    <w:rPr>
                      <w:rFonts w:hint="eastAsia"/>
                      <w:color w:val="auto"/>
                      <w:szCs w:val="21"/>
                      <w:highlight w:val="none"/>
                    </w:rPr>
                  </w:pPr>
                  <w:r>
                    <w:rPr>
                      <w:rFonts w:hint="eastAsia" w:ascii="Times New Roman" w:hAnsi="Times New Roman" w:eastAsia="宋体" w:cs="Times New Roman"/>
                      <w:color w:val="auto"/>
                      <w:szCs w:val="21"/>
                      <w:highlight w:val="none"/>
                    </w:rPr>
                    <w:t>废水治理</w:t>
                  </w:r>
                </w:p>
              </w:tc>
              <w:tc>
                <w:tcPr>
                  <w:tcW w:w="3428" w:type="pct"/>
                  <w:tcBorders>
                    <w:tl2br w:val="nil"/>
                    <w:tr2bl w:val="nil"/>
                  </w:tcBorders>
                  <w:noWrap w:val="0"/>
                  <w:vAlign w:val="center"/>
                </w:tcPr>
                <w:p w14:paraId="4FC1C6A4">
                  <w:pPr>
                    <w:pStyle w:val="98"/>
                    <w:adjustRightInd/>
                    <w:snapToGrid/>
                    <w:ind w:firstLine="0" w:firstLineChars="0"/>
                    <w:rPr>
                      <w:rFonts w:hint="default" w:ascii="Times New Roman" w:hAnsi="Times New Roman" w:eastAsia="宋体" w:cs="Times New Roman"/>
                      <w:iCs/>
                      <w:color w:val="auto"/>
                      <w:kern w:val="0"/>
                      <w:sz w:val="21"/>
                      <w:szCs w:val="21"/>
                      <w:highlight w:val="none"/>
                      <w:lang w:val="en-US" w:eastAsia="zh-CN"/>
                    </w:rPr>
                  </w:pPr>
                  <w:r>
                    <w:rPr>
                      <w:rFonts w:hint="eastAsia" w:ascii="Times New Roman" w:hAnsi="Times New Roman" w:eastAsia="宋体" w:cs="Times New Roman"/>
                      <w:iCs/>
                      <w:color w:val="auto"/>
                      <w:kern w:val="0"/>
                      <w:sz w:val="21"/>
                      <w:szCs w:val="21"/>
                      <w:highlight w:val="none"/>
                      <w:lang w:val="en-US" w:eastAsia="zh-CN"/>
                    </w:rPr>
                    <w:t>项目食堂废水经隔油池预处理后与</w:t>
                  </w:r>
                  <w:r>
                    <w:rPr>
                      <w:rFonts w:hint="eastAsia" w:ascii="Times New Roman" w:hAnsi="Times New Roman" w:eastAsia="宋体" w:cs="Times New Roman"/>
                      <w:iCs/>
                      <w:color w:val="auto"/>
                      <w:kern w:val="0"/>
                      <w:sz w:val="21"/>
                      <w:szCs w:val="21"/>
                      <w:highlight w:val="none"/>
                    </w:rPr>
                    <w:t>生活废水一起经</w:t>
                  </w:r>
                  <w:r>
                    <w:rPr>
                      <w:rFonts w:hint="eastAsia" w:ascii="Times New Roman" w:hAnsi="Times New Roman" w:eastAsia="宋体" w:cs="Times New Roman"/>
                      <w:iCs/>
                      <w:color w:val="auto"/>
                      <w:kern w:val="0"/>
                      <w:sz w:val="21"/>
                      <w:szCs w:val="21"/>
                      <w:highlight w:val="none"/>
                      <w:lang w:val="en-US" w:eastAsia="zh-CN"/>
                    </w:rPr>
                    <w:t>厂区</w:t>
                  </w:r>
                  <w:r>
                    <w:rPr>
                      <w:rFonts w:hint="eastAsia" w:ascii="Times New Roman" w:hAnsi="Times New Roman" w:eastAsia="宋体" w:cs="Times New Roman"/>
                      <w:iCs/>
                      <w:color w:val="auto"/>
                      <w:kern w:val="0"/>
                      <w:sz w:val="21"/>
                      <w:szCs w:val="21"/>
                      <w:highlight w:val="none"/>
                    </w:rPr>
                    <w:t>化粪池处理达</w:t>
                  </w:r>
                  <w:r>
                    <w:rPr>
                      <w:rFonts w:hint="eastAsia" w:ascii="Times New Roman" w:hAnsi="Times New Roman" w:eastAsia="宋体" w:cs="Times New Roman"/>
                      <w:iCs/>
                      <w:color w:val="auto"/>
                      <w:kern w:val="0"/>
                      <w:sz w:val="21"/>
                      <w:szCs w:val="21"/>
                      <w:highlight w:val="none"/>
                      <w:lang w:val="en-US" w:eastAsia="zh-CN"/>
                    </w:rPr>
                    <w:t>标</w:t>
                  </w:r>
                  <w:r>
                    <w:rPr>
                      <w:rFonts w:hint="eastAsia" w:ascii="Times New Roman" w:hAnsi="Times New Roman" w:eastAsia="宋体" w:cs="Times New Roman"/>
                      <w:iCs/>
                      <w:color w:val="auto"/>
                      <w:kern w:val="0"/>
                      <w:sz w:val="21"/>
                      <w:szCs w:val="21"/>
                      <w:highlight w:val="none"/>
                    </w:rPr>
                    <w:t>后排入市政污水管网</w:t>
                  </w:r>
                </w:p>
              </w:tc>
            </w:tr>
            <w:tr w14:paraId="55BFF25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336" w:type="pct"/>
                  <w:vMerge w:val="continue"/>
                  <w:tcBorders>
                    <w:tl2br w:val="nil"/>
                    <w:tr2bl w:val="nil"/>
                  </w:tcBorders>
                  <w:noWrap w:val="0"/>
                  <w:vAlign w:val="center"/>
                </w:tcPr>
                <w:p w14:paraId="531B7017">
                  <w:pPr>
                    <w:pStyle w:val="98"/>
                    <w:widowControl w:val="0"/>
                    <w:kinsoku/>
                    <w:autoSpaceDE/>
                    <w:autoSpaceDN/>
                    <w:adjustRightInd/>
                    <w:snapToGrid/>
                    <w:textAlignment w:val="auto"/>
                    <w:rPr>
                      <w:rFonts w:hint="eastAsia" w:ascii="Times New Roman" w:hAnsi="Times New Roman" w:cs="Times New Roman"/>
                      <w:snapToGrid/>
                      <w:color w:val="auto"/>
                      <w:kern w:val="2"/>
                      <w:szCs w:val="24"/>
                      <w:highlight w:val="none"/>
                      <w:lang w:eastAsia="zh-CN"/>
                    </w:rPr>
                  </w:pPr>
                </w:p>
              </w:tc>
              <w:tc>
                <w:tcPr>
                  <w:tcW w:w="1235" w:type="pct"/>
                  <w:gridSpan w:val="2"/>
                  <w:tcBorders>
                    <w:tl2br w:val="nil"/>
                    <w:tr2bl w:val="nil"/>
                  </w:tcBorders>
                  <w:noWrap w:val="0"/>
                  <w:vAlign w:val="center"/>
                </w:tcPr>
                <w:p w14:paraId="06C74297">
                  <w:pPr>
                    <w:pStyle w:val="98"/>
                    <w:adjustRightInd/>
                    <w:snapToGrid/>
                    <w:ind w:firstLine="0" w:firstLineChars="0"/>
                    <w:rPr>
                      <w:rFonts w:hint="eastAsia"/>
                      <w:color w:val="auto"/>
                      <w:szCs w:val="21"/>
                      <w:highlight w:val="none"/>
                    </w:rPr>
                  </w:pPr>
                  <w:r>
                    <w:rPr>
                      <w:rFonts w:hint="eastAsia"/>
                      <w:color w:val="auto"/>
                      <w:szCs w:val="21"/>
                      <w:highlight w:val="none"/>
                    </w:rPr>
                    <w:t>废气治理</w:t>
                  </w:r>
                </w:p>
              </w:tc>
              <w:tc>
                <w:tcPr>
                  <w:tcW w:w="3428" w:type="pct"/>
                  <w:tcBorders>
                    <w:tl2br w:val="nil"/>
                    <w:tr2bl w:val="nil"/>
                  </w:tcBorders>
                  <w:noWrap w:val="0"/>
                  <w:vAlign w:val="center"/>
                </w:tcPr>
                <w:p w14:paraId="6F5459BF">
                  <w:pPr>
                    <w:pStyle w:val="98"/>
                    <w:adjustRightInd/>
                    <w:snapToGrid/>
                    <w:ind w:firstLine="0" w:firstLineChars="0"/>
                    <w:rPr>
                      <w:rFonts w:hint="eastAsia"/>
                      <w:color w:val="auto"/>
                      <w:szCs w:val="21"/>
                      <w:highlight w:val="none"/>
                    </w:rPr>
                  </w:pPr>
                  <w:r>
                    <w:rPr>
                      <w:rFonts w:hint="eastAsia"/>
                      <w:color w:val="auto"/>
                      <w:highlight w:val="none"/>
                      <w:lang w:val="en-US" w:eastAsia="zh-CN"/>
                    </w:rPr>
                    <w:t>骨料卸料扬尘和骨料堆场扬尘通过水喷淋降尘；矿粉罐粉尘经配套“布袋除尘器”处理后排放；骨料烘干</w:t>
                  </w:r>
                  <w:r>
                    <w:rPr>
                      <w:rFonts w:hint="eastAsia"/>
                      <w:color w:val="auto"/>
                      <w:highlight w:val="none"/>
                    </w:rPr>
                    <w:t>废气</w:t>
                  </w:r>
                  <w:r>
                    <w:rPr>
                      <w:rFonts w:hint="eastAsia"/>
                      <w:color w:val="auto"/>
                      <w:highlight w:val="none"/>
                      <w:lang w:val="en-US" w:eastAsia="zh-CN"/>
                    </w:rPr>
                    <w:t>经负压收集后，通过“布袋除尘器”处理后分别由1根20m高排气筒（DA001、DA004）排放；导热油炉废气经“低氮燃烧”处理后分别通过1根8m高排气筒（DA002、DA005）排放；沥青烟废气经负压收集后经过“</w:t>
                  </w:r>
                  <w:r>
                    <w:rPr>
                      <w:rFonts w:hint="eastAsia" w:ascii="Times New Roman" w:hAnsi="Times New Roman" w:eastAsia="宋体"/>
                      <w:color w:val="auto"/>
                      <w:sz w:val="21"/>
                      <w:szCs w:val="21"/>
                      <w:highlight w:val="none"/>
                      <w:lang w:val="en-US" w:eastAsia="zh-CN"/>
                    </w:rPr>
                    <w:t>喷淋塔+除雾器+活性炭吸附装置</w:t>
                  </w:r>
                  <w:r>
                    <w:rPr>
                      <w:rFonts w:hint="eastAsia"/>
                      <w:color w:val="auto"/>
                      <w:highlight w:val="none"/>
                      <w:lang w:val="en-US" w:eastAsia="zh-CN"/>
                    </w:rPr>
                    <w:t>”处理后分别通过</w:t>
                  </w:r>
                  <w:r>
                    <w:rPr>
                      <w:rFonts w:hint="eastAsia" w:ascii="Times New Roman" w:hAnsi="Times New Roman" w:eastAsia="宋体" w:cs="Times New Roman"/>
                      <w:color w:val="auto"/>
                      <w:highlight w:val="none"/>
                      <w:lang w:val="en-US" w:eastAsia="zh-CN"/>
                    </w:rPr>
                    <w:t>1根15m高排气筒（DA003</w:t>
                  </w:r>
                  <w:r>
                    <w:rPr>
                      <w:rFonts w:hint="eastAsia"/>
                      <w:color w:val="auto"/>
                      <w:highlight w:val="none"/>
                      <w:lang w:val="en-US" w:eastAsia="zh-CN"/>
                    </w:rPr>
                    <w:t>、DA006</w:t>
                  </w:r>
                  <w:r>
                    <w:rPr>
                      <w:rFonts w:hint="eastAsia" w:ascii="Times New Roman" w:hAnsi="Times New Roman" w:eastAsia="宋体" w:cs="Times New Roman"/>
                      <w:color w:val="auto"/>
                      <w:highlight w:val="none"/>
                      <w:lang w:val="en-US" w:eastAsia="zh-CN"/>
                    </w:rPr>
                    <w:t>）排放；食堂油烟收集后经油烟净化器处理后通过专用油烟管道</w:t>
                  </w:r>
                  <w:r>
                    <w:rPr>
                      <w:rFonts w:hint="eastAsia" w:cs="Times New Roman"/>
                      <w:color w:val="auto"/>
                      <w:highlight w:val="none"/>
                      <w:lang w:val="en-US" w:eastAsia="zh-CN"/>
                    </w:rPr>
                    <w:t>（DA007）</w:t>
                  </w:r>
                  <w:r>
                    <w:rPr>
                      <w:rFonts w:hint="eastAsia" w:ascii="Times New Roman" w:hAnsi="Times New Roman" w:eastAsia="宋体" w:cs="Times New Roman"/>
                      <w:color w:val="auto"/>
                      <w:highlight w:val="none"/>
                      <w:lang w:val="en-US" w:eastAsia="zh-CN"/>
                    </w:rPr>
                    <w:t>引至屋面排放</w:t>
                  </w:r>
                </w:p>
              </w:tc>
            </w:tr>
            <w:tr w14:paraId="5CFAE53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336" w:type="pct"/>
                  <w:vMerge w:val="continue"/>
                  <w:tcBorders>
                    <w:tl2br w:val="nil"/>
                    <w:tr2bl w:val="nil"/>
                  </w:tcBorders>
                  <w:noWrap w:val="0"/>
                  <w:vAlign w:val="center"/>
                </w:tcPr>
                <w:p w14:paraId="535FC7D9">
                  <w:pPr>
                    <w:pStyle w:val="98"/>
                    <w:widowControl w:val="0"/>
                    <w:kinsoku/>
                    <w:autoSpaceDE/>
                    <w:autoSpaceDN/>
                    <w:adjustRightInd/>
                    <w:snapToGrid/>
                    <w:textAlignment w:val="auto"/>
                    <w:rPr>
                      <w:rFonts w:hint="eastAsia" w:ascii="Times New Roman" w:hAnsi="Times New Roman" w:cs="Times New Roman"/>
                      <w:snapToGrid/>
                      <w:color w:val="auto"/>
                      <w:kern w:val="2"/>
                      <w:szCs w:val="24"/>
                      <w:highlight w:val="none"/>
                      <w:lang w:eastAsia="zh-CN"/>
                    </w:rPr>
                  </w:pPr>
                </w:p>
              </w:tc>
              <w:tc>
                <w:tcPr>
                  <w:tcW w:w="1235" w:type="pct"/>
                  <w:gridSpan w:val="2"/>
                  <w:tcBorders>
                    <w:tl2br w:val="nil"/>
                    <w:tr2bl w:val="nil"/>
                  </w:tcBorders>
                  <w:noWrap w:val="0"/>
                  <w:vAlign w:val="center"/>
                </w:tcPr>
                <w:p w14:paraId="21A3345D">
                  <w:pPr>
                    <w:pStyle w:val="98"/>
                    <w:adjustRightInd/>
                    <w:snapToGrid/>
                    <w:ind w:firstLine="0" w:firstLineChars="0"/>
                    <w:rPr>
                      <w:rFonts w:hint="eastAsia"/>
                      <w:color w:val="auto"/>
                      <w:szCs w:val="21"/>
                      <w:highlight w:val="none"/>
                    </w:rPr>
                  </w:pPr>
                  <w:r>
                    <w:rPr>
                      <w:rFonts w:hint="eastAsia"/>
                      <w:color w:val="auto"/>
                      <w:szCs w:val="21"/>
                      <w:highlight w:val="none"/>
                    </w:rPr>
                    <w:t>固废处理处置</w:t>
                  </w:r>
                </w:p>
              </w:tc>
              <w:tc>
                <w:tcPr>
                  <w:tcW w:w="3428" w:type="pct"/>
                  <w:tcBorders>
                    <w:tl2br w:val="nil"/>
                    <w:tr2bl w:val="nil"/>
                  </w:tcBorders>
                  <w:noWrap w:val="0"/>
                  <w:vAlign w:val="center"/>
                </w:tcPr>
                <w:p w14:paraId="23DFD743">
                  <w:pPr>
                    <w:pStyle w:val="98"/>
                    <w:adjustRightInd/>
                    <w:snapToGrid/>
                    <w:ind w:firstLine="0" w:firstLineChars="0"/>
                    <w:rPr>
                      <w:rFonts w:hint="eastAsia" w:eastAsia="宋体"/>
                      <w:color w:val="auto"/>
                      <w:szCs w:val="21"/>
                      <w:highlight w:val="none"/>
                      <w:lang w:eastAsia="zh-CN"/>
                    </w:rPr>
                  </w:pPr>
                  <w:r>
                    <w:rPr>
                      <w:rFonts w:hint="eastAsia"/>
                      <w:color w:val="auto"/>
                      <w:szCs w:val="21"/>
                      <w:highlight w:val="none"/>
                    </w:rPr>
                    <w:t>一般工业固体废物妥善收集</w:t>
                  </w:r>
                  <w:r>
                    <w:rPr>
                      <w:rFonts w:hint="eastAsia"/>
                      <w:color w:val="auto"/>
                      <w:szCs w:val="21"/>
                      <w:highlight w:val="none"/>
                      <w:lang w:val="en-US" w:eastAsia="zh-CN"/>
                    </w:rPr>
                    <w:t>存放在暂存区</w:t>
                  </w:r>
                  <w:r>
                    <w:rPr>
                      <w:rFonts w:hint="eastAsia"/>
                      <w:color w:val="auto"/>
                      <w:szCs w:val="21"/>
                      <w:highlight w:val="none"/>
                    </w:rPr>
                    <w:t>后</w:t>
                  </w:r>
                  <w:r>
                    <w:rPr>
                      <w:rFonts w:hint="eastAsia"/>
                      <w:color w:val="auto"/>
                      <w:szCs w:val="21"/>
                      <w:highlight w:val="none"/>
                      <w:lang w:val="en-US" w:eastAsia="zh-CN"/>
                    </w:rPr>
                    <w:t>回用生产、外售综合利用或</w:t>
                  </w:r>
                  <w:r>
                    <w:rPr>
                      <w:rFonts w:hint="eastAsia"/>
                      <w:color w:val="auto"/>
                      <w:szCs w:val="21"/>
                      <w:highlight w:val="none"/>
                    </w:rPr>
                    <w:t>委托有资质单位统一处置</w:t>
                  </w:r>
                  <w:r>
                    <w:rPr>
                      <w:rFonts w:hint="eastAsia"/>
                      <w:color w:val="auto"/>
                      <w:szCs w:val="21"/>
                      <w:highlight w:val="none"/>
                      <w:lang w:eastAsia="zh-CN"/>
                    </w:rPr>
                    <w:t>；</w:t>
                  </w:r>
                  <w:r>
                    <w:rPr>
                      <w:rFonts w:hint="eastAsia"/>
                      <w:color w:val="auto"/>
                      <w:szCs w:val="21"/>
                      <w:highlight w:val="none"/>
                    </w:rPr>
                    <w:t>拟建</w:t>
                  </w:r>
                  <w:r>
                    <w:rPr>
                      <w:rFonts w:hint="eastAsia"/>
                      <w:color w:val="auto"/>
                      <w:szCs w:val="21"/>
                      <w:highlight w:val="none"/>
                      <w:lang w:val="en-US" w:eastAsia="zh-CN"/>
                    </w:rPr>
                    <w:t>20</w:t>
                  </w:r>
                  <w:r>
                    <w:rPr>
                      <w:rFonts w:hint="eastAsia"/>
                      <w:color w:val="auto"/>
                      <w:szCs w:val="21"/>
                      <w:highlight w:val="none"/>
                    </w:rPr>
                    <w:t>m</w:t>
                  </w:r>
                  <w:r>
                    <w:rPr>
                      <w:rFonts w:hint="eastAsia"/>
                      <w:color w:val="auto"/>
                      <w:szCs w:val="21"/>
                      <w:highlight w:val="none"/>
                      <w:vertAlign w:val="superscript"/>
                    </w:rPr>
                    <w:t>2</w:t>
                  </w:r>
                  <w:r>
                    <w:rPr>
                      <w:rFonts w:hint="eastAsia"/>
                      <w:color w:val="auto"/>
                      <w:szCs w:val="21"/>
                      <w:highlight w:val="none"/>
                    </w:rPr>
                    <w:t>危险废物</w:t>
                  </w:r>
                  <w:r>
                    <w:rPr>
                      <w:rFonts w:hint="eastAsia"/>
                      <w:color w:val="auto"/>
                      <w:szCs w:val="21"/>
                      <w:highlight w:val="none"/>
                      <w:lang w:val="en-US" w:eastAsia="zh-CN"/>
                    </w:rPr>
                    <w:t>贮存间</w:t>
                  </w:r>
                  <w:r>
                    <w:rPr>
                      <w:rFonts w:hint="eastAsia"/>
                      <w:color w:val="auto"/>
                      <w:szCs w:val="21"/>
                      <w:highlight w:val="none"/>
                    </w:rPr>
                    <w:t>用于危险废物的收集贮存，危险废物妥善收集后委托有资质单位统一处置</w:t>
                  </w:r>
                  <w:r>
                    <w:rPr>
                      <w:rFonts w:hint="eastAsia"/>
                      <w:color w:val="auto"/>
                      <w:szCs w:val="21"/>
                      <w:highlight w:val="none"/>
                      <w:lang w:eastAsia="zh-CN"/>
                    </w:rPr>
                    <w:t>；</w:t>
                  </w:r>
                  <w:r>
                    <w:rPr>
                      <w:rFonts w:hint="eastAsia"/>
                      <w:color w:val="auto"/>
                      <w:szCs w:val="21"/>
                      <w:highlight w:val="none"/>
                    </w:rPr>
                    <w:t>生活垃圾分类收集后委托环卫部门统一清运处置</w:t>
                  </w:r>
                </w:p>
              </w:tc>
            </w:tr>
            <w:tr w14:paraId="6C546C1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336" w:type="pct"/>
                  <w:vMerge w:val="continue"/>
                  <w:tcBorders>
                    <w:tl2br w:val="nil"/>
                    <w:tr2bl w:val="nil"/>
                  </w:tcBorders>
                  <w:noWrap w:val="0"/>
                  <w:vAlign w:val="center"/>
                </w:tcPr>
                <w:p w14:paraId="2AC1665E">
                  <w:pPr>
                    <w:pStyle w:val="98"/>
                    <w:widowControl w:val="0"/>
                    <w:kinsoku/>
                    <w:autoSpaceDE/>
                    <w:autoSpaceDN/>
                    <w:adjustRightInd/>
                    <w:snapToGrid/>
                    <w:textAlignment w:val="auto"/>
                    <w:rPr>
                      <w:rFonts w:hint="eastAsia" w:ascii="Times New Roman" w:hAnsi="Times New Roman" w:cs="Times New Roman"/>
                      <w:snapToGrid/>
                      <w:color w:val="auto"/>
                      <w:kern w:val="2"/>
                      <w:szCs w:val="24"/>
                      <w:highlight w:val="none"/>
                      <w:lang w:eastAsia="zh-CN"/>
                    </w:rPr>
                  </w:pPr>
                </w:p>
              </w:tc>
              <w:tc>
                <w:tcPr>
                  <w:tcW w:w="1235" w:type="pct"/>
                  <w:gridSpan w:val="2"/>
                  <w:tcBorders>
                    <w:tl2br w:val="nil"/>
                    <w:tr2bl w:val="nil"/>
                  </w:tcBorders>
                  <w:noWrap w:val="0"/>
                  <w:vAlign w:val="center"/>
                </w:tcPr>
                <w:p w14:paraId="11824D85">
                  <w:pPr>
                    <w:pStyle w:val="98"/>
                    <w:adjustRightInd/>
                    <w:snapToGrid/>
                    <w:ind w:firstLine="0" w:firstLineChars="0"/>
                    <w:rPr>
                      <w:rFonts w:hint="eastAsia"/>
                      <w:color w:val="auto"/>
                      <w:szCs w:val="21"/>
                      <w:highlight w:val="none"/>
                    </w:rPr>
                  </w:pPr>
                  <w:r>
                    <w:rPr>
                      <w:rFonts w:hint="eastAsia"/>
                      <w:color w:val="auto"/>
                      <w:szCs w:val="21"/>
                      <w:highlight w:val="none"/>
                    </w:rPr>
                    <w:t>噪声控制</w:t>
                  </w:r>
                </w:p>
              </w:tc>
              <w:tc>
                <w:tcPr>
                  <w:tcW w:w="3428" w:type="pct"/>
                  <w:tcBorders>
                    <w:tl2br w:val="nil"/>
                    <w:tr2bl w:val="nil"/>
                  </w:tcBorders>
                  <w:noWrap w:val="0"/>
                  <w:vAlign w:val="center"/>
                </w:tcPr>
                <w:p w14:paraId="11192CDC">
                  <w:pPr>
                    <w:pStyle w:val="98"/>
                    <w:adjustRightInd/>
                    <w:snapToGrid/>
                    <w:ind w:firstLine="0" w:firstLineChars="0"/>
                    <w:rPr>
                      <w:rFonts w:hint="eastAsia"/>
                      <w:color w:val="auto"/>
                      <w:szCs w:val="21"/>
                      <w:highlight w:val="none"/>
                    </w:rPr>
                  </w:pPr>
                  <w:r>
                    <w:rPr>
                      <w:rFonts w:hint="eastAsia" w:ascii="Times New Roman" w:hAnsi="Times New Roman" w:cs="Times New Roman"/>
                      <w:snapToGrid/>
                      <w:color w:val="auto"/>
                      <w:kern w:val="2"/>
                      <w:szCs w:val="24"/>
                      <w:highlight w:val="none"/>
                      <w:lang w:eastAsia="zh-CN"/>
                    </w:rPr>
                    <w:t>选用低噪声设备，利用厂房隔声、消声</w:t>
                  </w:r>
                </w:p>
              </w:tc>
            </w:tr>
          </w:tbl>
          <w:p w14:paraId="3DD12ADF">
            <w:pPr>
              <w:pStyle w:val="3"/>
              <w:rPr>
                <w:rFonts w:hint="eastAsia"/>
                <w:color w:val="auto"/>
                <w:highlight w:val="none"/>
              </w:rPr>
            </w:pPr>
            <w:bookmarkStart w:id="4" w:name="_Toc862"/>
            <w:bookmarkStart w:id="5" w:name="_Toc8337"/>
            <w:bookmarkStart w:id="6" w:name="_Toc3600"/>
            <w:bookmarkStart w:id="7" w:name="_Toc32599"/>
            <w:bookmarkStart w:id="8" w:name="_Toc10127"/>
            <w:r>
              <w:rPr>
                <w:rFonts w:hint="eastAsia"/>
                <w:color w:val="auto"/>
                <w:highlight w:val="none"/>
              </w:rPr>
              <w:t xml:space="preserve">2.3 </w:t>
            </w:r>
            <w:bookmarkEnd w:id="4"/>
            <w:bookmarkEnd w:id="5"/>
            <w:bookmarkEnd w:id="6"/>
            <w:bookmarkEnd w:id="7"/>
            <w:bookmarkEnd w:id="8"/>
            <w:r>
              <w:rPr>
                <w:rFonts w:hint="eastAsia" w:ascii="Times New Roman" w:hAnsi="Times New Roman" w:eastAsia="宋体" w:cs="Times New Roman"/>
                <w:color w:val="auto"/>
                <w:highlight w:val="none"/>
                <w:lang w:val="en-US" w:eastAsia="zh-CN"/>
              </w:rPr>
              <w:t>主要原辅材料及能源消耗</w:t>
            </w:r>
          </w:p>
          <w:p w14:paraId="75157061">
            <w:pPr>
              <w:bidi w:val="0"/>
              <w:rPr>
                <w:rFonts w:hint="eastAsia" w:eastAsia="宋体"/>
                <w:color w:val="auto"/>
                <w:highlight w:val="none"/>
                <w:lang w:eastAsia="zh-CN"/>
              </w:rPr>
            </w:pPr>
            <w:r>
              <w:rPr>
                <w:color w:val="auto"/>
                <w:highlight w:val="none"/>
              </w:rPr>
              <w:t>本项目主要生产产品、原辅材料及能源消耗详见表</w:t>
            </w:r>
            <w:r>
              <w:rPr>
                <w:rFonts w:hint="eastAsia"/>
                <w:color w:val="auto"/>
                <w:highlight w:val="none"/>
              </w:rPr>
              <w:t>2.3-1</w:t>
            </w:r>
            <w:r>
              <w:rPr>
                <w:rFonts w:hint="eastAsia"/>
                <w:color w:val="auto"/>
                <w:highlight w:val="none"/>
                <w:lang w:eastAsia="zh-CN"/>
              </w:rPr>
              <w:t>。</w:t>
            </w:r>
            <w:r>
              <w:rPr>
                <w:color w:val="auto"/>
                <w:highlight w:val="none"/>
              </w:rPr>
              <w:t>项目主要原辅材料理化性质见表2.3-2。</w:t>
            </w:r>
          </w:p>
          <w:p w14:paraId="174DC3F5">
            <w:pPr>
              <w:pStyle w:val="59"/>
              <w:ind w:left="0" w:firstLine="0" w:firstLineChars="0"/>
              <w:rPr>
                <w:color w:val="auto"/>
                <w:highlight w:val="none"/>
              </w:rPr>
            </w:pPr>
            <w:r>
              <w:rPr>
                <w:rFonts w:hint="eastAsia"/>
                <w:color w:val="auto"/>
                <w:highlight w:val="none"/>
              </w:rPr>
              <w:t xml:space="preserve">表2.3-1 </w:t>
            </w:r>
            <w:r>
              <w:rPr>
                <w:color w:val="auto"/>
                <w:highlight w:val="none"/>
              </w:rPr>
              <w:t>主要产品、原辅材料</w:t>
            </w:r>
            <w:r>
              <w:rPr>
                <w:rFonts w:hint="eastAsia"/>
                <w:color w:val="auto"/>
                <w:highlight w:val="none"/>
                <w:lang w:val="en-US" w:eastAsia="zh-CN"/>
              </w:rPr>
              <w:t>及能源消耗</w:t>
            </w:r>
            <w:r>
              <w:rPr>
                <w:color w:val="auto"/>
                <w:highlight w:val="none"/>
              </w:rPr>
              <w:t>一览表</w:t>
            </w:r>
          </w:p>
          <w:p w14:paraId="26043BA3">
            <w:pPr>
              <w:pStyle w:val="59"/>
              <w:ind w:left="0" w:firstLine="0" w:firstLineChars="0"/>
              <w:rPr>
                <w:rFonts w:hint="eastAsia"/>
                <w:color w:val="auto"/>
                <w:highlight w:val="none"/>
              </w:rPr>
            </w:pPr>
          </w:p>
          <w:p w14:paraId="71FAA3DD">
            <w:pPr>
              <w:pStyle w:val="59"/>
              <w:ind w:left="0" w:firstLine="0" w:firstLineChars="0"/>
              <w:rPr>
                <w:rFonts w:hint="eastAsia"/>
                <w:color w:val="auto"/>
                <w:highlight w:val="none"/>
                <w:lang w:val="en-US" w:eastAsia="zh-CN"/>
              </w:rPr>
            </w:pPr>
            <w:r>
              <w:rPr>
                <w:rFonts w:hint="eastAsia"/>
                <w:color w:val="auto"/>
                <w:highlight w:val="none"/>
              </w:rPr>
              <w:t>表2.3-2  主要原辅材料</w:t>
            </w:r>
            <w:r>
              <w:rPr>
                <w:rFonts w:hint="eastAsia"/>
                <w:color w:val="auto"/>
                <w:highlight w:val="none"/>
                <w:lang w:val="en-US" w:eastAsia="zh-CN"/>
              </w:rPr>
              <w:t>理化</w:t>
            </w:r>
            <w:r>
              <w:rPr>
                <w:rFonts w:hint="eastAsia"/>
                <w:color w:val="auto"/>
                <w:highlight w:val="none"/>
              </w:rPr>
              <w:t>性质</w:t>
            </w:r>
            <w:r>
              <w:rPr>
                <w:rFonts w:hint="eastAsia"/>
                <w:color w:val="auto"/>
                <w:highlight w:val="none"/>
                <w:lang w:val="en-US" w:eastAsia="zh-CN"/>
              </w:rPr>
              <w:t>一览表</w:t>
            </w:r>
          </w:p>
          <w:p w14:paraId="725772FF">
            <w:pPr>
              <w:pStyle w:val="3"/>
              <w:rPr>
                <w:rFonts w:hint="eastAsia"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2.</w:t>
            </w:r>
            <w:r>
              <w:rPr>
                <w:rFonts w:hint="eastAsia" w:ascii="Times New Roman" w:hAnsi="Times New Roman" w:eastAsia="宋体" w:cs="Times New Roman"/>
                <w:color w:val="auto"/>
                <w:highlight w:val="none"/>
                <w:lang w:val="en-US" w:eastAsia="zh-CN"/>
              </w:rPr>
              <w:t>4</w:t>
            </w:r>
            <w:r>
              <w:rPr>
                <w:rFonts w:hint="default" w:ascii="Times New Roman" w:hAnsi="Times New Roman" w:eastAsia="宋体" w:cs="Times New Roman"/>
                <w:color w:val="auto"/>
                <w:highlight w:val="none"/>
                <w:lang w:val="en-US" w:eastAsia="zh-CN"/>
              </w:rPr>
              <w:t xml:space="preserve"> </w:t>
            </w:r>
            <w:r>
              <w:rPr>
                <w:rFonts w:hint="eastAsia" w:ascii="Times New Roman" w:hAnsi="Times New Roman" w:eastAsia="宋体" w:cs="Times New Roman"/>
                <w:color w:val="auto"/>
                <w:highlight w:val="none"/>
                <w:lang w:val="en-US" w:eastAsia="zh-CN"/>
              </w:rPr>
              <w:t xml:space="preserve">主要生产设备 </w:t>
            </w:r>
          </w:p>
          <w:p w14:paraId="4DA4D4C1">
            <w:pPr>
              <w:keepNext w:val="0"/>
              <w:keepLines w:val="0"/>
              <w:widowControl/>
              <w:suppressLineNumbers w:val="0"/>
              <w:jc w:val="left"/>
              <w:rPr>
                <w:color w:val="auto"/>
                <w:highlight w:val="none"/>
              </w:rPr>
            </w:pPr>
            <w:r>
              <w:rPr>
                <w:rFonts w:hint="eastAsia"/>
                <w:color w:val="auto"/>
                <w:highlight w:val="none"/>
              </w:rPr>
              <w:t>本项目主要生产设备见表2.</w:t>
            </w:r>
            <w:r>
              <w:rPr>
                <w:rFonts w:hint="eastAsia"/>
                <w:color w:val="auto"/>
                <w:highlight w:val="none"/>
                <w:lang w:val="en-US" w:eastAsia="zh-CN"/>
              </w:rPr>
              <w:t>4-1以及表2.4-2</w:t>
            </w:r>
            <w:r>
              <w:rPr>
                <w:rFonts w:hint="eastAsia"/>
                <w:color w:val="auto"/>
                <w:highlight w:val="none"/>
              </w:rPr>
              <w:t>。</w:t>
            </w:r>
            <w:r>
              <w:rPr>
                <w:rFonts w:hint="eastAsia" w:ascii="宋体" w:hAnsi="宋体" w:eastAsia="宋体" w:cs="宋体"/>
                <w:color w:val="auto"/>
                <w:kern w:val="0"/>
                <w:sz w:val="24"/>
                <w:szCs w:val="24"/>
                <w:highlight w:val="none"/>
                <w:lang w:val="en-US" w:eastAsia="zh-CN" w:bidi="ar"/>
              </w:rPr>
              <w:t xml:space="preserve"> </w:t>
            </w:r>
          </w:p>
          <w:p w14:paraId="142C444D">
            <w:pPr>
              <w:pStyle w:val="59"/>
              <w:ind w:left="0" w:firstLine="0" w:firstLineChars="0"/>
              <w:rPr>
                <w:rFonts w:hint="eastAsia"/>
                <w:color w:val="auto"/>
                <w:highlight w:val="none"/>
              </w:rPr>
            </w:pPr>
            <w:r>
              <w:rPr>
                <w:rFonts w:hint="eastAsia"/>
                <w:color w:val="auto"/>
                <w:highlight w:val="none"/>
              </w:rPr>
              <w:t>表2.</w:t>
            </w:r>
            <w:r>
              <w:rPr>
                <w:rFonts w:hint="eastAsia"/>
                <w:color w:val="auto"/>
                <w:highlight w:val="none"/>
                <w:lang w:val="en-US" w:eastAsia="zh-CN"/>
              </w:rPr>
              <w:t>4-1</w:t>
            </w:r>
            <w:r>
              <w:rPr>
                <w:rFonts w:hint="eastAsia"/>
                <w:color w:val="auto"/>
                <w:highlight w:val="none"/>
              </w:rPr>
              <w:t xml:space="preserve"> </w:t>
            </w:r>
            <w:r>
              <w:rPr>
                <w:rFonts w:hint="eastAsia"/>
                <w:color w:val="auto"/>
                <w:highlight w:val="none"/>
                <w:lang w:val="en-US" w:eastAsia="zh-CN"/>
              </w:rPr>
              <w:t>项目一期</w:t>
            </w:r>
            <w:r>
              <w:rPr>
                <w:rFonts w:hint="eastAsia"/>
                <w:color w:val="auto"/>
                <w:highlight w:val="none"/>
              </w:rPr>
              <w:t>主要生产设备清单</w:t>
            </w:r>
          </w:p>
          <w:p w14:paraId="6208DC66">
            <w:pPr>
              <w:bidi w:val="0"/>
              <w:ind w:left="0" w:leftChars="0" w:firstLine="0" w:firstLineChars="0"/>
              <w:rPr>
                <w:rFonts w:hint="eastAsia"/>
                <w:color w:val="auto"/>
                <w:highlight w:val="none"/>
              </w:rPr>
            </w:pPr>
            <w:bookmarkStart w:id="9" w:name="_Toc1855"/>
            <w:bookmarkStart w:id="10" w:name="_Toc22449"/>
            <w:bookmarkStart w:id="11" w:name="_Toc693"/>
            <w:bookmarkStart w:id="12" w:name="_Toc5169"/>
            <w:bookmarkStart w:id="13" w:name="_Toc14335"/>
          </w:p>
          <w:p w14:paraId="3AF9BF6E">
            <w:pPr>
              <w:bidi w:val="0"/>
              <w:ind w:left="0" w:leftChars="0" w:firstLine="0" w:firstLineChars="0"/>
              <w:jc w:val="center"/>
              <w:rPr>
                <w:rFonts w:hint="eastAsia"/>
                <w:b/>
                <w:bCs/>
                <w:color w:val="auto"/>
                <w:highlight w:val="none"/>
              </w:rPr>
            </w:pPr>
            <w:r>
              <w:rPr>
                <w:rFonts w:hint="eastAsia"/>
                <w:b/>
                <w:bCs/>
                <w:color w:val="auto"/>
                <w:highlight w:val="none"/>
              </w:rPr>
              <w:t>表2.</w:t>
            </w:r>
            <w:r>
              <w:rPr>
                <w:rFonts w:hint="eastAsia"/>
                <w:b/>
                <w:bCs/>
                <w:color w:val="auto"/>
                <w:highlight w:val="none"/>
                <w:lang w:val="en-US" w:eastAsia="zh-CN"/>
              </w:rPr>
              <w:t>4-2</w:t>
            </w:r>
            <w:r>
              <w:rPr>
                <w:rFonts w:hint="eastAsia"/>
                <w:b/>
                <w:bCs/>
                <w:color w:val="auto"/>
                <w:highlight w:val="none"/>
              </w:rPr>
              <w:t xml:space="preserve"> </w:t>
            </w:r>
            <w:r>
              <w:rPr>
                <w:rFonts w:hint="eastAsia"/>
                <w:b/>
                <w:bCs/>
                <w:color w:val="auto"/>
                <w:highlight w:val="none"/>
                <w:lang w:val="en-US" w:eastAsia="zh-CN"/>
              </w:rPr>
              <w:t>项目二期</w:t>
            </w:r>
            <w:r>
              <w:rPr>
                <w:rFonts w:hint="eastAsia"/>
                <w:b/>
                <w:bCs/>
                <w:color w:val="auto"/>
                <w:highlight w:val="none"/>
              </w:rPr>
              <w:t>主要生产设备清单</w:t>
            </w:r>
          </w:p>
          <w:p w14:paraId="44CBE39C">
            <w:pPr>
              <w:pStyle w:val="3"/>
              <w:rPr>
                <w:rFonts w:hint="eastAsia"/>
                <w:color w:val="auto"/>
                <w:highlight w:val="none"/>
              </w:rPr>
            </w:pPr>
            <w:r>
              <w:rPr>
                <w:rFonts w:hint="eastAsia"/>
                <w:color w:val="auto"/>
                <w:highlight w:val="none"/>
              </w:rPr>
              <w:t>2.</w:t>
            </w:r>
            <w:r>
              <w:rPr>
                <w:rFonts w:hint="eastAsia"/>
                <w:color w:val="auto"/>
                <w:highlight w:val="none"/>
                <w:lang w:val="en-US" w:eastAsia="zh-CN"/>
              </w:rPr>
              <w:t>5</w:t>
            </w:r>
            <w:r>
              <w:rPr>
                <w:rFonts w:hint="eastAsia"/>
                <w:color w:val="auto"/>
                <w:highlight w:val="none"/>
              </w:rPr>
              <w:t xml:space="preserve"> 项目水平衡分析 </w:t>
            </w:r>
          </w:p>
          <w:p w14:paraId="1FA5A556">
            <w:pPr>
              <w:ind w:firstLine="480"/>
              <w:rPr>
                <w:color w:val="auto"/>
                <w:highlight w:val="none"/>
              </w:rPr>
            </w:pPr>
            <w:r>
              <w:rPr>
                <w:rFonts w:hint="eastAsia"/>
                <w:color w:val="auto"/>
                <w:highlight w:val="none"/>
              </w:rPr>
              <w:t>根据4.2.2章节，项目</w:t>
            </w:r>
            <w:r>
              <w:rPr>
                <w:rFonts w:hint="eastAsia"/>
                <w:color w:val="auto"/>
                <w:highlight w:val="none"/>
                <w:lang w:val="en-US" w:eastAsia="zh-CN"/>
              </w:rPr>
              <w:t>用水量</w:t>
            </w:r>
            <w:r>
              <w:rPr>
                <w:rFonts w:hint="eastAsia"/>
                <w:color w:val="auto"/>
                <w:highlight w:val="none"/>
              </w:rPr>
              <w:t>见表2.</w:t>
            </w:r>
            <w:r>
              <w:rPr>
                <w:rFonts w:hint="eastAsia"/>
                <w:color w:val="auto"/>
                <w:highlight w:val="none"/>
                <w:lang w:val="en-US" w:eastAsia="zh-CN"/>
              </w:rPr>
              <w:t>5</w:t>
            </w:r>
            <w:r>
              <w:rPr>
                <w:color w:val="auto"/>
                <w:highlight w:val="none"/>
              </w:rPr>
              <w:t>-</w:t>
            </w:r>
            <w:r>
              <w:rPr>
                <w:rFonts w:hint="eastAsia"/>
                <w:color w:val="auto"/>
                <w:highlight w:val="none"/>
              </w:rPr>
              <w:t>1和</w:t>
            </w:r>
            <w:r>
              <w:rPr>
                <w:rFonts w:hint="eastAsia"/>
                <w:color w:val="auto"/>
                <w:highlight w:val="none"/>
                <w:lang w:val="en-US" w:eastAsia="zh-CN"/>
              </w:rPr>
              <w:t>水平衡</w:t>
            </w:r>
            <w:r>
              <w:rPr>
                <w:rFonts w:hint="eastAsia"/>
                <w:color w:val="auto"/>
                <w:highlight w:val="none"/>
              </w:rPr>
              <w:t>图</w:t>
            </w:r>
            <w:r>
              <w:rPr>
                <w:rFonts w:hint="eastAsia"/>
                <w:color w:val="auto"/>
                <w:highlight w:val="none"/>
                <w:lang w:val="en-US" w:eastAsia="zh-CN"/>
              </w:rPr>
              <w:t>详见图</w:t>
            </w:r>
            <w:r>
              <w:rPr>
                <w:rFonts w:hint="eastAsia"/>
                <w:color w:val="auto"/>
                <w:highlight w:val="none"/>
              </w:rPr>
              <w:t>2.</w:t>
            </w:r>
            <w:r>
              <w:rPr>
                <w:rFonts w:hint="eastAsia"/>
                <w:color w:val="auto"/>
                <w:highlight w:val="none"/>
                <w:lang w:val="en-US" w:eastAsia="zh-CN"/>
              </w:rPr>
              <w:t>5</w:t>
            </w:r>
            <w:r>
              <w:rPr>
                <w:rFonts w:hint="eastAsia"/>
                <w:color w:val="auto"/>
                <w:highlight w:val="none"/>
              </w:rPr>
              <w:t>-1</w:t>
            </w:r>
            <w:r>
              <w:rPr>
                <w:rFonts w:hint="default" w:ascii="Times New Roman" w:hAnsi="Times New Roman" w:cs="Times New Roman"/>
                <w:color w:val="auto"/>
                <w:highlight w:val="none"/>
              </w:rPr>
              <w:t>~</w:t>
            </w:r>
            <w:r>
              <w:rPr>
                <w:rFonts w:hint="eastAsia"/>
                <w:color w:val="auto"/>
                <w:highlight w:val="none"/>
                <w:lang w:val="en-US" w:eastAsia="zh-CN"/>
              </w:rPr>
              <w:t>图2.5-2</w:t>
            </w:r>
            <w:r>
              <w:rPr>
                <w:rFonts w:hint="eastAsia"/>
                <w:color w:val="auto"/>
                <w:highlight w:val="none"/>
              </w:rPr>
              <w:t>。</w:t>
            </w:r>
          </w:p>
          <w:p w14:paraId="26263D64">
            <w:pPr>
              <w:ind w:firstLine="0" w:firstLineChars="0"/>
              <w:jc w:val="center"/>
              <w:rPr>
                <w:rFonts w:hint="eastAsia" w:eastAsia="宋体"/>
                <w:b/>
                <w:bCs/>
                <w:color w:val="auto"/>
                <w:highlight w:val="none"/>
                <w:lang w:val="en-US" w:eastAsia="zh-CN"/>
              </w:rPr>
            </w:pPr>
            <w:r>
              <w:rPr>
                <w:rFonts w:hint="eastAsia"/>
                <w:b/>
                <w:bCs/>
                <w:color w:val="auto"/>
                <w:highlight w:val="none"/>
                <w:lang w:val="zh-CN"/>
              </w:rPr>
              <w:t>表</w:t>
            </w:r>
            <w:r>
              <w:rPr>
                <w:rFonts w:hint="eastAsia"/>
                <w:b/>
                <w:bCs/>
                <w:color w:val="auto"/>
                <w:highlight w:val="none"/>
              </w:rPr>
              <w:t>2.</w:t>
            </w:r>
            <w:r>
              <w:rPr>
                <w:rFonts w:hint="eastAsia"/>
                <w:b/>
                <w:bCs/>
                <w:color w:val="auto"/>
                <w:highlight w:val="none"/>
                <w:lang w:val="en-US" w:eastAsia="zh-CN"/>
              </w:rPr>
              <w:t>5</w:t>
            </w:r>
            <w:r>
              <w:rPr>
                <w:rFonts w:hint="eastAsia"/>
                <w:b/>
                <w:bCs/>
                <w:color w:val="auto"/>
                <w:highlight w:val="none"/>
              </w:rPr>
              <w:t>-1</w:t>
            </w:r>
            <w:r>
              <w:rPr>
                <w:rFonts w:hint="eastAsia"/>
                <w:b/>
                <w:bCs/>
                <w:color w:val="auto"/>
                <w:highlight w:val="none"/>
                <w:lang w:val="zh-CN"/>
              </w:rPr>
              <w:t xml:space="preserve">  用水量统计表</w:t>
            </w:r>
            <w:r>
              <w:rPr>
                <w:rFonts w:hint="eastAsia"/>
                <w:b/>
                <w:bCs/>
                <w:color w:val="auto"/>
                <w:highlight w:val="none"/>
              </w:rPr>
              <w:t xml:space="preserve">  单位：</w:t>
            </w:r>
            <w:r>
              <w:rPr>
                <w:rFonts w:hint="eastAsia"/>
                <w:b/>
                <w:bCs/>
                <w:color w:val="auto"/>
                <w:highlight w:val="none"/>
                <w:lang w:val="zh-CN"/>
              </w:rPr>
              <w:t>m</w:t>
            </w:r>
            <w:r>
              <w:rPr>
                <w:rFonts w:hint="eastAsia"/>
                <w:b/>
                <w:bCs/>
                <w:color w:val="auto"/>
                <w:highlight w:val="none"/>
                <w:vertAlign w:val="superscript"/>
                <w:lang w:val="zh-CN"/>
              </w:rPr>
              <w:t>3</w:t>
            </w:r>
            <w:r>
              <w:rPr>
                <w:rFonts w:hint="eastAsia"/>
                <w:b/>
                <w:bCs/>
                <w:color w:val="auto"/>
                <w:highlight w:val="none"/>
                <w:lang w:val="zh-CN"/>
              </w:rPr>
              <w:t>/</w:t>
            </w:r>
            <w:r>
              <w:rPr>
                <w:rFonts w:hint="eastAsia"/>
                <w:b/>
                <w:bCs/>
                <w:color w:val="auto"/>
                <w:highlight w:val="none"/>
                <w:lang w:val="en-US" w:eastAsia="zh-CN"/>
              </w:rPr>
              <w:t>a</w:t>
            </w:r>
          </w:p>
          <w:tbl>
            <w:tblPr>
              <w:tblStyle w:val="27"/>
              <w:tblW w:w="761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77"/>
              <w:gridCol w:w="357"/>
              <w:gridCol w:w="725"/>
              <w:gridCol w:w="870"/>
              <w:gridCol w:w="4988"/>
            </w:tblGrid>
            <w:tr w14:paraId="7B90C3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0" w:hRule="atLeast"/>
              </w:trPr>
              <w:tc>
                <w:tcPr>
                  <w:tcW w:w="444" w:type="pct"/>
                  <w:noWrap w:val="0"/>
                  <w:tcMar>
                    <w:left w:w="57" w:type="dxa"/>
                    <w:right w:w="57" w:type="dxa"/>
                  </w:tcMar>
                  <w:vAlign w:val="center"/>
                </w:tcPr>
                <w:p w14:paraId="6D221161">
                  <w:pPr>
                    <w:pStyle w:val="98"/>
                    <w:adjustRightInd/>
                    <w:snapToGrid/>
                    <w:rPr>
                      <w:b/>
                      <w:bCs/>
                      <w:color w:val="auto"/>
                      <w:szCs w:val="21"/>
                      <w:highlight w:val="none"/>
                    </w:rPr>
                  </w:pPr>
                  <w:r>
                    <w:rPr>
                      <w:b/>
                      <w:bCs/>
                      <w:color w:val="auto"/>
                      <w:szCs w:val="21"/>
                      <w:highlight w:val="none"/>
                    </w:rPr>
                    <w:t>序号</w:t>
                  </w:r>
                </w:p>
              </w:tc>
              <w:tc>
                <w:tcPr>
                  <w:tcW w:w="710" w:type="pct"/>
                  <w:gridSpan w:val="2"/>
                  <w:noWrap w:val="0"/>
                  <w:tcMar>
                    <w:left w:w="57" w:type="dxa"/>
                    <w:right w:w="57" w:type="dxa"/>
                  </w:tcMar>
                  <w:vAlign w:val="center"/>
                </w:tcPr>
                <w:p w14:paraId="416A9867">
                  <w:pPr>
                    <w:pStyle w:val="98"/>
                    <w:adjustRightInd/>
                    <w:snapToGrid/>
                    <w:rPr>
                      <w:b/>
                      <w:bCs/>
                      <w:color w:val="auto"/>
                      <w:szCs w:val="21"/>
                      <w:highlight w:val="none"/>
                    </w:rPr>
                  </w:pPr>
                  <w:r>
                    <w:rPr>
                      <w:b/>
                      <w:bCs/>
                      <w:color w:val="auto"/>
                      <w:szCs w:val="21"/>
                      <w:highlight w:val="none"/>
                    </w:rPr>
                    <w:t>用水项目</w:t>
                  </w:r>
                </w:p>
              </w:tc>
              <w:tc>
                <w:tcPr>
                  <w:tcW w:w="571" w:type="pct"/>
                  <w:noWrap w:val="0"/>
                  <w:tcMar>
                    <w:left w:w="57" w:type="dxa"/>
                    <w:right w:w="57" w:type="dxa"/>
                  </w:tcMar>
                  <w:vAlign w:val="center"/>
                </w:tcPr>
                <w:p w14:paraId="4476DCB4">
                  <w:pPr>
                    <w:pStyle w:val="98"/>
                    <w:adjustRightInd/>
                    <w:snapToGrid/>
                    <w:rPr>
                      <w:b/>
                      <w:bCs/>
                      <w:color w:val="auto"/>
                      <w:szCs w:val="21"/>
                      <w:highlight w:val="none"/>
                    </w:rPr>
                  </w:pPr>
                  <w:r>
                    <w:rPr>
                      <w:b/>
                      <w:bCs/>
                      <w:color w:val="auto"/>
                      <w:szCs w:val="21"/>
                      <w:highlight w:val="none"/>
                    </w:rPr>
                    <w:t>用水量</w:t>
                  </w:r>
                </w:p>
              </w:tc>
              <w:tc>
                <w:tcPr>
                  <w:tcW w:w="3274" w:type="pct"/>
                  <w:noWrap w:val="0"/>
                  <w:tcMar>
                    <w:left w:w="57" w:type="dxa"/>
                    <w:right w:w="57" w:type="dxa"/>
                  </w:tcMar>
                  <w:vAlign w:val="center"/>
                </w:tcPr>
                <w:p w14:paraId="3884689E">
                  <w:pPr>
                    <w:pStyle w:val="98"/>
                    <w:adjustRightInd/>
                    <w:snapToGrid/>
                    <w:rPr>
                      <w:b/>
                      <w:bCs/>
                      <w:color w:val="auto"/>
                      <w:szCs w:val="21"/>
                      <w:highlight w:val="none"/>
                    </w:rPr>
                  </w:pPr>
                  <w:r>
                    <w:rPr>
                      <w:b/>
                      <w:bCs/>
                      <w:color w:val="auto"/>
                      <w:szCs w:val="21"/>
                      <w:highlight w:val="none"/>
                    </w:rPr>
                    <w:t>备注</w:t>
                  </w:r>
                </w:p>
              </w:tc>
            </w:tr>
            <w:tr w14:paraId="6A137A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4" w:hRule="atLeast"/>
              </w:trPr>
              <w:tc>
                <w:tcPr>
                  <w:tcW w:w="444" w:type="pct"/>
                  <w:vMerge w:val="restart"/>
                  <w:noWrap w:val="0"/>
                  <w:tcMar>
                    <w:left w:w="57" w:type="dxa"/>
                    <w:right w:w="57" w:type="dxa"/>
                  </w:tcMar>
                  <w:vAlign w:val="center"/>
                </w:tcPr>
                <w:p w14:paraId="19A979AB">
                  <w:pPr>
                    <w:pStyle w:val="98"/>
                    <w:adjustRightInd/>
                    <w:snapToGrid/>
                    <w:rPr>
                      <w:color w:val="auto"/>
                      <w:szCs w:val="21"/>
                      <w:highlight w:val="none"/>
                    </w:rPr>
                  </w:pPr>
                  <w:r>
                    <w:rPr>
                      <w:color w:val="auto"/>
                      <w:szCs w:val="21"/>
                      <w:highlight w:val="none"/>
                    </w:rPr>
                    <w:t>1</w:t>
                  </w:r>
                </w:p>
              </w:tc>
              <w:tc>
                <w:tcPr>
                  <w:tcW w:w="710" w:type="pct"/>
                  <w:gridSpan w:val="2"/>
                  <w:vMerge w:val="restart"/>
                  <w:noWrap w:val="0"/>
                  <w:tcMar>
                    <w:left w:w="57" w:type="dxa"/>
                    <w:right w:w="57" w:type="dxa"/>
                  </w:tcMar>
                  <w:vAlign w:val="center"/>
                </w:tcPr>
                <w:p w14:paraId="00163BEC">
                  <w:pPr>
                    <w:pStyle w:val="98"/>
                    <w:adjustRightInd/>
                    <w:snapToGrid/>
                    <w:rPr>
                      <w:rFonts w:hint="default" w:eastAsia="宋体"/>
                      <w:color w:val="auto"/>
                      <w:szCs w:val="21"/>
                      <w:highlight w:val="none"/>
                      <w:lang w:val="en-US" w:eastAsia="zh-CN"/>
                    </w:rPr>
                  </w:pPr>
                  <w:r>
                    <w:rPr>
                      <w:rFonts w:hint="eastAsia"/>
                      <w:color w:val="auto"/>
                      <w:highlight w:val="none"/>
                      <w:lang w:val="en-US" w:eastAsia="zh-CN"/>
                    </w:rPr>
                    <w:t>车辆冲洗用水</w:t>
                  </w:r>
                </w:p>
              </w:tc>
              <w:tc>
                <w:tcPr>
                  <w:tcW w:w="571" w:type="pct"/>
                  <w:noWrap w:val="0"/>
                  <w:tcMar>
                    <w:left w:w="57" w:type="dxa"/>
                    <w:right w:w="57" w:type="dxa"/>
                  </w:tcMar>
                  <w:vAlign w:val="center"/>
                </w:tcPr>
                <w:p w14:paraId="1E6B268E">
                  <w:pPr>
                    <w:pStyle w:val="98"/>
                    <w:adjustRightInd/>
                    <w:snapToGrid/>
                    <w:rPr>
                      <w:rFonts w:hint="default" w:eastAsia="宋体"/>
                      <w:color w:val="auto"/>
                      <w:szCs w:val="21"/>
                      <w:highlight w:val="none"/>
                      <w:lang w:val="en-US" w:eastAsia="zh-CN"/>
                    </w:rPr>
                  </w:pPr>
                  <w:r>
                    <w:rPr>
                      <w:rFonts w:hint="eastAsia"/>
                      <w:color w:val="auto"/>
                      <w:szCs w:val="21"/>
                      <w:highlight w:val="none"/>
                      <w:lang w:val="en-US" w:eastAsia="zh-CN"/>
                    </w:rPr>
                    <w:t>124.8</w:t>
                  </w:r>
                </w:p>
              </w:tc>
              <w:tc>
                <w:tcPr>
                  <w:tcW w:w="3274" w:type="pct"/>
                  <w:noWrap w:val="0"/>
                  <w:tcMar>
                    <w:left w:w="57" w:type="dxa"/>
                    <w:right w:w="57" w:type="dxa"/>
                  </w:tcMar>
                  <w:vAlign w:val="center"/>
                </w:tcPr>
                <w:p w14:paraId="5CA25861">
                  <w:pPr>
                    <w:pStyle w:val="98"/>
                    <w:adjustRightInd/>
                    <w:snapToGrid/>
                    <w:rPr>
                      <w:rFonts w:hint="default" w:eastAsia="宋体"/>
                      <w:color w:val="auto"/>
                      <w:szCs w:val="21"/>
                      <w:highlight w:val="none"/>
                      <w:lang w:val="en-US" w:eastAsia="zh-CN"/>
                    </w:rPr>
                  </w:pPr>
                  <w:r>
                    <w:rPr>
                      <w:rFonts w:hint="eastAsia"/>
                      <w:color w:val="auto"/>
                      <w:szCs w:val="21"/>
                      <w:highlight w:val="none"/>
                      <w:lang w:val="en-US" w:eastAsia="zh-CN"/>
                    </w:rPr>
                    <w:t>一期项目用水量。</w:t>
                  </w:r>
                  <w:r>
                    <w:rPr>
                      <w:rFonts w:hint="eastAsia"/>
                      <w:color w:val="auto"/>
                      <w:szCs w:val="21"/>
                      <w:highlight w:val="none"/>
                    </w:rPr>
                    <w:t>废水经沉淀后循环使用，定期补充新水。</w:t>
                  </w:r>
                  <w:r>
                    <w:rPr>
                      <w:rFonts w:hint="eastAsia"/>
                      <w:color w:val="auto"/>
                      <w:highlight w:val="none"/>
                      <w:lang w:val="en-US" w:eastAsia="zh-CN"/>
                    </w:rPr>
                    <w:t>循环水量为4.68m</w:t>
                  </w:r>
                  <w:r>
                    <w:rPr>
                      <w:rFonts w:hint="eastAsia"/>
                      <w:color w:val="auto"/>
                      <w:highlight w:val="none"/>
                      <w:vertAlign w:val="superscript"/>
                      <w:lang w:val="en-US" w:eastAsia="zh-CN"/>
                    </w:rPr>
                    <w:t>3</w:t>
                  </w:r>
                  <w:r>
                    <w:rPr>
                      <w:rFonts w:hint="eastAsia"/>
                      <w:color w:val="auto"/>
                      <w:highlight w:val="none"/>
                      <w:lang w:val="en-US" w:eastAsia="zh-CN"/>
                    </w:rPr>
                    <w:t>。</w:t>
                  </w:r>
                </w:p>
              </w:tc>
            </w:tr>
            <w:tr w14:paraId="119808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4" w:hRule="atLeast"/>
              </w:trPr>
              <w:tc>
                <w:tcPr>
                  <w:tcW w:w="444" w:type="pct"/>
                  <w:vMerge w:val="continue"/>
                  <w:noWrap w:val="0"/>
                  <w:tcMar>
                    <w:left w:w="57" w:type="dxa"/>
                    <w:right w:w="57" w:type="dxa"/>
                  </w:tcMar>
                  <w:vAlign w:val="center"/>
                </w:tcPr>
                <w:p w14:paraId="0FA7DE4D">
                  <w:pPr>
                    <w:pStyle w:val="98"/>
                    <w:adjustRightInd/>
                    <w:snapToGrid/>
                    <w:rPr>
                      <w:color w:val="auto"/>
                      <w:szCs w:val="21"/>
                      <w:highlight w:val="none"/>
                    </w:rPr>
                  </w:pPr>
                </w:p>
              </w:tc>
              <w:tc>
                <w:tcPr>
                  <w:tcW w:w="710" w:type="pct"/>
                  <w:gridSpan w:val="2"/>
                  <w:vMerge w:val="continue"/>
                  <w:noWrap w:val="0"/>
                  <w:tcMar>
                    <w:left w:w="57" w:type="dxa"/>
                    <w:right w:w="57" w:type="dxa"/>
                  </w:tcMar>
                  <w:vAlign w:val="center"/>
                </w:tcPr>
                <w:p w14:paraId="572ADF9B">
                  <w:pPr>
                    <w:pStyle w:val="98"/>
                    <w:adjustRightInd/>
                    <w:snapToGrid/>
                    <w:rPr>
                      <w:rFonts w:hint="eastAsia"/>
                      <w:color w:val="auto"/>
                      <w:highlight w:val="none"/>
                      <w:lang w:val="en-US" w:eastAsia="zh-CN"/>
                    </w:rPr>
                  </w:pPr>
                </w:p>
              </w:tc>
              <w:tc>
                <w:tcPr>
                  <w:tcW w:w="571" w:type="pct"/>
                  <w:noWrap w:val="0"/>
                  <w:tcMar>
                    <w:left w:w="57" w:type="dxa"/>
                    <w:right w:w="57" w:type="dxa"/>
                  </w:tcMar>
                  <w:vAlign w:val="center"/>
                </w:tcPr>
                <w:p w14:paraId="44F25F09">
                  <w:pPr>
                    <w:pStyle w:val="98"/>
                    <w:adjustRightInd/>
                    <w:snapToGrid/>
                    <w:rPr>
                      <w:rFonts w:hint="default"/>
                      <w:color w:val="auto"/>
                      <w:kern w:val="0"/>
                      <w:highlight w:val="none"/>
                      <w:lang w:val="en-US" w:eastAsia="zh-CN" w:bidi="ar"/>
                    </w:rPr>
                  </w:pPr>
                  <w:r>
                    <w:rPr>
                      <w:rFonts w:hint="eastAsia"/>
                      <w:color w:val="auto"/>
                      <w:kern w:val="0"/>
                      <w:highlight w:val="none"/>
                      <w:lang w:val="en-US" w:eastAsia="zh-CN" w:bidi="ar"/>
                    </w:rPr>
                    <w:t>369.6</w:t>
                  </w:r>
                </w:p>
              </w:tc>
              <w:tc>
                <w:tcPr>
                  <w:tcW w:w="3274" w:type="pct"/>
                  <w:noWrap w:val="0"/>
                  <w:tcMar>
                    <w:left w:w="57" w:type="dxa"/>
                    <w:right w:w="57" w:type="dxa"/>
                  </w:tcMar>
                  <w:vAlign w:val="center"/>
                </w:tcPr>
                <w:p w14:paraId="0FD30B4A">
                  <w:pPr>
                    <w:pStyle w:val="98"/>
                    <w:adjustRightInd/>
                    <w:snapToGrid/>
                    <w:rPr>
                      <w:rFonts w:hint="eastAsia"/>
                      <w:color w:val="auto"/>
                      <w:szCs w:val="21"/>
                      <w:highlight w:val="none"/>
                    </w:rPr>
                  </w:pPr>
                  <w:r>
                    <w:rPr>
                      <w:rFonts w:hint="eastAsia"/>
                      <w:color w:val="auto"/>
                      <w:szCs w:val="21"/>
                      <w:highlight w:val="none"/>
                      <w:lang w:val="en-US" w:eastAsia="zh-CN"/>
                    </w:rPr>
                    <w:t>全厂项目用水量。</w:t>
                  </w:r>
                  <w:r>
                    <w:rPr>
                      <w:rFonts w:hint="eastAsia"/>
                      <w:color w:val="auto"/>
                      <w:szCs w:val="21"/>
                      <w:highlight w:val="none"/>
                    </w:rPr>
                    <w:t>废水经沉淀后循环使用，定期补充新水。</w:t>
                  </w:r>
                  <w:r>
                    <w:rPr>
                      <w:rFonts w:hint="eastAsia"/>
                      <w:color w:val="auto"/>
                      <w:highlight w:val="none"/>
                      <w:lang w:val="en-US" w:eastAsia="zh-CN"/>
                    </w:rPr>
                    <w:t>循环水量为13.86m</w:t>
                  </w:r>
                  <w:r>
                    <w:rPr>
                      <w:rFonts w:hint="eastAsia"/>
                      <w:color w:val="auto"/>
                      <w:highlight w:val="none"/>
                      <w:vertAlign w:val="superscript"/>
                      <w:lang w:val="en-US" w:eastAsia="zh-CN"/>
                    </w:rPr>
                    <w:t>3</w:t>
                  </w:r>
                  <w:r>
                    <w:rPr>
                      <w:rFonts w:hint="eastAsia"/>
                      <w:color w:val="auto"/>
                      <w:highlight w:val="none"/>
                      <w:lang w:val="en-US" w:eastAsia="zh-CN"/>
                    </w:rPr>
                    <w:t>。</w:t>
                  </w:r>
                </w:p>
              </w:tc>
            </w:tr>
            <w:tr w14:paraId="681005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02" w:hRule="atLeast"/>
              </w:trPr>
              <w:tc>
                <w:tcPr>
                  <w:tcW w:w="444" w:type="pct"/>
                  <w:noWrap w:val="0"/>
                  <w:tcMar>
                    <w:left w:w="57" w:type="dxa"/>
                    <w:right w:w="57" w:type="dxa"/>
                  </w:tcMar>
                  <w:vAlign w:val="center"/>
                </w:tcPr>
                <w:p w14:paraId="0898CFF0">
                  <w:pPr>
                    <w:pStyle w:val="98"/>
                    <w:adjustRightInd/>
                    <w:snapToGrid/>
                    <w:rPr>
                      <w:color w:val="auto"/>
                      <w:szCs w:val="21"/>
                      <w:highlight w:val="none"/>
                    </w:rPr>
                  </w:pPr>
                  <w:r>
                    <w:rPr>
                      <w:color w:val="auto"/>
                      <w:szCs w:val="21"/>
                      <w:highlight w:val="none"/>
                    </w:rPr>
                    <w:t>2</w:t>
                  </w:r>
                </w:p>
              </w:tc>
              <w:tc>
                <w:tcPr>
                  <w:tcW w:w="710" w:type="pct"/>
                  <w:gridSpan w:val="2"/>
                  <w:noWrap w:val="0"/>
                  <w:tcMar>
                    <w:left w:w="57" w:type="dxa"/>
                    <w:right w:w="57" w:type="dxa"/>
                  </w:tcMar>
                  <w:vAlign w:val="center"/>
                </w:tcPr>
                <w:p w14:paraId="1D55C932">
                  <w:pPr>
                    <w:pStyle w:val="98"/>
                    <w:adjustRightInd/>
                    <w:snapToGrid/>
                    <w:rPr>
                      <w:rFonts w:hint="default" w:eastAsia="宋体"/>
                      <w:color w:val="auto"/>
                      <w:szCs w:val="21"/>
                      <w:highlight w:val="none"/>
                      <w:lang w:val="en-US" w:eastAsia="zh-CN"/>
                    </w:rPr>
                  </w:pPr>
                  <w:r>
                    <w:rPr>
                      <w:rFonts w:hint="eastAsia"/>
                      <w:color w:val="auto"/>
                      <w:highlight w:val="none"/>
                      <w:lang w:val="en-US" w:eastAsia="zh-CN"/>
                    </w:rPr>
                    <w:t>降尘用水</w:t>
                  </w:r>
                </w:p>
              </w:tc>
              <w:tc>
                <w:tcPr>
                  <w:tcW w:w="571" w:type="pct"/>
                  <w:noWrap w:val="0"/>
                  <w:tcMar>
                    <w:left w:w="57" w:type="dxa"/>
                    <w:right w:w="57" w:type="dxa"/>
                  </w:tcMar>
                  <w:vAlign w:val="center"/>
                </w:tcPr>
                <w:p w14:paraId="46CFEF8F">
                  <w:pPr>
                    <w:pStyle w:val="98"/>
                    <w:adjustRightInd/>
                    <w:snapToGrid/>
                    <w:rPr>
                      <w:rFonts w:hint="default" w:eastAsia="宋体"/>
                      <w:color w:val="auto"/>
                      <w:kern w:val="0"/>
                      <w:highlight w:val="none"/>
                      <w:lang w:val="en-US" w:eastAsia="zh-CN" w:bidi="ar"/>
                    </w:rPr>
                  </w:pPr>
                  <w:r>
                    <w:rPr>
                      <w:rFonts w:hint="eastAsia"/>
                      <w:color w:val="auto"/>
                      <w:kern w:val="0"/>
                      <w:highlight w:val="none"/>
                      <w:lang w:val="en-US" w:eastAsia="zh-CN" w:bidi="ar"/>
                    </w:rPr>
                    <w:t>1641.6</w:t>
                  </w:r>
                </w:p>
              </w:tc>
              <w:tc>
                <w:tcPr>
                  <w:tcW w:w="3274" w:type="pct"/>
                  <w:noWrap w:val="0"/>
                  <w:tcMar>
                    <w:left w:w="57" w:type="dxa"/>
                    <w:right w:w="57" w:type="dxa"/>
                  </w:tcMar>
                  <w:vAlign w:val="center"/>
                </w:tcPr>
                <w:p w14:paraId="5243823D">
                  <w:pPr>
                    <w:pStyle w:val="98"/>
                    <w:adjustRightInd/>
                    <w:snapToGrid/>
                    <w:rPr>
                      <w:rFonts w:hint="default" w:eastAsia="宋体"/>
                      <w:color w:val="auto"/>
                      <w:kern w:val="0"/>
                      <w:highlight w:val="none"/>
                      <w:vertAlign w:val="baseline"/>
                      <w:lang w:val="en-US" w:eastAsia="zh-CN" w:bidi="ar"/>
                    </w:rPr>
                  </w:pPr>
                  <w:r>
                    <w:rPr>
                      <w:rFonts w:hint="eastAsia"/>
                      <w:color w:val="auto"/>
                      <w:kern w:val="0"/>
                      <w:highlight w:val="none"/>
                      <w:lang w:bidi="ar"/>
                    </w:rPr>
                    <w:t>该用水均被物料吸收或自然蒸发</w:t>
                  </w:r>
                  <w:r>
                    <w:rPr>
                      <w:rFonts w:hint="eastAsia"/>
                      <w:color w:val="auto"/>
                      <w:kern w:val="0"/>
                      <w:highlight w:val="none"/>
                      <w:lang w:eastAsia="zh-CN" w:bidi="ar"/>
                    </w:rPr>
                    <w:t>，</w:t>
                  </w:r>
                  <w:r>
                    <w:rPr>
                      <w:rFonts w:hint="eastAsia"/>
                      <w:color w:val="auto"/>
                      <w:kern w:val="0"/>
                      <w:highlight w:val="none"/>
                      <w:lang w:bidi="ar"/>
                    </w:rPr>
                    <w:t>不外排。</w:t>
                  </w:r>
                </w:p>
              </w:tc>
            </w:tr>
            <w:tr w14:paraId="32FB37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02" w:hRule="atLeast"/>
              </w:trPr>
              <w:tc>
                <w:tcPr>
                  <w:tcW w:w="444" w:type="pct"/>
                  <w:vMerge w:val="restart"/>
                  <w:shd w:val="clear" w:color="auto" w:fill="auto"/>
                  <w:noWrap w:val="0"/>
                  <w:tcMar>
                    <w:left w:w="57" w:type="dxa"/>
                    <w:right w:w="57" w:type="dxa"/>
                  </w:tcMar>
                  <w:vAlign w:val="center"/>
                </w:tcPr>
                <w:p w14:paraId="6114BE79">
                  <w:pPr>
                    <w:pStyle w:val="98"/>
                    <w:adjustRightInd/>
                    <w:snapToGrid/>
                    <w:ind w:firstLine="0" w:firstLineChars="0"/>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3</w:t>
                  </w:r>
                </w:p>
              </w:tc>
              <w:tc>
                <w:tcPr>
                  <w:tcW w:w="710" w:type="pct"/>
                  <w:gridSpan w:val="2"/>
                  <w:vMerge w:val="restart"/>
                  <w:noWrap w:val="0"/>
                  <w:tcMar>
                    <w:left w:w="57" w:type="dxa"/>
                    <w:right w:w="57" w:type="dxa"/>
                  </w:tcMar>
                  <w:vAlign w:val="center"/>
                </w:tcPr>
                <w:p w14:paraId="64AD640A">
                  <w:pPr>
                    <w:pStyle w:val="98"/>
                    <w:adjustRightInd/>
                    <w:snapToGrid/>
                    <w:rPr>
                      <w:rFonts w:hint="default"/>
                      <w:color w:val="auto"/>
                      <w:highlight w:val="none"/>
                      <w:lang w:val="en-US" w:eastAsia="zh-CN"/>
                    </w:rPr>
                  </w:pPr>
                  <w:r>
                    <w:rPr>
                      <w:rFonts w:hint="eastAsia"/>
                      <w:color w:val="auto"/>
                      <w:highlight w:val="none"/>
                      <w:lang w:val="en-US" w:eastAsia="zh-CN"/>
                    </w:rPr>
                    <w:t>喷淋用水</w:t>
                  </w:r>
                </w:p>
              </w:tc>
              <w:tc>
                <w:tcPr>
                  <w:tcW w:w="571" w:type="pct"/>
                  <w:noWrap w:val="0"/>
                  <w:tcMar>
                    <w:left w:w="57" w:type="dxa"/>
                    <w:right w:w="57" w:type="dxa"/>
                  </w:tcMar>
                  <w:vAlign w:val="center"/>
                </w:tcPr>
                <w:p w14:paraId="63933A56">
                  <w:pPr>
                    <w:pStyle w:val="98"/>
                    <w:adjustRightInd/>
                    <w:snapToGrid/>
                    <w:rPr>
                      <w:rFonts w:hint="default"/>
                      <w:color w:val="auto"/>
                      <w:kern w:val="0"/>
                      <w:highlight w:val="none"/>
                      <w:lang w:val="en-US" w:eastAsia="zh-CN" w:bidi="ar"/>
                    </w:rPr>
                  </w:pPr>
                  <w:r>
                    <w:rPr>
                      <w:rFonts w:hint="eastAsia"/>
                      <w:color w:val="auto"/>
                      <w:kern w:val="0"/>
                      <w:highlight w:val="none"/>
                      <w:lang w:val="en-US" w:eastAsia="zh-CN" w:bidi="ar"/>
                    </w:rPr>
                    <w:t>20</w:t>
                  </w:r>
                </w:p>
              </w:tc>
              <w:tc>
                <w:tcPr>
                  <w:tcW w:w="3274" w:type="pct"/>
                  <w:noWrap w:val="0"/>
                  <w:tcMar>
                    <w:left w:w="57" w:type="dxa"/>
                    <w:right w:w="57" w:type="dxa"/>
                  </w:tcMar>
                  <w:vAlign w:val="center"/>
                </w:tcPr>
                <w:p w14:paraId="38B07BE9">
                  <w:pPr>
                    <w:pStyle w:val="98"/>
                    <w:adjustRightInd/>
                    <w:snapToGrid/>
                    <w:ind w:firstLine="0" w:firstLineChars="0"/>
                    <w:rPr>
                      <w:rFonts w:hint="eastAsia"/>
                      <w:color w:val="auto"/>
                      <w:kern w:val="0"/>
                      <w:highlight w:val="none"/>
                      <w:lang w:bidi="ar"/>
                    </w:rPr>
                  </w:pPr>
                  <w:r>
                    <w:rPr>
                      <w:rFonts w:hint="eastAsia"/>
                      <w:color w:val="auto"/>
                      <w:szCs w:val="21"/>
                      <w:highlight w:val="none"/>
                      <w:lang w:val="en-US" w:eastAsia="zh-CN"/>
                    </w:rPr>
                    <w:t>一期项目用水量。喷淋塔水</w:t>
                  </w:r>
                  <w:r>
                    <w:rPr>
                      <w:rFonts w:hint="eastAsia"/>
                      <w:color w:val="auto"/>
                      <w:szCs w:val="21"/>
                      <w:highlight w:val="none"/>
                    </w:rPr>
                    <w:t>循环使用，定期补充新水</w:t>
                  </w:r>
                  <w:r>
                    <w:rPr>
                      <w:rFonts w:hint="eastAsia"/>
                      <w:color w:val="auto"/>
                      <w:szCs w:val="21"/>
                      <w:highlight w:val="none"/>
                      <w:lang w:eastAsia="zh-CN"/>
                    </w:rPr>
                    <w:t>（</w:t>
                  </w:r>
                  <w:r>
                    <w:rPr>
                      <w:rFonts w:hint="eastAsia"/>
                      <w:color w:val="auto"/>
                      <w:szCs w:val="21"/>
                      <w:highlight w:val="none"/>
                      <w:lang w:val="en-US" w:eastAsia="zh-CN"/>
                    </w:rPr>
                    <w:t>12m</w:t>
                  </w:r>
                  <w:r>
                    <w:rPr>
                      <w:rFonts w:hint="eastAsia"/>
                      <w:color w:val="auto"/>
                      <w:szCs w:val="21"/>
                      <w:highlight w:val="none"/>
                      <w:vertAlign w:val="superscript"/>
                      <w:lang w:val="en-US" w:eastAsia="zh-CN"/>
                    </w:rPr>
                    <w:t>3</w:t>
                  </w:r>
                  <w:r>
                    <w:rPr>
                      <w:rFonts w:hint="eastAsia"/>
                      <w:color w:val="auto"/>
                      <w:szCs w:val="21"/>
                      <w:highlight w:val="none"/>
                      <w:lang w:val="en-US" w:eastAsia="zh-CN"/>
                    </w:rPr>
                    <w:t>/a</w:t>
                  </w:r>
                  <w:r>
                    <w:rPr>
                      <w:rFonts w:hint="eastAsia"/>
                      <w:color w:val="auto"/>
                      <w:szCs w:val="21"/>
                      <w:highlight w:val="none"/>
                      <w:lang w:eastAsia="zh-CN"/>
                    </w:rPr>
                    <w:t>），</w:t>
                  </w:r>
                  <w:r>
                    <w:rPr>
                      <w:rFonts w:hint="eastAsia"/>
                      <w:color w:val="auto"/>
                      <w:szCs w:val="21"/>
                      <w:highlight w:val="none"/>
                      <w:lang w:val="en-US" w:eastAsia="zh-CN"/>
                    </w:rPr>
                    <w:t>每月更换一次（补充水量8m</w:t>
                  </w:r>
                  <w:r>
                    <w:rPr>
                      <w:rFonts w:hint="eastAsia"/>
                      <w:color w:val="auto"/>
                      <w:szCs w:val="21"/>
                      <w:highlight w:val="none"/>
                      <w:vertAlign w:val="superscript"/>
                      <w:lang w:val="en-US" w:eastAsia="zh-CN"/>
                    </w:rPr>
                    <w:t>3</w:t>
                  </w:r>
                  <w:r>
                    <w:rPr>
                      <w:rFonts w:hint="eastAsia"/>
                      <w:color w:val="auto"/>
                      <w:szCs w:val="21"/>
                      <w:highlight w:val="none"/>
                      <w:vertAlign w:val="baseline"/>
                      <w:lang w:val="en-US" w:eastAsia="zh-CN"/>
                    </w:rPr>
                    <w:t>/a</w:t>
                  </w:r>
                  <w:r>
                    <w:rPr>
                      <w:rFonts w:hint="eastAsia"/>
                      <w:color w:val="auto"/>
                      <w:szCs w:val="21"/>
                      <w:highlight w:val="none"/>
                      <w:lang w:val="en-US" w:eastAsia="zh-CN"/>
                    </w:rPr>
                    <w:t>），</w:t>
                  </w:r>
                  <w:r>
                    <w:rPr>
                      <w:rFonts w:hint="eastAsia"/>
                      <w:color w:val="auto"/>
                      <w:highlight w:val="none"/>
                      <w:lang w:val="en-US" w:eastAsia="zh-CN"/>
                    </w:rPr>
                    <w:t>循环水量为1m</w:t>
                  </w:r>
                  <w:r>
                    <w:rPr>
                      <w:rFonts w:hint="eastAsia"/>
                      <w:color w:val="auto"/>
                      <w:highlight w:val="none"/>
                      <w:vertAlign w:val="superscript"/>
                      <w:lang w:val="en-US" w:eastAsia="zh-CN"/>
                    </w:rPr>
                    <w:t>3</w:t>
                  </w:r>
                  <w:r>
                    <w:rPr>
                      <w:rFonts w:hint="eastAsia"/>
                      <w:color w:val="auto"/>
                      <w:highlight w:val="none"/>
                      <w:lang w:val="en-US" w:eastAsia="zh-CN"/>
                    </w:rPr>
                    <w:t>。</w:t>
                  </w:r>
                </w:p>
              </w:tc>
            </w:tr>
            <w:tr w14:paraId="30674B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02" w:hRule="atLeast"/>
              </w:trPr>
              <w:tc>
                <w:tcPr>
                  <w:tcW w:w="444" w:type="pct"/>
                  <w:vMerge w:val="continue"/>
                  <w:shd w:val="clear" w:color="auto" w:fill="auto"/>
                  <w:noWrap w:val="0"/>
                  <w:tcMar>
                    <w:left w:w="57" w:type="dxa"/>
                    <w:right w:w="57" w:type="dxa"/>
                  </w:tcMar>
                  <w:vAlign w:val="center"/>
                </w:tcPr>
                <w:p w14:paraId="63232CDF">
                  <w:pPr>
                    <w:pStyle w:val="98"/>
                    <w:adjustRightInd/>
                    <w:snapToGrid/>
                    <w:ind w:firstLine="0" w:firstLineChars="0"/>
                    <w:rPr>
                      <w:rFonts w:hint="eastAsia"/>
                      <w:color w:val="auto"/>
                      <w:szCs w:val="21"/>
                      <w:highlight w:val="none"/>
                    </w:rPr>
                  </w:pPr>
                </w:p>
              </w:tc>
              <w:tc>
                <w:tcPr>
                  <w:tcW w:w="710" w:type="pct"/>
                  <w:gridSpan w:val="2"/>
                  <w:vMerge w:val="continue"/>
                  <w:noWrap w:val="0"/>
                  <w:tcMar>
                    <w:left w:w="57" w:type="dxa"/>
                    <w:right w:w="57" w:type="dxa"/>
                  </w:tcMar>
                  <w:vAlign w:val="center"/>
                </w:tcPr>
                <w:p w14:paraId="73268C6E">
                  <w:pPr>
                    <w:pStyle w:val="98"/>
                    <w:adjustRightInd/>
                    <w:snapToGrid/>
                    <w:rPr>
                      <w:rFonts w:hint="eastAsia"/>
                      <w:color w:val="auto"/>
                      <w:highlight w:val="none"/>
                      <w:lang w:val="en-US" w:eastAsia="zh-CN"/>
                    </w:rPr>
                  </w:pPr>
                </w:p>
              </w:tc>
              <w:tc>
                <w:tcPr>
                  <w:tcW w:w="571" w:type="pct"/>
                  <w:noWrap w:val="0"/>
                  <w:tcMar>
                    <w:left w:w="57" w:type="dxa"/>
                    <w:right w:w="57" w:type="dxa"/>
                  </w:tcMar>
                  <w:vAlign w:val="center"/>
                </w:tcPr>
                <w:p w14:paraId="054C28F3">
                  <w:pPr>
                    <w:pStyle w:val="98"/>
                    <w:adjustRightInd/>
                    <w:snapToGrid/>
                    <w:rPr>
                      <w:rFonts w:hint="default"/>
                      <w:color w:val="auto"/>
                      <w:kern w:val="0"/>
                      <w:highlight w:val="none"/>
                      <w:lang w:val="en-US" w:eastAsia="zh-CN" w:bidi="ar"/>
                    </w:rPr>
                  </w:pPr>
                  <w:r>
                    <w:rPr>
                      <w:rFonts w:hint="eastAsia"/>
                      <w:color w:val="auto"/>
                      <w:kern w:val="0"/>
                      <w:highlight w:val="none"/>
                      <w:lang w:val="en-US" w:eastAsia="zh-CN" w:bidi="ar"/>
                    </w:rPr>
                    <w:t>60</w:t>
                  </w:r>
                </w:p>
              </w:tc>
              <w:tc>
                <w:tcPr>
                  <w:tcW w:w="3274" w:type="pct"/>
                  <w:noWrap w:val="0"/>
                  <w:tcMar>
                    <w:left w:w="57" w:type="dxa"/>
                    <w:right w:w="57" w:type="dxa"/>
                  </w:tcMar>
                  <w:vAlign w:val="center"/>
                </w:tcPr>
                <w:p w14:paraId="561DBB0B">
                  <w:pPr>
                    <w:pStyle w:val="98"/>
                    <w:adjustRightInd/>
                    <w:snapToGrid/>
                    <w:ind w:firstLine="0" w:firstLineChars="0"/>
                    <w:rPr>
                      <w:rFonts w:hint="eastAsia"/>
                      <w:color w:val="auto"/>
                      <w:kern w:val="0"/>
                      <w:highlight w:val="none"/>
                      <w:lang w:bidi="ar"/>
                    </w:rPr>
                  </w:pPr>
                  <w:r>
                    <w:rPr>
                      <w:rFonts w:hint="eastAsia"/>
                      <w:color w:val="auto"/>
                      <w:szCs w:val="21"/>
                      <w:highlight w:val="none"/>
                      <w:lang w:val="en-US" w:eastAsia="zh-CN"/>
                    </w:rPr>
                    <w:t>全厂项目用水量。喷淋塔水</w:t>
                  </w:r>
                  <w:r>
                    <w:rPr>
                      <w:rFonts w:hint="eastAsia"/>
                      <w:color w:val="auto"/>
                      <w:szCs w:val="21"/>
                      <w:highlight w:val="none"/>
                    </w:rPr>
                    <w:t>循环使用，定期补充新水</w:t>
                  </w:r>
                  <w:r>
                    <w:rPr>
                      <w:rFonts w:hint="eastAsia"/>
                      <w:color w:val="auto"/>
                      <w:szCs w:val="21"/>
                      <w:highlight w:val="none"/>
                      <w:lang w:eastAsia="zh-CN"/>
                    </w:rPr>
                    <w:t>（</w:t>
                  </w:r>
                  <w:r>
                    <w:rPr>
                      <w:rFonts w:hint="eastAsia"/>
                      <w:color w:val="auto"/>
                      <w:szCs w:val="21"/>
                      <w:highlight w:val="none"/>
                      <w:lang w:val="en-US" w:eastAsia="zh-CN"/>
                    </w:rPr>
                    <w:t>36m</w:t>
                  </w:r>
                  <w:r>
                    <w:rPr>
                      <w:rFonts w:hint="eastAsia"/>
                      <w:color w:val="auto"/>
                      <w:szCs w:val="21"/>
                      <w:highlight w:val="none"/>
                      <w:vertAlign w:val="superscript"/>
                      <w:lang w:val="en-US" w:eastAsia="zh-CN"/>
                    </w:rPr>
                    <w:t>3</w:t>
                  </w:r>
                  <w:r>
                    <w:rPr>
                      <w:rFonts w:hint="eastAsia"/>
                      <w:color w:val="auto"/>
                      <w:szCs w:val="21"/>
                      <w:highlight w:val="none"/>
                      <w:lang w:val="en-US" w:eastAsia="zh-CN"/>
                    </w:rPr>
                    <w:t>/a</w:t>
                  </w:r>
                  <w:r>
                    <w:rPr>
                      <w:rFonts w:hint="eastAsia"/>
                      <w:color w:val="auto"/>
                      <w:szCs w:val="21"/>
                      <w:highlight w:val="none"/>
                      <w:lang w:eastAsia="zh-CN"/>
                    </w:rPr>
                    <w:t>），</w:t>
                  </w:r>
                  <w:r>
                    <w:rPr>
                      <w:rFonts w:hint="eastAsia"/>
                      <w:color w:val="auto"/>
                      <w:szCs w:val="21"/>
                      <w:highlight w:val="none"/>
                      <w:lang w:val="en-US" w:eastAsia="zh-CN"/>
                    </w:rPr>
                    <w:t>每月更换一次（补充水量24m</w:t>
                  </w:r>
                  <w:r>
                    <w:rPr>
                      <w:rFonts w:hint="eastAsia"/>
                      <w:color w:val="auto"/>
                      <w:szCs w:val="21"/>
                      <w:highlight w:val="none"/>
                      <w:vertAlign w:val="superscript"/>
                      <w:lang w:val="en-US" w:eastAsia="zh-CN"/>
                    </w:rPr>
                    <w:t>3</w:t>
                  </w:r>
                  <w:r>
                    <w:rPr>
                      <w:rFonts w:hint="eastAsia"/>
                      <w:color w:val="auto"/>
                      <w:szCs w:val="21"/>
                      <w:highlight w:val="none"/>
                      <w:vertAlign w:val="baseline"/>
                      <w:lang w:val="en-US" w:eastAsia="zh-CN"/>
                    </w:rPr>
                    <w:t>/a</w:t>
                  </w:r>
                  <w:r>
                    <w:rPr>
                      <w:rFonts w:hint="eastAsia"/>
                      <w:color w:val="auto"/>
                      <w:szCs w:val="21"/>
                      <w:highlight w:val="none"/>
                      <w:lang w:val="en-US" w:eastAsia="zh-CN"/>
                    </w:rPr>
                    <w:t>），</w:t>
                  </w:r>
                  <w:r>
                    <w:rPr>
                      <w:rFonts w:hint="eastAsia"/>
                      <w:color w:val="auto"/>
                      <w:highlight w:val="none"/>
                      <w:lang w:val="en-US" w:eastAsia="zh-CN"/>
                    </w:rPr>
                    <w:t>循环水量为3m</w:t>
                  </w:r>
                  <w:r>
                    <w:rPr>
                      <w:rFonts w:hint="eastAsia"/>
                      <w:color w:val="auto"/>
                      <w:highlight w:val="none"/>
                      <w:vertAlign w:val="superscript"/>
                      <w:lang w:val="en-US" w:eastAsia="zh-CN"/>
                    </w:rPr>
                    <w:t>3</w:t>
                  </w:r>
                  <w:r>
                    <w:rPr>
                      <w:rFonts w:hint="eastAsia"/>
                      <w:color w:val="auto"/>
                      <w:highlight w:val="none"/>
                      <w:lang w:val="en-US" w:eastAsia="zh-CN"/>
                    </w:rPr>
                    <w:t>。</w:t>
                  </w:r>
                </w:p>
              </w:tc>
            </w:tr>
            <w:tr w14:paraId="047ADE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12" w:hRule="atLeast"/>
              </w:trPr>
              <w:tc>
                <w:tcPr>
                  <w:tcW w:w="444" w:type="pct"/>
                  <w:shd w:val="clear" w:color="auto" w:fill="auto"/>
                  <w:noWrap w:val="0"/>
                  <w:tcMar>
                    <w:left w:w="57" w:type="dxa"/>
                    <w:right w:w="57" w:type="dxa"/>
                  </w:tcMar>
                  <w:vAlign w:val="center"/>
                </w:tcPr>
                <w:p w14:paraId="2D211B3B">
                  <w:pPr>
                    <w:pStyle w:val="98"/>
                    <w:adjustRightInd/>
                    <w:snapToGrid/>
                    <w:ind w:firstLine="0" w:firstLineChars="0"/>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4</w:t>
                  </w:r>
                </w:p>
              </w:tc>
              <w:tc>
                <w:tcPr>
                  <w:tcW w:w="710" w:type="pct"/>
                  <w:gridSpan w:val="2"/>
                  <w:noWrap w:val="0"/>
                  <w:tcMar>
                    <w:left w:w="57" w:type="dxa"/>
                    <w:right w:w="57" w:type="dxa"/>
                  </w:tcMar>
                  <w:vAlign w:val="center"/>
                </w:tcPr>
                <w:p w14:paraId="7229D126">
                  <w:pPr>
                    <w:pStyle w:val="98"/>
                    <w:adjustRightInd/>
                    <w:snapToGrid/>
                    <w:rPr>
                      <w:color w:val="auto"/>
                      <w:highlight w:val="none"/>
                    </w:rPr>
                  </w:pPr>
                  <w:r>
                    <w:rPr>
                      <w:color w:val="auto"/>
                      <w:szCs w:val="21"/>
                      <w:highlight w:val="none"/>
                    </w:rPr>
                    <w:t>生活用水</w:t>
                  </w:r>
                </w:p>
              </w:tc>
              <w:tc>
                <w:tcPr>
                  <w:tcW w:w="571" w:type="pct"/>
                  <w:noWrap w:val="0"/>
                  <w:tcMar>
                    <w:left w:w="57" w:type="dxa"/>
                    <w:right w:w="57" w:type="dxa"/>
                  </w:tcMar>
                  <w:vAlign w:val="center"/>
                </w:tcPr>
                <w:p w14:paraId="2DC202B2">
                  <w:pPr>
                    <w:pStyle w:val="98"/>
                    <w:adjustRightInd/>
                    <w:snapToGrid/>
                    <w:rPr>
                      <w:rFonts w:hint="default" w:eastAsia="宋体"/>
                      <w:color w:val="auto"/>
                      <w:highlight w:val="none"/>
                      <w:lang w:val="en-US" w:eastAsia="zh-CN"/>
                    </w:rPr>
                  </w:pPr>
                  <w:r>
                    <w:rPr>
                      <w:rFonts w:hint="eastAsia"/>
                      <w:color w:val="auto"/>
                      <w:highlight w:val="none"/>
                      <w:lang w:val="en-US" w:eastAsia="zh-CN"/>
                    </w:rPr>
                    <w:t>480</w:t>
                  </w:r>
                </w:p>
              </w:tc>
              <w:tc>
                <w:tcPr>
                  <w:tcW w:w="3274" w:type="pct"/>
                  <w:noWrap w:val="0"/>
                  <w:tcMar>
                    <w:left w:w="57" w:type="dxa"/>
                    <w:right w:w="57" w:type="dxa"/>
                  </w:tcMar>
                  <w:vAlign w:val="center"/>
                </w:tcPr>
                <w:p w14:paraId="21C59E40">
                  <w:pPr>
                    <w:pStyle w:val="98"/>
                    <w:adjustRightInd/>
                    <w:snapToGrid/>
                    <w:rPr>
                      <w:rFonts w:hint="eastAsia"/>
                      <w:color w:val="auto"/>
                      <w:szCs w:val="21"/>
                      <w:highlight w:val="none"/>
                    </w:rPr>
                  </w:pPr>
                  <w:r>
                    <w:rPr>
                      <w:rFonts w:hint="eastAsia" w:ascii="Times New Roman" w:hAnsi="Times New Roman" w:eastAsia="宋体" w:cs="Times New Roman"/>
                      <w:iCs/>
                      <w:color w:val="auto"/>
                      <w:kern w:val="0"/>
                      <w:sz w:val="21"/>
                      <w:szCs w:val="21"/>
                      <w:highlight w:val="none"/>
                    </w:rPr>
                    <w:t>生活废水经</w:t>
                  </w:r>
                  <w:r>
                    <w:rPr>
                      <w:rFonts w:hint="eastAsia" w:ascii="Times New Roman" w:hAnsi="Times New Roman" w:eastAsia="宋体" w:cs="Times New Roman"/>
                      <w:iCs/>
                      <w:color w:val="auto"/>
                      <w:kern w:val="0"/>
                      <w:sz w:val="21"/>
                      <w:szCs w:val="21"/>
                      <w:highlight w:val="none"/>
                      <w:lang w:val="en-US" w:eastAsia="zh-CN"/>
                    </w:rPr>
                    <w:t>厂区</w:t>
                  </w:r>
                  <w:r>
                    <w:rPr>
                      <w:rFonts w:hint="eastAsia" w:ascii="Times New Roman" w:hAnsi="Times New Roman" w:eastAsia="宋体" w:cs="Times New Roman"/>
                      <w:iCs/>
                      <w:color w:val="auto"/>
                      <w:kern w:val="0"/>
                      <w:sz w:val="21"/>
                      <w:szCs w:val="21"/>
                      <w:highlight w:val="none"/>
                    </w:rPr>
                    <w:t>化粪池处理达</w:t>
                  </w:r>
                  <w:r>
                    <w:rPr>
                      <w:rFonts w:hint="eastAsia" w:ascii="Times New Roman" w:hAnsi="Times New Roman" w:eastAsia="宋体" w:cs="Times New Roman"/>
                      <w:iCs/>
                      <w:color w:val="auto"/>
                      <w:kern w:val="0"/>
                      <w:sz w:val="21"/>
                      <w:szCs w:val="21"/>
                      <w:highlight w:val="none"/>
                      <w:lang w:val="en-US" w:eastAsia="zh-CN"/>
                    </w:rPr>
                    <w:t>标</w:t>
                  </w:r>
                  <w:r>
                    <w:rPr>
                      <w:rFonts w:hint="eastAsia" w:ascii="Times New Roman" w:hAnsi="Times New Roman" w:eastAsia="宋体" w:cs="Times New Roman"/>
                      <w:iCs/>
                      <w:color w:val="auto"/>
                      <w:kern w:val="0"/>
                      <w:sz w:val="21"/>
                      <w:szCs w:val="21"/>
                      <w:highlight w:val="none"/>
                    </w:rPr>
                    <w:t>后排入市政污水管网</w:t>
                  </w:r>
                </w:p>
              </w:tc>
            </w:tr>
            <w:tr w14:paraId="333724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84" w:hRule="atLeast"/>
              </w:trPr>
              <w:tc>
                <w:tcPr>
                  <w:tcW w:w="444" w:type="pct"/>
                  <w:noWrap w:val="0"/>
                  <w:tcMar>
                    <w:left w:w="57" w:type="dxa"/>
                    <w:right w:w="57" w:type="dxa"/>
                  </w:tcMar>
                  <w:vAlign w:val="center"/>
                </w:tcPr>
                <w:p w14:paraId="026C21B1">
                  <w:pPr>
                    <w:pStyle w:val="98"/>
                    <w:adjustRightInd/>
                    <w:snapToGrid/>
                    <w:rPr>
                      <w:rFonts w:hint="eastAsia" w:eastAsia="宋体"/>
                      <w:color w:val="auto"/>
                      <w:szCs w:val="21"/>
                      <w:highlight w:val="none"/>
                      <w:lang w:val="en-US" w:eastAsia="zh-CN"/>
                    </w:rPr>
                  </w:pPr>
                  <w:r>
                    <w:rPr>
                      <w:rFonts w:hint="eastAsia"/>
                      <w:color w:val="auto"/>
                      <w:szCs w:val="21"/>
                      <w:highlight w:val="none"/>
                      <w:lang w:val="en-US" w:eastAsia="zh-CN"/>
                    </w:rPr>
                    <w:t>5</w:t>
                  </w:r>
                </w:p>
              </w:tc>
              <w:tc>
                <w:tcPr>
                  <w:tcW w:w="710" w:type="pct"/>
                  <w:gridSpan w:val="2"/>
                  <w:noWrap w:val="0"/>
                  <w:tcMar>
                    <w:left w:w="57" w:type="dxa"/>
                    <w:right w:w="57" w:type="dxa"/>
                  </w:tcMar>
                  <w:vAlign w:val="center"/>
                </w:tcPr>
                <w:p w14:paraId="329B8FAD">
                  <w:pPr>
                    <w:pStyle w:val="98"/>
                    <w:adjustRightInd/>
                    <w:snapToGrid/>
                    <w:rPr>
                      <w:color w:val="auto"/>
                      <w:szCs w:val="21"/>
                      <w:highlight w:val="none"/>
                    </w:rPr>
                  </w:pPr>
                  <w:r>
                    <w:rPr>
                      <w:rFonts w:hint="eastAsia"/>
                      <w:color w:val="auto"/>
                      <w:highlight w:val="none"/>
                    </w:rPr>
                    <w:t>食堂用水</w:t>
                  </w:r>
                </w:p>
              </w:tc>
              <w:tc>
                <w:tcPr>
                  <w:tcW w:w="571" w:type="pct"/>
                  <w:noWrap w:val="0"/>
                  <w:tcMar>
                    <w:left w:w="57" w:type="dxa"/>
                    <w:right w:w="57" w:type="dxa"/>
                  </w:tcMar>
                  <w:vAlign w:val="center"/>
                </w:tcPr>
                <w:p w14:paraId="2909E60D">
                  <w:pPr>
                    <w:pStyle w:val="98"/>
                    <w:adjustRightInd/>
                    <w:snapToGrid/>
                    <w:rPr>
                      <w:rFonts w:hint="default" w:eastAsia="宋体"/>
                      <w:color w:val="auto"/>
                      <w:szCs w:val="21"/>
                      <w:highlight w:val="none"/>
                      <w:lang w:val="en-US" w:eastAsia="zh-CN"/>
                    </w:rPr>
                  </w:pPr>
                  <w:r>
                    <w:rPr>
                      <w:rFonts w:hint="eastAsia"/>
                      <w:color w:val="auto"/>
                      <w:szCs w:val="21"/>
                      <w:highlight w:val="none"/>
                      <w:lang w:val="en-US" w:eastAsia="zh-CN"/>
                    </w:rPr>
                    <w:t>144</w:t>
                  </w:r>
                </w:p>
              </w:tc>
              <w:tc>
                <w:tcPr>
                  <w:tcW w:w="3274" w:type="pct"/>
                  <w:noWrap w:val="0"/>
                  <w:tcMar>
                    <w:left w:w="57" w:type="dxa"/>
                    <w:right w:w="57" w:type="dxa"/>
                  </w:tcMar>
                  <w:vAlign w:val="center"/>
                </w:tcPr>
                <w:p w14:paraId="602E1D53">
                  <w:pPr>
                    <w:pStyle w:val="98"/>
                    <w:adjustRightInd/>
                    <w:snapToGrid/>
                    <w:rPr>
                      <w:rFonts w:hint="eastAsia"/>
                      <w:color w:val="auto"/>
                      <w:szCs w:val="21"/>
                      <w:highlight w:val="none"/>
                    </w:rPr>
                  </w:pPr>
                  <w:r>
                    <w:rPr>
                      <w:rFonts w:hint="eastAsia" w:ascii="Times New Roman" w:hAnsi="Times New Roman" w:eastAsia="宋体" w:cs="Times New Roman"/>
                      <w:iCs/>
                      <w:color w:val="auto"/>
                      <w:kern w:val="0"/>
                      <w:sz w:val="21"/>
                      <w:szCs w:val="21"/>
                      <w:highlight w:val="none"/>
                      <w:lang w:val="en-US" w:eastAsia="zh-CN"/>
                    </w:rPr>
                    <w:t>项目食堂废水经隔油池预处理后与</w:t>
                  </w:r>
                  <w:r>
                    <w:rPr>
                      <w:rFonts w:hint="eastAsia" w:ascii="Times New Roman" w:hAnsi="Times New Roman" w:eastAsia="宋体" w:cs="Times New Roman"/>
                      <w:iCs/>
                      <w:color w:val="auto"/>
                      <w:kern w:val="0"/>
                      <w:sz w:val="21"/>
                      <w:szCs w:val="21"/>
                      <w:highlight w:val="none"/>
                    </w:rPr>
                    <w:t>生活废水一起经</w:t>
                  </w:r>
                  <w:r>
                    <w:rPr>
                      <w:rFonts w:hint="eastAsia" w:ascii="Times New Roman" w:hAnsi="Times New Roman" w:eastAsia="宋体" w:cs="Times New Roman"/>
                      <w:iCs/>
                      <w:color w:val="auto"/>
                      <w:kern w:val="0"/>
                      <w:sz w:val="21"/>
                      <w:szCs w:val="21"/>
                      <w:highlight w:val="none"/>
                      <w:lang w:val="en-US" w:eastAsia="zh-CN"/>
                    </w:rPr>
                    <w:t>厂区</w:t>
                  </w:r>
                  <w:r>
                    <w:rPr>
                      <w:rFonts w:hint="eastAsia" w:ascii="Times New Roman" w:hAnsi="Times New Roman" w:eastAsia="宋体" w:cs="Times New Roman"/>
                      <w:iCs/>
                      <w:color w:val="auto"/>
                      <w:kern w:val="0"/>
                      <w:sz w:val="21"/>
                      <w:szCs w:val="21"/>
                      <w:highlight w:val="none"/>
                    </w:rPr>
                    <w:t>化粪池处理达</w:t>
                  </w:r>
                  <w:r>
                    <w:rPr>
                      <w:rFonts w:hint="eastAsia" w:ascii="Times New Roman" w:hAnsi="Times New Roman" w:eastAsia="宋体" w:cs="Times New Roman"/>
                      <w:iCs/>
                      <w:color w:val="auto"/>
                      <w:kern w:val="0"/>
                      <w:sz w:val="21"/>
                      <w:szCs w:val="21"/>
                      <w:highlight w:val="none"/>
                      <w:lang w:val="en-US" w:eastAsia="zh-CN"/>
                    </w:rPr>
                    <w:t>标</w:t>
                  </w:r>
                  <w:r>
                    <w:rPr>
                      <w:rFonts w:hint="eastAsia" w:ascii="Times New Roman" w:hAnsi="Times New Roman" w:eastAsia="宋体" w:cs="Times New Roman"/>
                      <w:iCs/>
                      <w:color w:val="auto"/>
                      <w:kern w:val="0"/>
                      <w:sz w:val="21"/>
                      <w:szCs w:val="21"/>
                      <w:highlight w:val="none"/>
                    </w:rPr>
                    <w:t>后排入市政污水管网</w:t>
                  </w:r>
                </w:p>
              </w:tc>
            </w:tr>
            <w:tr w14:paraId="2FECA7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9" w:hRule="atLeast"/>
              </w:trPr>
              <w:tc>
                <w:tcPr>
                  <w:tcW w:w="678" w:type="pct"/>
                  <w:gridSpan w:val="2"/>
                  <w:vMerge w:val="restart"/>
                  <w:noWrap w:val="0"/>
                  <w:tcMar>
                    <w:left w:w="57" w:type="dxa"/>
                    <w:right w:w="57" w:type="dxa"/>
                  </w:tcMar>
                  <w:vAlign w:val="center"/>
                </w:tcPr>
                <w:p w14:paraId="39CF0141">
                  <w:pPr>
                    <w:pStyle w:val="98"/>
                    <w:adjustRightInd/>
                    <w:snapToGrid/>
                    <w:rPr>
                      <w:color w:val="auto"/>
                      <w:szCs w:val="21"/>
                      <w:highlight w:val="none"/>
                    </w:rPr>
                  </w:pPr>
                  <w:r>
                    <w:rPr>
                      <w:color w:val="auto"/>
                      <w:szCs w:val="21"/>
                      <w:highlight w:val="none"/>
                    </w:rPr>
                    <w:t>总计</w:t>
                  </w:r>
                </w:p>
              </w:tc>
              <w:tc>
                <w:tcPr>
                  <w:tcW w:w="475" w:type="pct"/>
                  <w:noWrap w:val="0"/>
                  <w:tcMar>
                    <w:left w:w="57" w:type="dxa"/>
                    <w:right w:w="57" w:type="dxa"/>
                  </w:tcMar>
                  <w:vAlign w:val="center"/>
                </w:tcPr>
                <w:p w14:paraId="79D9CCAD">
                  <w:pPr>
                    <w:pStyle w:val="98"/>
                    <w:adjustRightInd/>
                    <w:snapToGrid/>
                    <w:rPr>
                      <w:rFonts w:hint="eastAsia" w:eastAsia="宋体"/>
                      <w:color w:val="auto"/>
                      <w:szCs w:val="21"/>
                      <w:highlight w:val="none"/>
                      <w:lang w:val="en-US" w:eastAsia="zh-CN"/>
                    </w:rPr>
                  </w:pPr>
                  <w:r>
                    <w:rPr>
                      <w:rFonts w:hint="eastAsia"/>
                      <w:color w:val="auto"/>
                      <w:szCs w:val="21"/>
                      <w:highlight w:val="none"/>
                      <w:lang w:val="en-US" w:eastAsia="zh-CN"/>
                    </w:rPr>
                    <w:t>一期</w:t>
                  </w:r>
                </w:p>
              </w:tc>
              <w:tc>
                <w:tcPr>
                  <w:tcW w:w="571" w:type="pct"/>
                  <w:noWrap w:val="0"/>
                  <w:tcMar>
                    <w:left w:w="57" w:type="dxa"/>
                    <w:right w:w="57" w:type="dxa"/>
                  </w:tcMar>
                  <w:vAlign w:val="center"/>
                </w:tcPr>
                <w:p w14:paraId="0B4AF53B">
                  <w:pPr>
                    <w:pStyle w:val="98"/>
                    <w:adjustRightInd/>
                    <w:snapToGrid/>
                    <w:rPr>
                      <w:rFonts w:hint="default" w:eastAsia="宋体"/>
                      <w:color w:val="auto"/>
                      <w:szCs w:val="21"/>
                      <w:highlight w:val="none"/>
                      <w:lang w:val="en-US" w:eastAsia="zh-CN"/>
                    </w:rPr>
                  </w:pPr>
                  <w:r>
                    <w:rPr>
                      <w:rFonts w:hint="eastAsia"/>
                      <w:color w:val="auto"/>
                      <w:szCs w:val="21"/>
                      <w:highlight w:val="none"/>
                      <w:lang w:val="en-US" w:eastAsia="zh-CN"/>
                    </w:rPr>
                    <w:t>2410.4</w:t>
                  </w:r>
                </w:p>
              </w:tc>
              <w:tc>
                <w:tcPr>
                  <w:tcW w:w="3274" w:type="pct"/>
                  <w:vMerge w:val="restart"/>
                  <w:noWrap w:val="0"/>
                  <w:tcMar>
                    <w:left w:w="57" w:type="dxa"/>
                    <w:right w:w="57" w:type="dxa"/>
                  </w:tcMar>
                  <w:vAlign w:val="center"/>
                </w:tcPr>
                <w:p w14:paraId="08E96827">
                  <w:pPr>
                    <w:pStyle w:val="98"/>
                    <w:adjustRightInd/>
                    <w:snapToGrid/>
                    <w:rPr>
                      <w:rFonts w:hint="default" w:eastAsia="宋体"/>
                      <w:color w:val="auto"/>
                      <w:szCs w:val="21"/>
                      <w:highlight w:val="none"/>
                      <w:lang w:val="en-US" w:eastAsia="zh-CN"/>
                    </w:rPr>
                  </w:pPr>
                  <w:r>
                    <w:rPr>
                      <w:rFonts w:hint="eastAsia"/>
                      <w:color w:val="auto"/>
                      <w:szCs w:val="21"/>
                      <w:highlight w:val="none"/>
                      <w:lang w:val="en-US" w:eastAsia="zh-CN"/>
                    </w:rPr>
                    <w:t>本项目分两期建设</w:t>
                  </w:r>
                </w:p>
              </w:tc>
            </w:tr>
            <w:tr w14:paraId="5CA150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9" w:hRule="atLeast"/>
              </w:trPr>
              <w:tc>
                <w:tcPr>
                  <w:tcW w:w="678" w:type="pct"/>
                  <w:gridSpan w:val="2"/>
                  <w:vMerge w:val="continue"/>
                  <w:noWrap w:val="0"/>
                  <w:tcMar>
                    <w:left w:w="57" w:type="dxa"/>
                    <w:right w:w="57" w:type="dxa"/>
                  </w:tcMar>
                  <w:vAlign w:val="center"/>
                </w:tcPr>
                <w:p w14:paraId="774333E4">
                  <w:pPr>
                    <w:pStyle w:val="98"/>
                    <w:adjustRightInd/>
                    <w:snapToGrid/>
                    <w:rPr>
                      <w:color w:val="auto"/>
                      <w:szCs w:val="21"/>
                      <w:highlight w:val="none"/>
                    </w:rPr>
                  </w:pPr>
                </w:p>
              </w:tc>
              <w:tc>
                <w:tcPr>
                  <w:tcW w:w="475" w:type="pct"/>
                  <w:noWrap w:val="0"/>
                  <w:tcMar>
                    <w:left w:w="57" w:type="dxa"/>
                    <w:right w:w="57" w:type="dxa"/>
                  </w:tcMar>
                  <w:vAlign w:val="center"/>
                </w:tcPr>
                <w:p w14:paraId="3A6CA399">
                  <w:pPr>
                    <w:pStyle w:val="98"/>
                    <w:adjustRightInd/>
                    <w:snapToGrid/>
                    <w:rPr>
                      <w:rFonts w:hint="eastAsia" w:eastAsia="宋体"/>
                      <w:color w:val="auto"/>
                      <w:szCs w:val="21"/>
                      <w:highlight w:val="none"/>
                      <w:lang w:val="en-US" w:eastAsia="zh-CN"/>
                    </w:rPr>
                  </w:pPr>
                  <w:r>
                    <w:rPr>
                      <w:rFonts w:hint="eastAsia"/>
                      <w:color w:val="auto"/>
                      <w:szCs w:val="21"/>
                      <w:highlight w:val="none"/>
                      <w:lang w:val="en-US" w:eastAsia="zh-CN"/>
                    </w:rPr>
                    <w:t>全厂</w:t>
                  </w:r>
                </w:p>
              </w:tc>
              <w:tc>
                <w:tcPr>
                  <w:tcW w:w="571" w:type="pct"/>
                  <w:noWrap w:val="0"/>
                  <w:tcMar>
                    <w:left w:w="57" w:type="dxa"/>
                    <w:right w:w="57" w:type="dxa"/>
                  </w:tcMar>
                  <w:vAlign w:val="center"/>
                </w:tcPr>
                <w:p w14:paraId="2AD0B856">
                  <w:pPr>
                    <w:pStyle w:val="98"/>
                    <w:adjustRightInd/>
                    <w:snapToGrid/>
                    <w:rPr>
                      <w:rFonts w:hint="default" w:eastAsia="宋体"/>
                      <w:color w:val="auto"/>
                      <w:szCs w:val="21"/>
                      <w:highlight w:val="none"/>
                      <w:lang w:val="en-US" w:eastAsia="zh-CN"/>
                    </w:rPr>
                  </w:pPr>
                  <w:r>
                    <w:rPr>
                      <w:rFonts w:hint="eastAsia"/>
                      <w:color w:val="auto"/>
                      <w:szCs w:val="21"/>
                      <w:highlight w:val="none"/>
                      <w:lang w:val="en-US" w:eastAsia="zh-CN"/>
                    </w:rPr>
                    <w:t>2695.2</w:t>
                  </w:r>
                </w:p>
              </w:tc>
              <w:tc>
                <w:tcPr>
                  <w:tcW w:w="3274" w:type="pct"/>
                  <w:vMerge w:val="continue"/>
                  <w:noWrap w:val="0"/>
                  <w:tcMar>
                    <w:left w:w="57" w:type="dxa"/>
                    <w:right w:w="57" w:type="dxa"/>
                  </w:tcMar>
                  <w:vAlign w:val="center"/>
                </w:tcPr>
                <w:p w14:paraId="0CDE76D6">
                  <w:pPr>
                    <w:pStyle w:val="98"/>
                    <w:adjustRightInd/>
                    <w:snapToGrid/>
                    <w:rPr>
                      <w:color w:val="auto"/>
                      <w:szCs w:val="21"/>
                      <w:highlight w:val="none"/>
                    </w:rPr>
                  </w:pPr>
                </w:p>
              </w:tc>
            </w:tr>
          </w:tbl>
          <w:p w14:paraId="1977FC06">
            <w:pPr>
              <w:ind w:firstLine="0" w:firstLineChars="0"/>
              <w:jc w:val="center"/>
              <w:rPr>
                <w:rFonts w:hint="eastAsia"/>
                <w:b/>
                <w:bCs/>
                <w:color w:val="auto"/>
                <w:kern w:val="0"/>
                <w:highlight w:val="none"/>
                <w:lang w:val="zh-CN"/>
              </w:rPr>
            </w:pPr>
            <w:r>
              <w:rPr>
                <w:color w:val="auto"/>
                <w:highlight w:val="none"/>
              </w:rPr>
              <w:object>
                <v:shape id="_x0000_i1025" o:spt="75" type="#_x0000_t75" style="height:259.4pt;width:382.75pt;" o:ole="t" filled="f" o:preferrelative="t" stroked="f" coordsize="21600,21600">
                  <v:path/>
                  <v:fill on="f" focussize="0,0"/>
                  <v:stroke on="f"/>
                  <v:imagedata r:id="rId20" o:title=""/>
                  <o:lock v:ext="edit" aspectratio="f"/>
                  <w10:wrap type="none"/>
                  <w10:anchorlock/>
                </v:shape>
                <o:OLEObject Type="Embed" ProgID="Visio.Drawing.15" ShapeID="_x0000_i1025" DrawAspect="Content" ObjectID="_1468075725" r:id="rId19">
                  <o:LockedField>false</o:LockedField>
                </o:OLEObject>
              </w:object>
            </w:r>
            <w:r>
              <w:rPr>
                <w:b/>
                <w:bCs/>
                <w:color w:val="auto"/>
                <w:kern w:val="0"/>
                <w:highlight w:val="none"/>
                <w:lang w:val="zh-CN"/>
              </w:rPr>
              <w:t>图</w:t>
            </w:r>
            <w:r>
              <w:rPr>
                <w:rFonts w:hint="eastAsia"/>
                <w:b/>
                <w:bCs/>
                <w:color w:val="auto"/>
                <w:kern w:val="0"/>
                <w:highlight w:val="none"/>
              </w:rPr>
              <w:t>2.</w:t>
            </w:r>
            <w:r>
              <w:rPr>
                <w:rFonts w:hint="eastAsia"/>
                <w:b/>
                <w:bCs/>
                <w:color w:val="auto"/>
                <w:kern w:val="0"/>
                <w:highlight w:val="none"/>
                <w:lang w:val="en-US" w:eastAsia="zh-CN"/>
              </w:rPr>
              <w:t>5</w:t>
            </w:r>
            <w:r>
              <w:rPr>
                <w:rFonts w:hint="eastAsia"/>
                <w:b/>
                <w:bCs/>
                <w:color w:val="auto"/>
                <w:kern w:val="0"/>
                <w:highlight w:val="none"/>
              </w:rPr>
              <w:t>-1</w:t>
            </w:r>
            <w:r>
              <w:rPr>
                <w:b/>
                <w:bCs/>
                <w:color w:val="auto"/>
                <w:kern w:val="0"/>
                <w:highlight w:val="none"/>
                <w:lang w:val="zh-CN"/>
              </w:rPr>
              <w:t xml:space="preserve"> </w:t>
            </w:r>
            <w:r>
              <w:rPr>
                <w:rFonts w:hint="eastAsia"/>
                <w:b/>
                <w:bCs/>
                <w:color w:val="auto"/>
                <w:kern w:val="0"/>
                <w:highlight w:val="none"/>
                <w:lang w:val="zh-CN"/>
              </w:rPr>
              <w:t>项目</w:t>
            </w:r>
            <w:r>
              <w:rPr>
                <w:rFonts w:hint="eastAsia"/>
                <w:b/>
                <w:bCs/>
                <w:color w:val="auto"/>
                <w:kern w:val="0"/>
                <w:highlight w:val="none"/>
                <w:lang w:val="en-US" w:eastAsia="zh-CN"/>
              </w:rPr>
              <w:t>一期</w:t>
            </w:r>
            <w:r>
              <w:rPr>
                <w:rFonts w:hint="eastAsia"/>
                <w:b/>
                <w:bCs/>
                <w:color w:val="auto"/>
                <w:kern w:val="0"/>
                <w:highlight w:val="none"/>
                <w:lang w:val="zh-CN"/>
              </w:rPr>
              <w:t>水平衡图（单位：m</w:t>
            </w:r>
            <w:r>
              <w:rPr>
                <w:rFonts w:hint="eastAsia"/>
                <w:b/>
                <w:bCs/>
                <w:color w:val="auto"/>
                <w:kern w:val="0"/>
                <w:highlight w:val="none"/>
                <w:vertAlign w:val="superscript"/>
                <w:lang w:val="zh-CN"/>
              </w:rPr>
              <w:t>3</w:t>
            </w:r>
            <w:r>
              <w:rPr>
                <w:b/>
                <w:bCs/>
                <w:color w:val="auto"/>
                <w:kern w:val="0"/>
                <w:highlight w:val="none"/>
                <w:lang w:val="zh-CN"/>
              </w:rPr>
              <w:t>/</w:t>
            </w:r>
            <w:r>
              <w:rPr>
                <w:rFonts w:hint="eastAsia"/>
                <w:b/>
                <w:bCs/>
                <w:color w:val="auto"/>
                <w:kern w:val="0"/>
                <w:highlight w:val="none"/>
                <w:lang w:val="en-US" w:eastAsia="zh-CN"/>
              </w:rPr>
              <w:t>a</w:t>
            </w:r>
            <w:r>
              <w:rPr>
                <w:rFonts w:hint="eastAsia"/>
                <w:b/>
                <w:bCs/>
                <w:color w:val="auto"/>
                <w:kern w:val="0"/>
                <w:highlight w:val="none"/>
                <w:lang w:val="zh-CN"/>
              </w:rPr>
              <w:t>）</w:t>
            </w:r>
          </w:p>
          <w:p w14:paraId="73CDA12F">
            <w:pPr>
              <w:ind w:firstLine="0" w:firstLineChars="0"/>
              <w:jc w:val="center"/>
              <w:rPr>
                <w:rFonts w:hint="eastAsia"/>
                <w:b/>
                <w:bCs/>
                <w:color w:val="auto"/>
                <w:kern w:val="0"/>
                <w:highlight w:val="none"/>
                <w:lang w:val="zh-CN"/>
              </w:rPr>
            </w:pPr>
            <w:r>
              <w:rPr>
                <w:color w:val="auto"/>
                <w:highlight w:val="none"/>
              </w:rPr>
              <w:object>
                <v:shape id="_x0000_i1026" o:spt="75" type="#_x0000_t75" style="height:254.25pt;width:382.05pt;" o:ole="t" filled="f" o:preferrelative="t" stroked="f" coordsize="21600,21600">
                  <v:path/>
                  <v:fill on="f" focussize="0,0"/>
                  <v:stroke on="f"/>
                  <v:imagedata r:id="rId22" o:title=""/>
                  <o:lock v:ext="edit" aspectratio="f"/>
                  <w10:wrap type="none"/>
                  <w10:anchorlock/>
                </v:shape>
                <o:OLEObject Type="Embed" ProgID="Visio.Drawing.15" ShapeID="_x0000_i1026" DrawAspect="Content" ObjectID="_1468075726" r:id="rId21">
                  <o:LockedField>false</o:LockedField>
                </o:OLEObject>
              </w:object>
            </w:r>
            <w:r>
              <w:rPr>
                <w:b/>
                <w:bCs/>
                <w:color w:val="auto"/>
                <w:kern w:val="0"/>
                <w:highlight w:val="none"/>
                <w:lang w:val="zh-CN"/>
              </w:rPr>
              <w:t>图</w:t>
            </w:r>
            <w:r>
              <w:rPr>
                <w:rFonts w:hint="eastAsia"/>
                <w:b/>
                <w:bCs/>
                <w:color w:val="auto"/>
                <w:kern w:val="0"/>
                <w:highlight w:val="none"/>
              </w:rPr>
              <w:t>2.</w:t>
            </w:r>
            <w:r>
              <w:rPr>
                <w:rFonts w:hint="eastAsia"/>
                <w:b/>
                <w:bCs/>
                <w:color w:val="auto"/>
                <w:kern w:val="0"/>
                <w:highlight w:val="none"/>
                <w:lang w:val="en-US" w:eastAsia="zh-CN"/>
              </w:rPr>
              <w:t>5</w:t>
            </w:r>
            <w:r>
              <w:rPr>
                <w:rFonts w:hint="eastAsia"/>
                <w:b/>
                <w:bCs/>
                <w:color w:val="auto"/>
                <w:kern w:val="0"/>
                <w:highlight w:val="none"/>
              </w:rPr>
              <w:t>-</w:t>
            </w:r>
            <w:r>
              <w:rPr>
                <w:rFonts w:hint="eastAsia"/>
                <w:b/>
                <w:bCs/>
                <w:color w:val="auto"/>
                <w:kern w:val="0"/>
                <w:highlight w:val="none"/>
                <w:lang w:val="en-US" w:eastAsia="zh-CN"/>
              </w:rPr>
              <w:t>2</w:t>
            </w:r>
            <w:r>
              <w:rPr>
                <w:b/>
                <w:bCs/>
                <w:color w:val="auto"/>
                <w:kern w:val="0"/>
                <w:highlight w:val="none"/>
                <w:lang w:val="zh-CN"/>
              </w:rPr>
              <w:t xml:space="preserve"> </w:t>
            </w:r>
            <w:r>
              <w:rPr>
                <w:rFonts w:hint="eastAsia"/>
                <w:b/>
                <w:bCs/>
                <w:color w:val="auto"/>
                <w:kern w:val="0"/>
                <w:highlight w:val="none"/>
                <w:lang w:val="en-US" w:eastAsia="zh-CN"/>
              </w:rPr>
              <w:t>本</w:t>
            </w:r>
            <w:r>
              <w:rPr>
                <w:rFonts w:hint="eastAsia"/>
                <w:b/>
                <w:bCs/>
                <w:color w:val="auto"/>
                <w:kern w:val="0"/>
                <w:highlight w:val="none"/>
                <w:lang w:val="zh-CN"/>
              </w:rPr>
              <w:t>项目（</w:t>
            </w:r>
            <w:r>
              <w:rPr>
                <w:rFonts w:hint="eastAsia"/>
                <w:b/>
                <w:bCs/>
                <w:color w:val="auto"/>
                <w:kern w:val="0"/>
                <w:highlight w:val="none"/>
                <w:lang w:val="en-US" w:eastAsia="zh-CN"/>
              </w:rPr>
              <w:t>全厂</w:t>
            </w:r>
            <w:r>
              <w:rPr>
                <w:rFonts w:hint="eastAsia"/>
                <w:b/>
                <w:bCs/>
                <w:color w:val="auto"/>
                <w:kern w:val="0"/>
                <w:highlight w:val="none"/>
                <w:lang w:val="zh-CN"/>
              </w:rPr>
              <w:t>）水平衡图（单位：m</w:t>
            </w:r>
            <w:r>
              <w:rPr>
                <w:rFonts w:hint="eastAsia"/>
                <w:b/>
                <w:bCs/>
                <w:color w:val="auto"/>
                <w:kern w:val="0"/>
                <w:highlight w:val="none"/>
                <w:vertAlign w:val="superscript"/>
                <w:lang w:val="zh-CN"/>
              </w:rPr>
              <w:t>3</w:t>
            </w:r>
            <w:r>
              <w:rPr>
                <w:b/>
                <w:bCs/>
                <w:color w:val="auto"/>
                <w:kern w:val="0"/>
                <w:highlight w:val="none"/>
                <w:lang w:val="zh-CN"/>
              </w:rPr>
              <w:t>/</w:t>
            </w:r>
            <w:r>
              <w:rPr>
                <w:rFonts w:hint="eastAsia"/>
                <w:b/>
                <w:bCs/>
                <w:color w:val="auto"/>
                <w:kern w:val="0"/>
                <w:highlight w:val="none"/>
                <w:lang w:val="en-US" w:eastAsia="zh-CN"/>
              </w:rPr>
              <w:t>a</w:t>
            </w:r>
            <w:r>
              <w:rPr>
                <w:rFonts w:hint="eastAsia"/>
                <w:b/>
                <w:bCs/>
                <w:color w:val="auto"/>
                <w:kern w:val="0"/>
                <w:highlight w:val="none"/>
                <w:lang w:val="zh-CN"/>
              </w:rPr>
              <w:t>）</w:t>
            </w:r>
          </w:p>
          <w:bookmarkEnd w:id="9"/>
          <w:bookmarkEnd w:id="10"/>
          <w:bookmarkEnd w:id="11"/>
          <w:bookmarkEnd w:id="12"/>
          <w:bookmarkEnd w:id="13"/>
          <w:p w14:paraId="72D16B16">
            <w:pPr>
              <w:pStyle w:val="4"/>
              <w:rPr>
                <w:rFonts w:hint="eastAsia"/>
                <w:color w:val="auto"/>
                <w:highlight w:val="none"/>
              </w:rPr>
            </w:pPr>
            <w:r>
              <w:rPr>
                <w:color w:val="auto"/>
                <w:highlight w:val="none"/>
              </w:rPr>
              <w:t>2.</w:t>
            </w:r>
            <w:r>
              <w:rPr>
                <w:rFonts w:hint="eastAsia"/>
                <w:color w:val="auto"/>
                <w:highlight w:val="none"/>
              </w:rPr>
              <w:t>6</w:t>
            </w:r>
            <w:r>
              <w:rPr>
                <w:color w:val="auto"/>
                <w:highlight w:val="none"/>
              </w:rPr>
              <w:t xml:space="preserve"> </w:t>
            </w:r>
            <w:r>
              <w:rPr>
                <w:rFonts w:hint="eastAsia"/>
                <w:color w:val="auto"/>
                <w:highlight w:val="none"/>
              </w:rPr>
              <w:t>厂区平面布置</w:t>
            </w:r>
          </w:p>
          <w:p w14:paraId="7089DA9A">
            <w:pPr>
              <w:ind w:firstLine="480"/>
              <w:rPr>
                <w:rFonts w:hint="eastAsia"/>
                <w:color w:val="auto"/>
                <w:highlight w:val="none"/>
              </w:rPr>
            </w:pPr>
            <w:r>
              <w:rPr>
                <w:color w:val="auto"/>
                <w:highlight w:val="none"/>
              </w:rPr>
              <w:t>项目</w:t>
            </w:r>
            <w:r>
              <w:rPr>
                <w:rFonts w:hint="eastAsia"/>
                <w:color w:val="auto"/>
                <w:highlight w:val="none"/>
              </w:rPr>
              <w:t>位于福建省福州市罗源县</w:t>
            </w:r>
            <w:r>
              <w:rPr>
                <w:rFonts w:hint="eastAsia" w:ascii="Times New Roman" w:hAnsi="Times New Roman" w:eastAsia="宋体" w:cs="Times New Roman"/>
                <w:color w:val="auto"/>
                <w:highlight w:val="none"/>
                <w:lang w:val="en-US" w:eastAsia="zh-CN"/>
              </w:rPr>
              <w:t>金港工业区</w:t>
            </w:r>
            <w:r>
              <w:rPr>
                <w:rFonts w:hint="eastAsia"/>
                <w:color w:val="auto"/>
                <w:highlight w:val="none"/>
              </w:rPr>
              <w:t>。</w:t>
            </w:r>
            <w:r>
              <w:rPr>
                <w:rFonts w:hint="eastAsia"/>
                <w:color w:val="auto"/>
                <w:highlight w:val="none"/>
                <w:lang w:val="en-US" w:eastAsia="zh-CN"/>
              </w:rPr>
              <w:t>项目一期</w:t>
            </w:r>
            <w:r>
              <w:rPr>
                <w:rFonts w:hint="eastAsia"/>
                <w:color w:val="auto"/>
                <w:highlight w:val="none"/>
              </w:rPr>
              <w:t>生产车间位于厂区</w:t>
            </w:r>
            <w:r>
              <w:rPr>
                <w:rFonts w:hint="eastAsia"/>
                <w:color w:val="auto"/>
                <w:highlight w:val="none"/>
                <w:lang w:val="en-US" w:eastAsia="zh-CN"/>
              </w:rPr>
              <w:t>东侧，二期</w:t>
            </w:r>
            <w:r>
              <w:rPr>
                <w:rFonts w:hint="eastAsia"/>
                <w:color w:val="auto"/>
                <w:highlight w:val="none"/>
              </w:rPr>
              <w:t>生产车间位于厂区</w:t>
            </w:r>
            <w:r>
              <w:rPr>
                <w:rFonts w:hint="eastAsia"/>
                <w:color w:val="auto"/>
                <w:highlight w:val="none"/>
                <w:lang w:val="en-US" w:eastAsia="zh-CN"/>
              </w:rPr>
              <w:t>南侧</w:t>
            </w:r>
            <w:r>
              <w:rPr>
                <w:rFonts w:hint="eastAsia"/>
                <w:color w:val="auto"/>
                <w:highlight w:val="none"/>
              </w:rPr>
              <w:t>，</w:t>
            </w:r>
            <w:r>
              <w:rPr>
                <w:rFonts w:hint="eastAsia" w:ascii="Times New Roman" w:hAnsi="Times New Roman" w:cs="Times New Roman"/>
                <w:snapToGrid/>
                <w:color w:val="auto"/>
                <w:kern w:val="2"/>
                <w:szCs w:val="24"/>
                <w:highlight w:val="none"/>
                <w:lang w:eastAsia="zh-CN"/>
              </w:rPr>
              <w:t>骨料堆棚</w:t>
            </w:r>
            <w:r>
              <w:rPr>
                <w:rFonts w:hint="eastAsia"/>
                <w:color w:val="auto"/>
                <w:highlight w:val="none"/>
              </w:rPr>
              <w:t>位于厂区南侧</w:t>
            </w:r>
            <w:r>
              <w:rPr>
                <w:rFonts w:hint="eastAsia"/>
                <w:color w:val="auto"/>
                <w:highlight w:val="none"/>
                <w:lang w:val="en-US" w:eastAsia="zh-CN"/>
              </w:rPr>
              <w:t>和西侧</w:t>
            </w:r>
            <w:r>
              <w:rPr>
                <w:rFonts w:hint="eastAsia"/>
                <w:color w:val="auto"/>
                <w:highlight w:val="none"/>
              </w:rPr>
              <w:t>，宿舍楼</w:t>
            </w:r>
            <w:r>
              <w:rPr>
                <w:rFonts w:hint="eastAsia"/>
                <w:color w:val="auto"/>
                <w:highlight w:val="none"/>
                <w:lang w:eastAsia="zh-CN"/>
              </w:rPr>
              <w:t>、</w:t>
            </w:r>
            <w:r>
              <w:rPr>
                <w:rFonts w:hint="eastAsia"/>
                <w:color w:val="auto"/>
                <w:highlight w:val="none"/>
                <w:lang w:val="en-US" w:eastAsia="zh-CN"/>
              </w:rPr>
              <w:t>办公楼</w:t>
            </w:r>
            <w:r>
              <w:rPr>
                <w:rFonts w:hint="eastAsia"/>
                <w:color w:val="auto"/>
                <w:highlight w:val="none"/>
              </w:rPr>
              <w:t>位于厂区</w:t>
            </w:r>
            <w:r>
              <w:rPr>
                <w:rFonts w:hint="eastAsia"/>
                <w:color w:val="auto"/>
                <w:highlight w:val="none"/>
                <w:lang w:val="en-US" w:eastAsia="zh-CN"/>
              </w:rPr>
              <w:t>东</w:t>
            </w:r>
            <w:r>
              <w:rPr>
                <w:rFonts w:hint="eastAsia"/>
                <w:color w:val="auto"/>
                <w:highlight w:val="none"/>
              </w:rPr>
              <w:t>北侧。</w:t>
            </w:r>
            <w:r>
              <w:rPr>
                <w:color w:val="auto"/>
                <w:highlight w:val="none"/>
              </w:rPr>
              <w:t>该区常年主导风向为东</w:t>
            </w:r>
            <w:r>
              <w:rPr>
                <w:rFonts w:hint="eastAsia"/>
                <w:color w:val="auto"/>
                <w:highlight w:val="none"/>
              </w:rPr>
              <w:t>南</w:t>
            </w:r>
            <w:r>
              <w:rPr>
                <w:color w:val="auto"/>
                <w:highlight w:val="none"/>
              </w:rPr>
              <w:t>风</w:t>
            </w:r>
            <w:r>
              <w:rPr>
                <w:rFonts w:hint="eastAsia"/>
                <w:color w:val="auto"/>
                <w:highlight w:val="none"/>
              </w:rPr>
              <w:t>，且生产车间产生的废气通过排气筒楼顶排放</w:t>
            </w:r>
            <w:r>
              <w:rPr>
                <w:color w:val="auto"/>
                <w:highlight w:val="none"/>
              </w:rPr>
              <w:t>，因此可最大减少本项目</w:t>
            </w:r>
            <w:r>
              <w:rPr>
                <w:rFonts w:hint="eastAsia"/>
                <w:color w:val="auto"/>
                <w:highlight w:val="none"/>
              </w:rPr>
              <w:t>生产车间</w:t>
            </w:r>
            <w:r>
              <w:rPr>
                <w:color w:val="auto"/>
                <w:highlight w:val="none"/>
              </w:rPr>
              <w:t>对厂</w:t>
            </w:r>
            <w:r>
              <w:rPr>
                <w:rFonts w:hint="eastAsia"/>
                <w:color w:val="auto"/>
                <w:highlight w:val="none"/>
              </w:rPr>
              <w:t>房</w:t>
            </w:r>
            <w:r>
              <w:rPr>
                <w:color w:val="auto"/>
                <w:highlight w:val="none"/>
              </w:rPr>
              <w:t>办公人员</w:t>
            </w:r>
            <w:r>
              <w:rPr>
                <w:rFonts w:hint="eastAsia"/>
                <w:color w:val="auto"/>
                <w:highlight w:val="none"/>
              </w:rPr>
              <w:t>及宿舍楼职工</w:t>
            </w:r>
            <w:r>
              <w:rPr>
                <w:color w:val="auto"/>
                <w:highlight w:val="none"/>
              </w:rPr>
              <w:t>的影响，从总体上考虑</w:t>
            </w:r>
            <w:r>
              <w:rPr>
                <w:rFonts w:hint="eastAsia"/>
                <w:color w:val="auto"/>
                <w:highlight w:val="none"/>
              </w:rPr>
              <w:t>，</w:t>
            </w:r>
            <w:r>
              <w:rPr>
                <w:color w:val="auto"/>
                <w:highlight w:val="none"/>
              </w:rPr>
              <w:t>该厂的布局从环保角度分析是基本合理的</w:t>
            </w:r>
            <w:r>
              <w:rPr>
                <w:rFonts w:hint="eastAsia"/>
                <w:color w:val="auto"/>
                <w:highlight w:val="none"/>
              </w:rPr>
              <w:t>。</w:t>
            </w:r>
          </w:p>
        </w:tc>
      </w:tr>
    </w:tbl>
    <w:p w14:paraId="2589A8E8">
      <w:pPr>
        <w:pStyle w:val="22"/>
        <w:jc w:val="center"/>
        <w:rPr>
          <w:rFonts w:ascii="Times New Roman" w:hAnsi="Times New Roman" w:eastAsia="黑体"/>
          <w:snapToGrid w:val="0"/>
          <w:color w:val="auto"/>
          <w:sz w:val="36"/>
          <w:szCs w:val="36"/>
          <w:highlight w:val="none"/>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tbl>
      <w:tblPr>
        <w:tblStyle w:val="27"/>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1"/>
        <w:gridCol w:w="12751"/>
      </w:tblGrid>
      <w:tr w14:paraId="215A0D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329" w:type="pct"/>
            <w:noWrap w:val="0"/>
            <w:vAlign w:val="center"/>
          </w:tcPr>
          <w:p w14:paraId="2F95704A">
            <w:pPr>
              <w:adjustRightInd w:val="0"/>
              <w:snapToGrid w:val="0"/>
              <w:spacing w:line="240" w:lineRule="auto"/>
              <w:ind w:firstLine="0" w:firstLineChars="0"/>
              <w:jc w:val="center"/>
              <w:rPr>
                <w:color w:val="auto"/>
                <w:highlight w:val="none"/>
              </w:rPr>
            </w:pPr>
            <w:r>
              <w:rPr>
                <w:color w:val="auto"/>
                <w:highlight w:val="none"/>
              </w:rPr>
              <w:t>工艺流程和产排污环节</w:t>
            </w:r>
          </w:p>
        </w:tc>
        <w:tc>
          <w:tcPr>
            <w:tcW w:w="4670" w:type="pct"/>
            <w:noWrap w:val="0"/>
            <w:vAlign w:val="top"/>
          </w:tcPr>
          <w:p w14:paraId="53162BA7">
            <w:pPr>
              <w:pStyle w:val="3"/>
              <w:rPr>
                <w:color w:val="auto"/>
                <w:highlight w:val="none"/>
              </w:rPr>
            </w:pPr>
            <w:r>
              <w:rPr>
                <w:color w:val="auto"/>
                <w:highlight w:val="none"/>
              </w:rPr>
              <w:t>2.</w:t>
            </w:r>
            <w:r>
              <w:rPr>
                <w:rFonts w:hint="eastAsia"/>
                <w:color w:val="auto"/>
                <w:highlight w:val="none"/>
              </w:rPr>
              <w:t>7</w:t>
            </w:r>
            <w:r>
              <w:rPr>
                <w:color w:val="auto"/>
                <w:highlight w:val="none"/>
              </w:rPr>
              <w:t>生产工艺流程及产污环节</w:t>
            </w:r>
          </w:p>
          <w:p w14:paraId="63255114">
            <w:pPr>
              <w:pStyle w:val="4"/>
              <w:rPr>
                <w:color w:val="auto"/>
                <w:highlight w:val="none"/>
              </w:rPr>
            </w:pPr>
            <w:r>
              <w:rPr>
                <w:color w:val="auto"/>
                <w:highlight w:val="none"/>
              </w:rPr>
              <w:t>2.</w:t>
            </w:r>
            <w:r>
              <w:rPr>
                <w:rFonts w:hint="eastAsia"/>
                <w:color w:val="auto"/>
                <w:highlight w:val="none"/>
              </w:rPr>
              <w:t>7</w:t>
            </w:r>
            <w:r>
              <w:rPr>
                <w:color w:val="auto"/>
                <w:highlight w:val="none"/>
              </w:rPr>
              <w:t>.1工艺流程及工艺介绍</w:t>
            </w:r>
          </w:p>
          <w:p w14:paraId="2F95B531">
            <w:pPr>
              <w:ind w:firstLine="480"/>
              <w:rPr>
                <w:color w:val="auto"/>
                <w:highlight w:val="none"/>
              </w:rPr>
            </w:pPr>
            <w:r>
              <w:rPr>
                <w:rFonts w:hint="eastAsia"/>
                <w:color w:val="auto"/>
                <w:highlight w:val="none"/>
                <w:lang w:val="en-US" w:eastAsia="zh-CN"/>
              </w:rPr>
              <w:t>本</w:t>
            </w:r>
            <w:r>
              <w:rPr>
                <w:color w:val="auto"/>
                <w:highlight w:val="none"/>
              </w:rPr>
              <w:t>项目主要工艺流程及产污环节见图</w:t>
            </w:r>
            <w:r>
              <w:rPr>
                <w:rFonts w:hint="eastAsia"/>
                <w:color w:val="auto"/>
                <w:highlight w:val="none"/>
              </w:rPr>
              <w:t>2.7-1</w:t>
            </w:r>
            <w:r>
              <w:rPr>
                <w:color w:val="auto"/>
                <w:highlight w:val="none"/>
              </w:rPr>
              <w:t>。</w:t>
            </w:r>
          </w:p>
          <w:p w14:paraId="25756CAF">
            <w:pPr>
              <w:bidi w:val="0"/>
              <w:ind w:left="0" w:leftChars="0" w:firstLine="0" w:firstLineChars="0"/>
              <w:jc w:val="center"/>
              <w:rPr>
                <w:color w:val="auto"/>
                <w:highlight w:val="none"/>
              </w:rPr>
            </w:pPr>
            <w:r>
              <w:rPr>
                <w:rFonts w:hint="eastAsia"/>
                <w:b/>
                <w:bCs/>
                <w:color w:val="auto"/>
                <w:highlight w:val="none"/>
              </w:rPr>
              <w:t>图2.7-1</w:t>
            </w:r>
            <w:r>
              <w:rPr>
                <w:b/>
                <w:bCs/>
                <w:color w:val="auto"/>
                <w:highlight w:val="none"/>
              </w:rPr>
              <w:t xml:space="preserve"> </w:t>
            </w:r>
            <w:r>
              <w:rPr>
                <w:rFonts w:hint="eastAsia"/>
                <w:b/>
                <w:bCs/>
                <w:color w:val="auto"/>
                <w:highlight w:val="none"/>
              </w:rPr>
              <w:t xml:space="preserve"> 项目生产工艺流程图（G：废气；N：噪声；S：固体废物）</w:t>
            </w:r>
          </w:p>
        </w:tc>
      </w:tr>
    </w:tbl>
    <w:p w14:paraId="593BE597">
      <w:pPr>
        <w:pStyle w:val="22"/>
        <w:jc w:val="center"/>
        <w:rPr>
          <w:rFonts w:ascii="Times New Roman" w:hAnsi="Times New Roman" w:eastAsia="黑体"/>
          <w:snapToGrid w:val="0"/>
          <w:color w:val="auto"/>
          <w:sz w:val="36"/>
          <w:szCs w:val="36"/>
          <w:highlight w:val="none"/>
        </w:rPr>
        <w:sectPr>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p>
    <w:tbl>
      <w:tblPr>
        <w:tblStyle w:val="27"/>
        <w:tblW w:w="907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87"/>
        <w:gridCol w:w="7792"/>
      </w:tblGrid>
      <w:tr w14:paraId="645A2F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287" w:type="dxa"/>
            <w:noWrap w:val="0"/>
            <w:vAlign w:val="center"/>
          </w:tcPr>
          <w:p w14:paraId="7C962A04">
            <w:pPr>
              <w:adjustRightInd w:val="0"/>
              <w:snapToGrid w:val="0"/>
              <w:spacing w:line="240" w:lineRule="auto"/>
              <w:ind w:firstLine="0" w:firstLineChars="0"/>
              <w:jc w:val="center"/>
              <w:rPr>
                <w:color w:val="auto"/>
                <w:highlight w:val="none"/>
              </w:rPr>
            </w:pPr>
            <w:r>
              <w:rPr>
                <w:color w:val="auto"/>
                <w:highlight w:val="none"/>
              </w:rPr>
              <w:t>工艺流程和产排污环节</w:t>
            </w:r>
          </w:p>
        </w:tc>
        <w:tc>
          <w:tcPr>
            <w:tcW w:w="7792" w:type="dxa"/>
            <w:noWrap w:val="0"/>
            <w:vAlign w:val="top"/>
          </w:tcPr>
          <w:p w14:paraId="0EFAD4FF">
            <w:pPr>
              <w:ind w:firstLine="482"/>
              <w:rPr>
                <w:rFonts w:hint="eastAsia"/>
                <w:b/>
                <w:bCs/>
                <w:color w:val="auto"/>
                <w:highlight w:val="none"/>
              </w:rPr>
            </w:pPr>
            <w:r>
              <w:rPr>
                <w:b/>
                <w:bCs/>
                <w:color w:val="auto"/>
                <w:highlight w:val="none"/>
              </w:rPr>
              <w:t>主要工艺说明</w:t>
            </w:r>
            <w:r>
              <w:rPr>
                <w:rFonts w:hint="eastAsia"/>
                <w:b/>
                <w:bCs/>
                <w:color w:val="auto"/>
                <w:highlight w:val="none"/>
              </w:rPr>
              <w:t>：</w:t>
            </w:r>
          </w:p>
          <w:p w14:paraId="551AB5B6">
            <w:pPr>
              <w:ind w:firstLine="482"/>
              <w:rPr>
                <w:rFonts w:hint="eastAsia"/>
                <w:b/>
                <w:bCs/>
                <w:color w:val="auto"/>
                <w:highlight w:val="none"/>
              </w:rPr>
            </w:pPr>
          </w:p>
          <w:p w14:paraId="2FD2B1EF">
            <w:pPr>
              <w:pStyle w:val="4"/>
              <w:rPr>
                <w:rFonts w:hint="eastAsia"/>
                <w:b/>
                <w:color w:val="auto"/>
                <w:highlight w:val="none"/>
              </w:rPr>
            </w:pPr>
            <w:r>
              <w:rPr>
                <w:rFonts w:hint="eastAsia"/>
                <w:color w:val="auto"/>
                <w:highlight w:val="none"/>
              </w:rPr>
              <w:t>2.7.2主要产污环节</w:t>
            </w:r>
          </w:p>
          <w:p w14:paraId="5B4ACF23">
            <w:pPr>
              <w:pStyle w:val="85"/>
              <w:ind w:firstLine="0" w:firstLineChars="0"/>
              <w:jc w:val="center"/>
              <w:rPr>
                <w:rFonts w:hint="eastAsia"/>
                <w:b/>
                <w:color w:val="auto"/>
                <w:highlight w:val="none"/>
              </w:rPr>
            </w:pPr>
            <w:r>
              <w:rPr>
                <w:rFonts w:hint="eastAsia"/>
                <w:b/>
                <w:color w:val="auto"/>
                <w:highlight w:val="none"/>
              </w:rPr>
              <w:t>表2.7-1 主要污染工序一览表</w:t>
            </w:r>
          </w:p>
          <w:tbl>
            <w:tblPr>
              <w:tblStyle w:val="27"/>
              <w:tblW w:w="4996"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791"/>
              <w:gridCol w:w="1298"/>
              <w:gridCol w:w="1286"/>
              <w:gridCol w:w="1648"/>
              <w:gridCol w:w="2547"/>
            </w:tblGrid>
            <w:tr w14:paraId="10E8D1E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2" w:hRule="atLeast"/>
                <w:jc w:val="center"/>
              </w:trPr>
              <w:tc>
                <w:tcPr>
                  <w:tcW w:w="522" w:type="pct"/>
                  <w:noWrap w:val="0"/>
                  <w:vAlign w:val="center"/>
                </w:tcPr>
                <w:p w14:paraId="5FA66A28">
                  <w:pPr>
                    <w:pStyle w:val="98"/>
                    <w:adjustRightInd/>
                    <w:snapToGrid/>
                    <w:rPr>
                      <w:b/>
                      <w:bCs/>
                      <w:color w:val="auto"/>
                      <w:szCs w:val="21"/>
                      <w:highlight w:val="none"/>
                    </w:rPr>
                  </w:pPr>
                  <w:r>
                    <w:rPr>
                      <w:b/>
                      <w:bCs/>
                      <w:color w:val="auto"/>
                      <w:szCs w:val="21"/>
                      <w:highlight w:val="none"/>
                    </w:rPr>
                    <w:t>污染源类型</w:t>
                  </w:r>
                </w:p>
              </w:tc>
              <w:tc>
                <w:tcPr>
                  <w:tcW w:w="857" w:type="pct"/>
                  <w:noWrap w:val="0"/>
                  <w:vAlign w:val="center"/>
                </w:tcPr>
                <w:p w14:paraId="4AF41915">
                  <w:pPr>
                    <w:pStyle w:val="98"/>
                    <w:adjustRightInd/>
                    <w:snapToGrid/>
                    <w:rPr>
                      <w:b/>
                      <w:bCs/>
                      <w:color w:val="auto"/>
                      <w:szCs w:val="21"/>
                      <w:highlight w:val="none"/>
                    </w:rPr>
                  </w:pPr>
                  <w:r>
                    <w:rPr>
                      <w:b/>
                      <w:bCs/>
                      <w:color w:val="auto"/>
                      <w:szCs w:val="21"/>
                      <w:highlight w:val="none"/>
                    </w:rPr>
                    <w:t>产排污环节</w:t>
                  </w:r>
                </w:p>
              </w:tc>
              <w:tc>
                <w:tcPr>
                  <w:tcW w:w="849" w:type="pct"/>
                  <w:noWrap w:val="0"/>
                  <w:vAlign w:val="center"/>
                </w:tcPr>
                <w:p w14:paraId="6BFB9AA7">
                  <w:pPr>
                    <w:pStyle w:val="98"/>
                    <w:adjustRightInd/>
                    <w:snapToGrid/>
                    <w:rPr>
                      <w:b/>
                      <w:bCs/>
                      <w:color w:val="auto"/>
                      <w:szCs w:val="21"/>
                      <w:highlight w:val="none"/>
                    </w:rPr>
                  </w:pPr>
                  <w:r>
                    <w:rPr>
                      <w:rFonts w:hint="eastAsia"/>
                      <w:b/>
                      <w:bCs/>
                      <w:color w:val="auto"/>
                      <w:szCs w:val="21"/>
                      <w:highlight w:val="none"/>
                    </w:rPr>
                    <w:t>污染物种类</w:t>
                  </w:r>
                </w:p>
              </w:tc>
              <w:tc>
                <w:tcPr>
                  <w:tcW w:w="1088" w:type="pct"/>
                  <w:noWrap w:val="0"/>
                  <w:vAlign w:val="center"/>
                </w:tcPr>
                <w:p w14:paraId="74701C40">
                  <w:pPr>
                    <w:pStyle w:val="98"/>
                    <w:adjustRightInd/>
                    <w:snapToGrid/>
                    <w:rPr>
                      <w:b/>
                      <w:bCs/>
                      <w:color w:val="auto"/>
                      <w:szCs w:val="21"/>
                      <w:highlight w:val="none"/>
                    </w:rPr>
                  </w:pPr>
                  <w:r>
                    <w:rPr>
                      <w:b/>
                      <w:bCs/>
                      <w:color w:val="auto"/>
                      <w:szCs w:val="21"/>
                      <w:highlight w:val="none"/>
                    </w:rPr>
                    <w:t>污染因子</w:t>
                  </w:r>
                </w:p>
              </w:tc>
              <w:tc>
                <w:tcPr>
                  <w:tcW w:w="1682" w:type="pct"/>
                  <w:noWrap w:val="0"/>
                  <w:vAlign w:val="center"/>
                </w:tcPr>
                <w:p w14:paraId="48A1E405">
                  <w:pPr>
                    <w:pStyle w:val="98"/>
                    <w:adjustRightInd/>
                    <w:snapToGrid/>
                    <w:rPr>
                      <w:b/>
                      <w:bCs/>
                      <w:color w:val="auto"/>
                      <w:szCs w:val="21"/>
                      <w:highlight w:val="none"/>
                    </w:rPr>
                  </w:pPr>
                  <w:r>
                    <w:rPr>
                      <w:rFonts w:hint="eastAsia"/>
                      <w:b/>
                      <w:bCs/>
                      <w:color w:val="auto"/>
                      <w:highlight w:val="none"/>
                    </w:rPr>
                    <w:t>处理方式及去向</w:t>
                  </w:r>
                </w:p>
              </w:tc>
            </w:tr>
            <w:tr w14:paraId="21DE1FA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22" w:type="pct"/>
                  <w:vMerge w:val="restart"/>
                  <w:noWrap w:val="0"/>
                  <w:vAlign w:val="center"/>
                </w:tcPr>
                <w:p w14:paraId="437F7C3D">
                  <w:pPr>
                    <w:pStyle w:val="98"/>
                    <w:adjustRightInd/>
                    <w:snapToGrid/>
                    <w:rPr>
                      <w:color w:val="auto"/>
                      <w:szCs w:val="21"/>
                      <w:highlight w:val="none"/>
                    </w:rPr>
                  </w:pPr>
                  <w:r>
                    <w:rPr>
                      <w:color w:val="auto"/>
                      <w:szCs w:val="21"/>
                      <w:highlight w:val="none"/>
                    </w:rPr>
                    <w:t>废气</w:t>
                  </w:r>
                </w:p>
              </w:tc>
              <w:tc>
                <w:tcPr>
                  <w:tcW w:w="857" w:type="pct"/>
                  <w:noWrap w:val="0"/>
                  <w:vAlign w:val="center"/>
                </w:tcPr>
                <w:p w14:paraId="083F0E39">
                  <w:pPr>
                    <w:pStyle w:val="98"/>
                    <w:adjustRightInd/>
                    <w:snapToGrid/>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骨料下料和输送工序</w:t>
                  </w:r>
                  <w:r>
                    <w:rPr>
                      <w:rFonts w:hint="default" w:ascii="Times New Roman" w:hAnsi="Times New Roman" w:eastAsia="宋体" w:cs="Times New Roman"/>
                      <w:color w:val="auto"/>
                      <w:szCs w:val="21"/>
                      <w:highlight w:val="none"/>
                      <w:lang w:val="en-US" w:eastAsia="zh-CN"/>
                    </w:rPr>
                    <w:t>G1</w:t>
                  </w:r>
                </w:p>
              </w:tc>
              <w:tc>
                <w:tcPr>
                  <w:tcW w:w="849" w:type="pct"/>
                  <w:noWrap w:val="0"/>
                  <w:vAlign w:val="center"/>
                </w:tcPr>
                <w:p w14:paraId="410C7FDC">
                  <w:pPr>
                    <w:pStyle w:val="98"/>
                    <w:adjustRightInd/>
                    <w:snapToGrid/>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val="en-US" w:eastAsia="zh-CN"/>
                    </w:rPr>
                    <w:t>粉尘</w:t>
                  </w:r>
                </w:p>
              </w:tc>
              <w:tc>
                <w:tcPr>
                  <w:tcW w:w="1088" w:type="pct"/>
                  <w:noWrap w:val="0"/>
                  <w:vAlign w:val="center"/>
                </w:tcPr>
                <w:p w14:paraId="4F09846E">
                  <w:pPr>
                    <w:pStyle w:val="98"/>
                    <w:adjustRightInd/>
                    <w:snapToGrid/>
                    <w:rPr>
                      <w:rFonts w:hint="eastAsia" w:eastAsia="宋体"/>
                      <w:color w:val="auto"/>
                      <w:szCs w:val="21"/>
                      <w:highlight w:val="none"/>
                      <w:lang w:eastAsia="zh-CN"/>
                    </w:rPr>
                  </w:pPr>
                  <w:r>
                    <w:rPr>
                      <w:rFonts w:hint="eastAsia"/>
                      <w:color w:val="auto"/>
                      <w:szCs w:val="21"/>
                      <w:highlight w:val="none"/>
                      <w:lang w:val="en-US" w:eastAsia="zh-CN"/>
                    </w:rPr>
                    <w:t>颗粒物</w:t>
                  </w:r>
                </w:p>
              </w:tc>
              <w:tc>
                <w:tcPr>
                  <w:tcW w:w="1682" w:type="pct"/>
                  <w:noWrap w:val="0"/>
                  <w:vAlign w:val="center"/>
                </w:tcPr>
                <w:p w14:paraId="258B9F9F">
                  <w:pPr>
                    <w:pStyle w:val="98"/>
                    <w:adjustRightInd/>
                    <w:snapToGrid/>
                    <w:rPr>
                      <w:bCs/>
                      <w:color w:val="auto"/>
                      <w:spacing w:val="10"/>
                      <w:highlight w:val="none"/>
                    </w:rPr>
                  </w:pPr>
                  <w:r>
                    <w:rPr>
                      <w:rFonts w:hint="eastAsia" w:ascii="Times New Roman" w:hAnsi="Times New Roman" w:eastAsia="宋体" w:cs="Times New Roman"/>
                      <w:color w:val="auto"/>
                      <w:szCs w:val="21"/>
                      <w:highlight w:val="none"/>
                      <w:lang w:val="en-US" w:eastAsia="zh-CN"/>
                    </w:rPr>
                    <w:t>全密闭处理</w:t>
                  </w:r>
                </w:p>
              </w:tc>
            </w:tr>
            <w:tr w14:paraId="671E673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91" w:hRule="atLeast"/>
                <w:jc w:val="center"/>
              </w:trPr>
              <w:tc>
                <w:tcPr>
                  <w:tcW w:w="522" w:type="pct"/>
                  <w:vMerge w:val="continue"/>
                  <w:noWrap w:val="0"/>
                  <w:vAlign w:val="center"/>
                </w:tcPr>
                <w:p w14:paraId="32A2CABA">
                  <w:pPr>
                    <w:pStyle w:val="98"/>
                    <w:adjustRightInd/>
                    <w:snapToGrid/>
                    <w:rPr>
                      <w:color w:val="auto"/>
                      <w:szCs w:val="21"/>
                      <w:highlight w:val="none"/>
                    </w:rPr>
                  </w:pPr>
                </w:p>
              </w:tc>
              <w:tc>
                <w:tcPr>
                  <w:tcW w:w="857" w:type="pct"/>
                  <w:noWrap w:val="0"/>
                  <w:vAlign w:val="center"/>
                </w:tcPr>
                <w:p w14:paraId="3F97958D">
                  <w:pPr>
                    <w:pStyle w:val="98"/>
                    <w:adjustRightInd/>
                    <w:snapToGrid/>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骨料烘干工序</w:t>
                  </w:r>
                  <w:r>
                    <w:rPr>
                      <w:rFonts w:hint="default" w:ascii="Times New Roman" w:hAnsi="Times New Roman" w:eastAsia="宋体" w:cs="Times New Roman"/>
                      <w:color w:val="auto"/>
                      <w:szCs w:val="21"/>
                      <w:highlight w:val="none"/>
                      <w:lang w:val="en-US" w:eastAsia="zh-CN"/>
                    </w:rPr>
                    <w:t>G2</w:t>
                  </w:r>
                </w:p>
              </w:tc>
              <w:tc>
                <w:tcPr>
                  <w:tcW w:w="849" w:type="pct"/>
                  <w:noWrap w:val="0"/>
                  <w:vAlign w:val="center"/>
                </w:tcPr>
                <w:p w14:paraId="77A3D15B">
                  <w:pPr>
                    <w:pStyle w:val="98"/>
                    <w:adjustRightInd/>
                    <w:snapToGrid/>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粉尘、</w:t>
                  </w:r>
                  <w:r>
                    <w:rPr>
                      <w:rFonts w:hint="eastAsia" w:ascii="Times New Roman" w:hAnsi="Times New Roman" w:eastAsia="宋体" w:cs="Times New Roman"/>
                      <w:color w:val="auto"/>
                      <w:szCs w:val="21"/>
                      <w:highlight w:val="none"/>
                    </w:rPr>
                    <w:t>天然气燃烧废气</w:t>
                  </w:r>
                </w:p>
              </w:tc>
              <w:tc>
                <w:tcPr>
                  <w:tcW w:w="1088" w:type="pct"/>
                  <w:noWrap w:val="0"/>
                  <w:vAlign w:val="center"/>
                </w:tcPr>
                <w:p w14:paraId="2C1750FB">
                  <w:pPr>
                    <w:pStyle w:val="98"/>
                    <w:adjustRightInd/>
                    <w:snapToGrid/>
                    <w:rPr>
                      <w:rFonts w:hint="default" w:eastAsia="宋体"/>
                      <w:color w:val="auto"/>
                      <w:szCs w:val="21"/>
                      <w:highlight w:val="none"/>
                      <w:lang w:val="en-US" w:eastAsia="zh-CN"/>
                    </w:rPr>
                  </w:pPr>
                  <w:r>
                    <w:rPr>
                      <w:color w:val="auto"/>
                      <w:szCs w:val="21"/>
                      <w:highlight w:val="none"/>
                    </w:rPr>
                    <w:t>颗粒物</w:t>
                  </w:r>
                  <w:r>
                    <w:rPr>
                      <w:rFonts w:hint="eastAsia"/>
                      <w:color w:val="auto"/>
                      <w:szCs w:val="21"/>
                      <w:highlight w:val="none"/>
                      <w:lang w:eastAsia="zh-CN"/>
                    </w:rPr>
                    <w:t>、</w:t>
                  </w:r>
                  <w:r>
                    <w:rPr>
                      <w:rFonts w:hint="eastAsia"/>
                      <w:color w:val="auto"/>
                      <w:szCs w:val="21"/>
                      <w:highlight w:val="none"/>
                      <w:lang w:val="en-US" w:eastAsia="zh-CN"/>
                    </w:rPr>
                    <w:t>二氧化硫、氮氧化物</w:t>
                  </w:r>
                </w:p>
              </w:tc>
              <w:tc>
                <w:tcPr>
                  <w:tcW w:w="1682" w:type="pct"/>
                  <w:noWrap w:val="0"/>
                  <w:vAlign w:val="center"/>
                </w:tcPr>
                <w:p w14:paraId="43DDE997">
                  <w:pPr>
                    <w:pStyle w:val="98"/>
                    <w:adjustRightInd/>
                    <w:snapToGrid/>
                    <w:rPr>
                      <w:color w:val="auto"/>
                      <w:szCs w:val="21"/>
                      <w:highlight w:val="none"/>
                    </w:rPr>
                  </w:pPr>
                  <w:r>
                    <w:rPr>
                      <w:rFonts w:hint="eastAsia" w:ascii="Times New Roman" w:hAnsi="Times New Roman" w:eastAsia="宋体" w:cs="Times New Roman"/>
                      <w:color w:val="auto"/>
                      <w:szCs w:val="21"/>
                      <w:highlight w:val="none"/>
                    </w:rPr>
                    <w:t>负压抽吸+</w:t>
                  </w:r>
                  <w:r>
                    <w:rPr>
                      <w:rFonts w:hint="eastAsia"/>
                      <w:color w:val="auto"/>
                      <w:highlight w:val="none"/>
                      <w:lang w:val="en-US" w:eastAsia="zh-CN"/>
                    </w:rPr>
                    <w:t>燃烧器</w:t>
                  </w:r>
                  <w:r>
                    <w:rPr>
                      <w:rFonts w:hint="default"/>
                      <w:color w:val="auto"/>
                      <w:highlight w:val="none"/>
                      <w:lang w:val="en-US" w:eastAsia="zh-CN"/>
                    </w:rPr>
                    <w:t>+</w:t>
                  </w:r>
                  <w:r>
                    <w:rPr>
                      <w:rFonts w:hint="eastAsia"/>
                      <w:color w:val="auto"/>
                      <w:highlight w:val="none"/>
                      <w:lang w:val="en-US" w:eastAsia="zh-CN"/>
                    </w:rPr>
                    <w:t>布袋除尘器</w:t>
                  </w:r>
                  <w:r>
                    <w:rPr>
                      <w:rFonts w:hint="eastAsia"/>
                      <w:bCs/>
                      <w:color w:val="auto"/>
                      <w:spacing w:val="10"/>
                      <w:highlight w:val="none"/>
                    </w:rPr>
                    <w:t>+2</w:t>
                  </w:r>
                  <w:r>
                    <w:rPr>
                      <w:rFonts w:hint="eastAsia"/>
                      <w:bCs/>
                      <w:color w:val="auto"/>
                      <w:spacing w:val="10"/>
                      <w:highlight w:val="none"/>
                      <w:lang w:val="en-US" w:eastAsia="zh-CN"/>
                    </w:rPr>
                    <w:t>0</w:t>
                  </w:r>
                  <w:r>
                    <w:rPr>
                      <w:rFonts w:hint="eastAsia"/>
                      <w:bCs/>
                      <w:color w:val="auto"/>
                      <w:spacing w:val="10"/>
                      <w:highlight w:val="none"/>
                    </w:rPr>
                    <w:t>m高排气筒（D</w:t>
                  </w:r>
                  <w:r>
                    <w:rPr>
                      <w:bCs/>
                      <w:color w:val="auto"/>
                      <w:spacing w:val="10"/>
                      <w:highlight w:val="none"/>
                    </w:rPr>
                    <w:t>A00</w:t>
                  </w:r>
                  <w:r>
                    <w:rPr>
                      <w:rFonts w:hint="eastAsia"/>
                      <w:bCs/>
                      <w:color w:val="auto"/>
                      <w:spacing w:val="10"/>
                      <w:highlight w:val="none"/>
                      <w:lang w:val="en-US" w:eastAsia="zh-CN"/>
                    </w:rPr>
                    <w:t>1、</w:t>
                  </w:r>
                  <w:r>
                    <w:rPr>
                      <w:rFonts w:hint="eastAsia"/>
                      <w:color w:val="auto"/>
                      <w:highlight w:val="none"/>
                      <w:lang w:val="en-US" w:eastAsia="zh-CN"/>
                    </w:rPr>
                    <w:t>DA004</w:t>
                  </w:r>
                  <w:r>
                    <w:rPr>
                      <w:rFonts w:hint="eastAsia"/>
                      <w:bCs/>
                      <w:color w:val="auto"/>
                      <w:spacing w:val="10"/>
                      <w:highlight w:val="none"/>
                    </w:rPr>
                    <w:t>）</w:t>
                  </w:r>
                </w:p>
              </w:tc>
            </w:tr>
            <w:tr w14:paraId="4F89E4E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91" w:hRule="atLeast"/>
                <w:jc w:val="center"/>
              </w:trPr>
              <w:tc>
                <w:tcPr>
                  <w:tcW w:w="522" w:type="pct"/>
                  <w:vMerge w:val="continue"/>
                  <w:noWrap w:val="0"/>
                  <w:vAlign w:val="center"/>
                </w:tcPr>
                <w:p w14:paraId="36E1008B">
                  <w:pPr>
                    <w:pStyle w:val="98"/>
                    <w:adjustRightInd/>
                    <w:snapToGrid/>
                    <w:rPr>
                      <w:color w:val="auto"/>
                      <w:szCs w:val="21"/>
                      <w:highlight w:val="none"/>
                    </w:rPr>
                  </w:pPr>
                </w:p>
              </w:tc>
              <w:tc>
                <w:tcPr>
                  <w:tcW w:w="857" w:type="pct"/>
                  <w:noWrap w:val="0"/>
                  <w:vAlign w:val="center"/>
                </w:tcPr>
                <w:p w14:paraId="3DE70F79">
                  <w:pPr>
                    <w:pStyle w:val="98"/>
                    <w:adjustRightInd/>
                    <w:snapToGrid/>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热骨料筛分工序</w:t>
                  </w:r>
                  <w:r>
                    <w:rPr>
                      <w:rFonts w:hint="default" w:ascii="Times New Roman" w:hAnsi="Times New Roman" w:eastAsia="宋体" w:cs="Times New Roman"/>
                      <w:color w:val="auto"/>
                      <w:szCs w:val="21"/>
                      <w:highlight w:val="none"/>
                      <w:lang w:val="en-US" w:eastAsia="zh-CN"/>
                    </w:rPr>
                    <w:t>G</w:t>
                  </w:r>
                  <w:r>
                    <w:rPr>
                      <w:rFonts w:hint="eastAsia" w:ascii="Times New Roman" w:hAnsi="Times New Roman" w:eastAsia="宋体" w:cs="Times New Roman"/>
                      <w:color w:val="auto"/>
                      <w:szCs w:val="21"/>
                      <w:highlight w:val="none"/>
                      <w:lang w:val="en-US" w:eastAsia="zh-CN"/>
                    </w:rPr>
                    <w:t>3</w:t>
                  </w:r>
                </w:p>
              </w:tc>
              <w:tc>
                <w:tcPr>
                  <w:tcW w:w="849" w:type="pct"/>
                  <w:noWrap w:val="0"/>
                  <w:vAlign w:val="center"/>
                </w:tcPr>
                <w:p w14:paraId="72E9EF57">
                  <w:pPr>
                    <w:pStyle w:val="98"/>
                    <w:adjustRightInd/>
                    <w:snapToGrid/>
                    <w:rPr>
                      <w:rFonts w:hint="eastAsia" w:eastAsia="宋体"/>
                      <w:color w:val="auto"/>
                      <w:szCs w:val="21"/>
                      <w:highlight w:val="none"/>
                      <w:lang w:eastAsia="zh-CN"/>
                    </w:rPr>
                  </w:pPr>
                  <w:r>
                    <w:rPr>
                      <w:rFonts w:hint="eastAsia"/>
                      <w:color w:val="auto"/>
                      <w:szCs w:val="21"/>
                      <w:highlight w:val="none"/>
                      <w:lang w:val="en-US" w:eastAsia="zh-CN"/>
                    </w:rPr>
                    <w:t>粉尘</w:t>
                  </w:r>
                </w:p>
              </w:tc>
              <w:tc>
                <w:tcPr>
                  <w:tcW w:w="1088" w:type="pct"/>
                  <w:noWrap w:val="0"/>
                  <w:vAlign w:val="center"/>
                </w:tcPr>
                <w:p w14:paraId="294BE57F">
                  <w:pPr>
                    <w:pStyle w:val="98"/>
                    <w:adjustRightInd/>
                    <w:snapToGrid/>
                    <w:rPr>
                      <w:color w:val="auto"/>
                      <w:szCs w:val="21"/>
                      <w:highlight w:val="none"/>
                    </w:rPr>
                  </w:pPr>
                  <w:r>
                    <w:rPr>
                      <w:color w:val="auto"/>
                      <w:szCs w:val="21"/>
                      <w:highlight w:val="none"/>
                    </w:rPr>
                    <w:t>颗粒物</w:t>
                  </w:r>
                </w:p>
              </w:tc>
              <w:tc>
                <w:tcPr>
                  <w:tcW w:w="1682" w:type="pct"/>
                  <w:noWrap w:val="0"/>
                  <w:vAlign w:val="center"/>
                </w:tcPr>
                <w:p w14:paraId="7A969CE5">
                  <w:pPr>
                    <w:pStyle w:val="98"/>
                    <w:adjustRightInd/>
                    <w:snapToGrid/>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全密闭处理</w:t>
                  </w:r>
                </w:p>
              </w:tc>
            </w:tr>
            <w:tr w14:paraId="4DE7B73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41" w:hRule="atLeast"/>
                <w:jc w:val="center"/>
              </w:trPr>
              <w:tc>
                <w:tcPr>
                  <w:tcW w:w="522" w:type="pct"/>
                  <w:vMerge w:val="continue"/>
                  <w:noWrap w:val="0"/>
                  <w:vAlign w:val="center"/>
                </w:tcPr>
                <w:p w14:paraId="0BE08129">
                  <w:pPr>
                    <w:pStyle w:val="98"/>
                    <w:adjustRightInd/>
                    <w:snapToGrid/>
                    <w:rPr>
                      <w:color w:val="auto"/>
                      <w:szCs w:val="21"/>
                      <w:highlight w:val="none"/>
                    </w:rPr>
                  </w:pPr>
                </w:p>
              </w:tc>
              <w:tc>
                <w:tcPr>
                  <w:tcW w:w="857" w:type="pct"/>
                  <w:noWrap w:val="0"/>
                  <w:vAlign w:val="center"/>
                </w:tcPr>
                <w:p w14:paraId="0DC4E848">
                  <w:pPr>
                    <w:pStyle w:val="98"/>
                    <w:adjustRightInd/>
                    <w:snapToGrid/>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矿粉仓G4</w:t>
                  </w:r>
                </w:p>
              </w:tc>
              <w:tc>
                <w:tcPr>
                  <w:tcW w:w="849" w:type="pct"/>
                  <w:noWrap w:val="0"/>
                  <w:vAlign w:val="center"/>
                </w:tcPr>
                <w:p w14:paraId="0CF90CC0">
                  <w:pPr>
                    <w:pStyle w:val="98"/>
                    <w:adjustRightInd/>
                    <w:snapToGrid/>
                    <w:rPr>
                      <w:rFonts w:hint="eastAsia" w:ascii="Times New Roman" w:hAnsi="Times New Roman" w:eastAsia="宋体" w:cs="Times New Roman"/>
                      <w:color w:val="auto"/>
                      <w:szCs w:val="21"/>
                      <w:highlight w:val="none"/>
                      <w:lang w:val="en-US" w:eastAsia="zh-CN"/>
                    </w:rPr>
                  </w:pPr>
                  <w:r>
                    <w:rPr>
                      <w:rFonts w:hint="eastAsia"/>
                      <w:color w:val="auto"/>
                      <w:szCs w:val="21"/>
                      <w:highlight w:val="none"/>
                      <w:lang w:val="en-US" w:eastAsia="zh-CN"/>
                    </w:rPr>
                    <w:t>粉尘</w:t>
                  </w:r>
                </w:p>
              </w:tc>
              <w:tc>
                <w:tcPr>
                  <w:tcW w:w="1088" w:type="pct"/>
                  <w:noWrap w:val="0"/>
                  <w:vAlign w:val="center"/>
                </w:tcPr>
                <w:p w14:paraId="545F765D">
                  <w:pPr>
                    <w:pStyle w:val="98"/>
                    <w:adjustRightInd/>
                    <w:snapToGrid/>
                    <w:rPr>
                      <w:rFonts w:hint="eastAsia" w:eastAsia="宋体"/>
                      <w:color w:val="auto"/>
                      <w:szCs w:val="21"/>
                      <w:highlight w:val="none"/>
                      <w:lang w:val="en-US" w:eastAsia="zh-CN"/>
                    </w:rPr>
                  </w:pPr>
                  <w:r>
                    <w:rPr>
                      <w:rFonts w:hint="eastAsia"/>
                      <w:color w:val="auto"/>
                      <w:spacing w:val="10"/>
                      <w:highlight w:val="none"/>
                      <w:lang w:val="en-US" w:eastAsia="zh-CN"/>
                    </w:rPr>
                    <w:t>颗粒物</w:t>
                  </w:r>
                </w:p>
              </w:tc>
              <w:tc>
                <w:tcPr>
                  <w:tcW w:w="1682" w:type="pct"/>
                  <w:noWrap w:val="0"/>
                  <w:vAlign w:val="center"/>
                </w:tcPr>
                <w:p w14:paraId="40DE3236">
                  <w:pPr>
                    <w:pStyle w:val="98"/>
                    <w:adjustRightInd/>
                    <w:snapToGrid/>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布袋除尘器</w:t>
                  </w:r>
                </w:p>
              </w:tc>
            </w:tr>
            <w:tr w14:paraId="698FEF7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21" w:hRule="atLeast"/>
                <w:jc w:val="center"/>
              </w:trPr>
              <w:tc>
                <w:tcPr>
                  <w:tcW w:w="522" w:type="pct"/>
                  <w:vMerge w:val="continue"/>
                  <w:noWrap w:val="0"/>
                  <w:vAlign w:val="center"/>
                </w:tcPr>
                <w:p w14:paraId="1A263F4C">
                  <w:pPr>
                    <w:pStyle w:val="98"/>
                    <w:adjustRightInd/>
                    <w:snapToGrid/>
                    <w:rPr>
                      <w:color w:val="auto"/>
                      <w:szCs w:val="21"/>
                      <w:highlight w:val="none"/>
                    </w:rPr>
                  </w:pPr>
                </w:p>
              </w:tc>
              <w:tc>
                <w:tcPr>
                  <w:tcW w:w="857" w:type="pct"/>
                  <w:noWrap w:val="0"/>
                  <w:vAlign w:val="center"/>
                </w:tcPr>
                <w:p w14:paraId="78642049">
                  <w:pPr>
                    <w:pStyle w:val="98"/>
                    <w:adjustRightInd/>
                    <w:snapToGrid/>
                    <w:rPr>
                      <w:rFonts w:hint="eastAsia" w:eastAsia="宋体"/>
                      <w:color w:val="auto"/>
                      <w:szCs w:val="21"/>
                      <w:highlight w:val="none"/>
                      <w:lang w:val="en-US" w:eastAsia="zh-CN"/>
                    </w:rPr>
                  </w:pPr>
                  <w:r>
                    <w:rPr>
                      <w:rFonts w:hint="eastAsia"/>
                      <w:color w:val="auto"/>
                      <w:szCs w:val="21"/>
                      <w:highlight w:val="none"/>
                      <w:lang w:val="en-US" w:eastAsia="zh-CN"/>
                    </w:rPr>
                    <w:t>沥青加热工序</w:t>
                  </w:r>
                  <w:r>
                    <w:rPr>
                      <w:rFonts w:hint="eastAsia"/>
                      <w:color w:val="auto"/>
                      <w:szCs w:val="21"/>
                      <w:highlight w:val="none"/>
                    </w:rPr>
                    <w:t>G</w:t>
                  </w:r>
                  <w:r>
                    <w:rPr>
                      <w:rFonts w:hint="eastAsia"/>
                      <w:color w:val="auto"/>
                      <w:szCs w:val="21"/>
                      <w:highlight w:val="none"/>
                      <w:lang w:val="en-US" w:eastAsia="zh-CN"/>
                    </w:rPr>
                    <w:t>5</w:t>
                  </w:r>
                </w:p>
              </w:tc>
              <w:tc>
                <w:tcPr>
                  <w:tcW w:w="849" w:type="pct"/>
                  <w:noWrap w:val="0"/>
                  <w:vAlign w:val="center"/>
                </w:tcPr>
                <w:p w14:paraId="3FE7829E">
                  <w:pPr>
                    <w:pStyle w:val="98"/>
                    <w:adjustRightInd/>
                    <w:snapToGrid/>
                    <w:rPr>
                      <w:rFonts w:hint="eastAsia" w:eastAsia="宋体"/>
                      <w:color w:val="auto"/>
                      <w:szCs w:val="21"/>
                      <w:highlight w:val="none"/>
                      <w:lang w:val="en-US" w:eastAsia="zh-CN"/>
                    </w:rPr>
                  </w:pPr>
                  <w:r>
                    <w:rPr>
                      <w:rFonts w:hint="eastAsia"/>
                      <w:color w:val="auto"/>
                      <w:szCs w:val="21"/>
                      <w:highlight w:val="none"/>
                      <w:lang w:val="en-US" w:eastAsia="zh-CN"/>
                    </w:rPr>
                    <w:t>沥青烟</w:t>
                  </w:r>
                </w:p>
              </w:tc>
              <w:tc>
                <w:tcPr>
                  <w:tcW w:w="1088" w:type="pct"/>
                  <w:noWrap w:val="0"/>
                  <w:vAlign w:val="center"/>
                </w:tcPr>
                <w:p w14:paraId="107BE093">
                  <w:pPr>
                    <w:pStyle w:val="98"/>
                    <w:adjustRightInd/>
                    <w:snapToGrid/>
                    <w:rPr>
                      <w:rFonts w:hint="eastAsia" w:eastAsia="宋体"/>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非甲烷总烃、苯并[a]芘</w:t>
                  </w:r>
                </w:p>
              </w:tc>
              <w:tc>
                <w:tcPr>
                  <w:tcW w:w="1682" w:type="pct"/>
                  <w:noWrap w:val="0"/>
                  <w:vAlign w:val="center"/>
                </w:tcPr>
                <w:p w14:paraId="20DC3DA7">
                  <w:pPr>
                    <w:pStyle w:val="98"/>
                    <w:adjustRightInd/>
                    <w:snapToGrid/>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负压抽吸+</w:t>
                  </w:r>
                  <w:r>
                    <w:rPr>
                      <w:rFonts w:hint="eastAsia" w:ascii="Times New Roman" w:hAnsi="Times New Roman" w:eastAsia="宋体"/>
                      <w:color w:val="auto"/>
                      <w:sz w:val="21"/>
                      <w:szCs w:val="21"/>
                      <w:highlight w:val="none"/>
                      <w:lang w:val="en-US" w:eastAsia="zh-CN"/>
                    </w:rPr>
                    <w:t>喷淋塔+除雾器+活性炭吸附装置</w:t>
                  </w:r>
                  <w:r>
                    <w:rPr>
                      <w:rFonts w:hint="eastAsia" w:ascii="Times New Roman" w:hAnsi="Times New Roman" w:eastAsia="宋体" w:cs="Times New Roman"/>
                      <w:color w:val="auto"/>
                      <w:szCs w:val="21"/>
                      <w:highlight w:val="none"/>
                    </w:rPr>
                    <w:t>+</w:t>
                  </w:r>
                  <w:r>
                    <w:rPr>
                      <w:rFonts w:hint="eastAsia" w:ascii="Times New Roman" w:hAnsi="Times New Roman" w:eastAsia="宋体" w:cs="Times New Roman"/>
                      <w:color w:val="auto"/>
                      <w:szCs w:val="21"/>
                      <w:highlight w:val="none"/>
                      <w:lang w:val="en-US" w:eastAsia="zh-CN"/>
                    </w:rPr>
                    <w:t>1</w:t>
                  </w:r>
                  <w:r>
                    <w:rPr>
                      <w:rFonts w:hint="eastAsia" w:ascii="Times New Roman" w:hAnsi="Times New Roman" w:eastAsia="宋体" w:cs="Times New Roman"/>
                      <w:color w:val="auto"/>
                      <w:szCs w:val="21"/>
                      <w:highlight w:val="none"/>
                    </w:rPr>
                    <w:t>5m高排气筒（</w:t>
                  </w:r>
                  <w:r>
                    <w:rPr>
                      <w:rFonts w:hint="eastAsia"/>
                      <w:color w:val="auto"/>
                      <w:highlight w:val="none"/>
                      <w:lang w:val="en-US" w:eastAsia="zh-CN"/>
                    </w:rPr>
                    <w:t>DA003、DA006</w:t>
                  </w:r>
                  <w:r>
                    <w:rPr>
                      <w:rFonts w:hint="eastAsia" w:ascii="Times New Roman" w:hAnsi="Times New Roman" w:eastAsia="宋体" w:cs="Times New Roman"/>
                      <w:color w:val="auto"/>
                      <w:szCs w:val="21"/>
                      <w:highlight w:val="none"/>
                    </w:rPr>
                    <w:t>）</w:t>
                  </w:r>
                </w:p>
              </w:tc>
            </w:tr>
            <w:tr w14:paraId="252A22A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46" w:hRule="atLeast"/>
                <w:jc w:val="center"/>
              </w:trPr>
              <w:tc>
                <w:tcPr>
                  <w:tcW w:w="522" w:type="pct"/>
                  <w:vMerge w:val="continue"/>
                  <w:noWrap w:val="0"/>
                  <w:vAlign w:val="center"/>
                </w:tcPr>
                <w:p w14:paraId="3520A8B1">
                  <w:pPr>
                    <w:pStyle w:val="98"/>
                    <w:adjustRightInd/>
                    <w:snapToGrid/>
                    <w:rPr>
                      <w:color w:val="auto"/>
                      <w:szCs w:val="21"/>
                      <w:highlight w:val="none"/>
                    </w:rPr>
                  </w:pPr>
                </w:p>
              </w:tc>
              <w:tc>
                <w:tcPr>
                  <w:tcW w:w="857" w:type="pct"/>
                  <w:noWrap w:val="0"/>
                  <w:vAlign w:val="center"/>
                </w:tcPr>
                <w:p w14:paraId="4D483C2F">
                  <w:pPr>
                    <w:pStyle w:val="98"/>
                    <w:adjustRightInd/>
                    <w:snapToGrid/>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导热油炉燃烧G6</w:t>
                  </w:r>
                </w:p>
              </w:tc>
              <w:tc>
                <w:tcPr>
                  <w:tcW w:w="849" w:type="pct"/>
                  <w:noWrap w:val="0"/>
                  <w:vAlign w:val="center"/>
                </w:tcPr>
                <w:p w14:paraId="2D886127">
                  <w:pPr>
                    <w:pStyle w:val="98"/>
                    <w:adjustRightInd/>
                    <w:snapToGrid/>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rPr>
                    <w:t>天然气燃烧废气</w:t>
                  </w:r>
                </w:p>
              </w:tc>
              <w:tc>
                <w:tcPr>
                  <w:tcW w:w="1088" w:type="pct"/>
                  <w:noWrap w:val="0"/>
                  <w:vAlign w:val="center"/>
                </w:tcPr>
                <w:p w14:paraId="08EB19F5">
                  <w:pPr>
                    <w:pStyle w:val="98"/>
                    <w:adjustRightInd/>
                    <w:snapToGrid/>
                    <w:rPr>
                      <w:rFonts w:hint="eastAsia" w:eastAsia="宋体"/>
                      <w:color w:val="auto"/>
                      <w:szCs w:val="21"/>
                      <w:highlight w:val="none"/>
                      <w:lang w:eastAsia="zh-CN"/>
                    </w:rPr>
                  </w:pPr>
                  <w:r>
                    <w:rPr>
                      <w:color w:val="auto"/>
                      <w:szCs w:val="21"/>
                      <w:highlight w:val="none"/>
                    </w:rPr>
                    <w:t>颗粒物</w:t>
                  </w:r>
                  <w:r>
                    <w:rPr>
                      <w:rFonts w:hint="eastAsia"/>
                      <w:color w:val="auto"/>
                      <w:szCs w:val="21"/>
                      <w:highlight w:val="none"/>
                      <w:lang w:eastAsia="zh-CN"/>
                    </w:rPr>
                    <w:t>、</w:t>
                  </w:r>
                  <w:r>
                    <w:rPr>
                      <w:rFonts w:hint="eastAsia"/>
                      <w:color w:val="auto"/>
                      <w:szCs w:val="21"/>
                      <w:highlight w:val="none"/>
                      <w:lang w:val="en-US" w:eastAsia="zh-CN"/>
                    </w:rPr>
                    <w:t>二氧化硫、氮氧化物</w:t>
                  </w:r>
                </w:p>
              </w:tc>
              <w:tc>
                <w:tcPr>
                  <w:tcW w:w="1682" w:type="pct"/>
                  <w:noWrap w:val="0"/>
                  <w:vAlign w:val="center"/>
                </w:tcPr>
                <w:p w14:paraId="2C7583B6">
                  <w:pPr>
                    <w:pStyle w:val="98"/>
                    <w:adjustRightInd/>
                    <w:snapToGrid/>
                    <w:rPr>
                      <w:color w:val="auto"/>
                      <w:szCs w:val="21"/>
                      <w:highlight w:val="none"/>
                    </w:rPr>
                  </w:pPr>
                  <w:r>
                    <w:rPr>
                      <w:rFonts w:hint="eastAsia"/>
                      <w:color w:val="auto"/>
                      <w:szCs w:val="21"/>
                      <w:highlight w:val="none"/>
                    </w:rPr>
                    <w:t>低氮燃烧+</w:t>
                  </w:r>
                  <w:r>
                    <w:rPr>
                      <w:rFonts w:hint="eastAsia"/>
                      <w:color w:val="auto"/>
                      <w:szCs w:val="21"/>
                      <w:highlight w:val="none"/>
                      <w:lang w:val="en-US" w:eastAsia="zh-CN"/>
                    </w:rPr>
                    <w:t>8</w:t>
                  </w:r>
                  <w:r>
                    <w:rPr>
                      <w:rFonts w:hint="eastAsia"/>
                      <w:color w:val="auto"/>
                      <w:szCs w:val="21"/>
                      <w:highlight w:val="none"/>
                    </w:rPr>
                    <w:t>m高排气筒（</w:t>
                  </w:r>
                  <w:r>
                    <w:rPr>
                      <w:rFonts w:hint="eastAsia"/>
                      <w:bCs/>
                      <w:color w:val="auto"/>
                      <w:spacing w:val="10"/>
                      <w:highlight w:val="none"/>
                    </w:rPr>
                    <w:t>D</w:t>
                  </w:r>
                  <w:r>
                    <w:rPr>
                      <w:bCs/>
                      <w:color w:val="auto"/>
                      <w:spacing w:val="10"/>
                      <w:highlight w:val="none"/>
                    </w:rPr>
                    <w:t>A00</w:t>
                  </w:r>
                  <w:r>
                    <w:rPr>
                      <w:rFonts w:hint="eastAsia"/>
                      <w:bCs/>
                      <w:color w:val="auto"/>
                      <w:spacing w:val="10"/>
                      <w:highlight w:val="none"/>
                      <w:lang w:val="en-US" w:eastAsia="zh-CN"/>
                    </w:rPr>
                    <w:t>2、</w:t>
                  </w:r>
                  <w:r>
                    <w:rPr>
                      <w:rFonts w:hint="eastAsia"/>
                      <w:color w:val="auto"/>
                      <w:highlight w:val="none"/>
                      <w:lang w:val="en-US" w:eastAsia="zh-CN"/>
                    </w:rPr>
                    <w:t>DA005</w:t>
                  </w:r>
                  <w:r>
                    <w:rPr>
                      <w:rFonts w:hint="eastAsia"/>
                      <w:color w:val="auto"/>
                      <w:szCs w:val="21"/>
                      <w:highlight w:val="none"/>
                    </w:rPr>
                    <w:t>）</w:t>
                  </w:r>
                </w:p>
              </w:tc>
            </w:tr>
            <w:tr w14:paraId="61A0E5D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46" w:hRule="atLeast"/>
                <w:jc w:val="center"/>
              </w:trPr>
              <w:tc>
                <w:tcPr>
                  <w:tcW w:w="522" w:type="pct"/>
                  <w:vMerge w:val="continue"/>
                  <w:noWrap w:val="0"/>
                  <w:vAlign w:val="center"/>
                </w:tcPr>
                <w:p w14:paraId="224A9504">
                  <w:pPr>
                    <w:pStyle w:val="98"/>
                    <w:adjustRightInd/>
                    <w:snapToGrid/>
                    <w:rPr>
                      <w:color w:val="auto"/>
                      <w:szCs w:val="21"/>
                      <w:highlight w:val="none"/>
                    </w:rPr>
                  </w:pPr>
                </w:p>
              </w:tc>
              <w:tc>
                <w:tcPr>
                  <w:tcW w:w="857" w:type="pct"/>
                  <w:noWrap w:val="0"/>
                  <w:vAlign w:val="center"/>
                </w:tcPr>
                <w:p w14:paraId="23DC2FB4">
                  <w:pPr>
                    <w:pStyle w:val="98"/>
                    <w:adjustRightInd/>
                    <w:snapToGrid/>
                    <w:rPr>
                      <w:rFonts w:hint="eastAsia" w:eastAsia="宋体"/>
                      <w:color w:val="auto"/>
                      <w:szCs w:val="21"/>
                      <w:highlight w:val="none"/>
                      <w:lang w:val="en-US" w:eastAsia="zh-CN"/>
                    </w:rPr>
                  </w:pPr>
                  <w:r>
                    <w:rPr>
                      <w:rFonts w:hint="eastAsia"/>
                      <w:color w:val="auto"/>
                      <w:szCs w:val="21"/>
                      <w:highlight w:val="none"/>
                      <w:lang w:val="en-US" w:eastAsia="zh-CN"/>
                    </w:rPr>
                    <w:t>沥青混凝土搅拌工序</w:t>
                  </w:r>
                  <w:r>
                    <w:rPr>
                      <w:rFonts w:hint="eastAsia"/>
                      <w:color w:val="auto"/>
                      <w:szCs w:val="21"/>
                      <w:highlight w:val="none"/>
                    </w:rPr>
                    <w:t>G</w:t>
                  </w:r>
                  <w:r>
                    <w:rPr>
                      <w:rFonts w:hint="eastAsia"/>
                      <w:color w:val="auto"/>
                      <w:szCs w:val="21"/>
                      <w:highlight w:val="none"/>
                      <w:lang w:val="en-US" w:eastAsia="zh-CN"/>
                    </w:rPr>
                    <w:t>7</w:t>
                  </w:r>
                </w:p>
              </w:tc>
              <w:tc>
                <w:tcPr>
                  <w:tcW w:w="849" w:type="pct"/>
                  <w:noWrap w:val="0"/>
                  <w:vAlign w:val="center"/>
                </w:tcPr>
                <w:p w14:paraId="40B65D03">
                  <w:pPr>
                    <w:pStyle w:val="98"/>
                    <w:adjustRightInd/>
                    <w:snapToGrid/>
                    <w:rPr>
                      <w:rFonts w:hint="eastAsia" w:eastAsia="宋体"/>
                      <w:color w:val="auto"/>
                      <w:szCs w:val="21"/>
                      <w:highlight w:val="none"/>
                      <w:lang w:eastAsia="zh-CN"/>
                    </w:rPr>
                  </w:pPr>
                  <w:r>
                    <w:rPr>
                      <w:rFonts w:hint="eastAsia"/>
                      <w:color w:val="auto"/>
                      <w:szCs w:val="21"/>
                      <w:highlight w:val="none"/>
                      <w:lang w:val="en-US" w:eastAsia="zh-CN"/>
                    </w:rPr>
                    <w:t>沥青烟</w:t>
                  </w:r>
                </w:p>
              </w:tc>
              <w:tc>
                <w:tcPr>
                  <w:tcW w:w="1088" w:type="pct"/>
                  <w:noWrap w:val="0"/>
                  <w:vAlign w:val="center"/>
                </w:tcPr>
                <w:p w14:paraId="69C2CAB9">
                  <w:pPr>
                    <w:pStyle w:val="98"/>
                    <w:adjustRightInd/>
                    <w:snapToGrid/>
                    <w:rPr>
                      <w:rFonts w:hint="eastAsia"/>
                      <w:color w:val="auto"/>
                      <w:szCs w:val="21"/>
                      <w:highlight w:val="none"/>
                    </w:rPr>
                  </w:pPr>
                  <w:r>
                    <w:rPr>
                      <w:rFonts w:hint="eastAsia" w:ascii="Times New Roman" w:hAnsi="Times New Roman" w:eastAsia="宋体" w:cs="Times New Roman"/>
                      <w:color w:val="auto"/>
                      <w:szCs w:val="21"/>
                      <w:highlight w:val="none"/>
                      <w:lang w:val="en-US" w:eastAsia="zh-CN"/>
                    </w:rPr>
                    <w:t>非甲烷总烃、苯并[a]芘</w:t>
                  </w:r>
                </w:p>
              </w:tc>
              <w:tc>
                <w:tcPr>
                  <w:tcW w:w="1682" w:type="pct"/>
                  <w:noWrap w:val="0"/>
                  <w:vAlign w:val="center"/>
                </w:tcPr>
                <w:p w14:paraId="29286552">
                  <w:pPr>
                    <w:pStyle w:val="98"/>
                    <w:adjustRightInd/>
                    <w:snapToGrid/>
                    <w:rPr>
                      <w:rFonts w:hint="eastAsia"/>
                      <w:color w:val="auto"/>
                      <w:szCs w:val="21"/>
                      <w:highlight w:val="none"/>
                    </w:rPr>
                  </w:pPr>
                  <w:r>
                    <w:rPr>
                      <w:rFonts w:hint="eastAsia" w:ascii="Times New Roman" w:hAnsi="Times New Roman" w:eastAsia="宋体" w:cs="Times New Roman"/>
                      <w:color w:val="auto"/>
                      <w:szCs w:val="21"/>
                      <w:highlight w:val="none"/>
                    </w:rPr>
                    <w:t>负压抽吸+</w:t>
                  </w:r>
                  <w:r>
                    <w:rPr>
                      <w:rFonts w:hint="eastAsia" w:ascii="Times New Roman" w:hAnsi="Times New Roman" w:eastAsia="宋体"/>
                      <w:color w:val="auto"/>
                      <w:sz w:val="21"/>
                      <w:szCs w:val="21"/>
                      <w:highlight w:val="none"/>
                      <w:lang w:val="en-US" w:eastAsia="zh-CN"/>
                    </w:rPr>
                    <w:t>喷淋塔+除雾器+活性炭吸附装置</w:t>
                  </w:r>
                  <w:r>
                    <w:rPr>
                      <w:rFonts w:hint="eastAsia" w:ascii="Times New Roman" w:hAnsi="Times New Roman" w:eastAsia="宋体" w:cs="Times New Roman"/>
                      <w:color w:val="auto"/>
                      <w:szCs w:val="21"/>
                      <w:highlight w:val="none"/>
                    </w:rPr>
                    <w:t>+</w:t>
                  </w:r>
                  <w:r>
                    <w:rPr>
                      <w:rFonts w:hint="eastAsia" w:ascii="Times New Roman" w:hAnsi="Times New Roman" w:eastAsia="宋体" w:cs="Times New Roman"/>
                      <w:color w:val="auto"/>
                      <w:szCs w:val="21"/>
                      <w:highlight w:val="none"/>
                      <w:lang w:val="en-US" w:eastAsia="zh-CN"/>
                    </w:rPr>
                    <w:t>1</w:t>
                  </w:r>
                  <w:r>
                    <w:rPr>
                      <w:rFonts w:hint="eastAsia" w:ascii="Times New Roman" w:hAnsi="Times New Roman" w:eastAsia="宋体" w:cs="Times New Roman"/>
                      <w:color w:val="auto"/>
                      <w:szCs w:val="21"/>
                      <w:highlight w:val="none"/>
                    </w:rPr>
                    <w:t>5m高排气筒（</w:t>
                  </w:r>
                  <w:r>
                    <w:rPr>
                      <w:rFonts w:hint="eastAsia"/>
                      <w:color w:val="auto"/>
                      <w:highlight w:val="none"/>
                      <w:lang w:val="en-US" w:eastAsia="zh-CN"/>
                    </w:rPr>
                    <w:t>DA003、DA006</w:t>
                  </w:r>
                  <w:r>
                    <w:rPr>
                      <w:rFonts w:hint="eastAsia" w:ascii="Times New Roman" w:hAnsi="Times New Roman" w:eastAsia="宋体" w:cs="Times New Roman"/>
                      <w:color w:val="auto"/>
                      <w:szCs w:val="21"/>
                      <w:highlight w:val="none"/>
                    </w:rPr>
                    <w:t>）</w:t>
                  </w:r>
                </w:p>
              </w:tc>
            </w:tr>
            <w:tr w14:paraId="52810D5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46" w:hRule="atLeast"/>
                <w:jc w:val="center"/>
              </w:trPr>
              <w:tc>
                <w:tcPr>
                  <w:tcW w:w="522" w:type="pct"/>
                  <w:vMerge w:val="continue"/>
                  <w:noWrap w:val="0"/>
                  <w:vAlign w:val="center"/>
                </w:tcPr>
                <w:p w14:paraId="07D39485">
                  <w:pPr>
                    <w:pStyle w:val="98"/>
                    <w:adjustRightInd/>
                    <w:snapToGrid/>
                    <w:rPr>
                      <w:color w:val="auto"/>
                      <w:szCs w:val="21"/>
                      <w:highlight w:val="none"/>
                    </w:rPr>
                  </w:pPr>
                </w:p>
              </w:tc>
              <w:tc>
                <w:tcPr>
                  <w:tcW w:w="857" w:type="pct"/>
                  <w:noWrap w:val="0"/>
                  <w:vAlign w:val="center"/>
                </w:tcPr>
                <w:p w14:paraId="26FCE111">
                  <w:pPr>
                    <w:pStyle w:val="98"/>
                    <w:adjustRightInd/>
                    <w:snapToGrid/>
                    <w:rPr>
                      <w:rFonts w:hint="eastAsia" w:eastAsia="宋体"/>
                      <w:color w:val="auto"/>
                      <w:szCs w:val="21"/>
                      <w:highlight w:val="none"/>
                      <w:lang w:val="en-US" w:eastAsia="zh-CN"/>
                    </w:rPr>
                  </w:pPr>
                  <w:r>
                    <w:rPr>
                      <w:rFonts w:hint="eastAsia"/>
                      <w:color w:val="auto"/>
                      <w:highlight w:val="none"/>
                      <w:lang w:val="en-US" w:eastAsia="zh-CN"/>
                    </w:rPr>
                    <w:t>乳化沥青搅拌</w:t>
                  </w:r>
                  <w:r>
                    <w:rPr>
                      <w:rFonts w:hint="eastAsia"/>
                      <w:color w:val="auto"/>
                      <w:szCs w:val="21"/>
                      <w:highlight w:val="none"/>
                      <w:lang w:val="en-US" w:eastAsia="zh-CN"/>
                    </w:rPr>
                    <w:t>工序</w:t>
                  </w:r>
                  <w:r>
                    <w:rPr>
                      <w:rFonts w:hint="eastAsia"/>
                      <w:color w:val="auto"/>
                      <w:szCs w:val="21"/>
                      <w:highlight w:val="none"/>
                    </w:rPr>
                    <w:t>G</w:t>
                  </w:r>
                  <w:r>
                    <w:rPr>
                      <w:rFonts w:hint="eastAsia"/>
                      <w:color w:val="auto"/>
                      <w:szCs w:val="21"/>
                      <w:highlight w:val="none"/>
                      <w:lang w:val="en-US" w:eastAsia="zh-CN"/>
                    </w:rPr>
                    <w:t>8</w:t>
                  </w:r>
                </w:p>
              </w:tc>
              <w:tc>
                <w:tcPr>
                  <w:tcW w:w="849" w:type="pct"/>
                  <w:noWrap w:val="0"/>
                  <w:vAlign w:val="center"/>
                </w:tcPr>
                <w:p w14:paraId="00857FBB">
                  <w:pPr>
                    <w:pStyle w:val="98"/>
                    <w:adjustRightInd/>
                    <w:snapToGrid/>
                    <w:rPr>
                      <w:color w:val="auto"/>
                      <w:szCs w:val="21"/>
                      <w:highlight w:val="none"/>
                    </w:rPr>
                  </w:pPr>
                  <w:r>
                    <w:rPr>
                      <w:rFonts w:hint="eastAsia"/>
                      <w:color w:val="auto"/>
                      <w:szCs w:val="21"/>
                      <w:highlight w:val="none"/>
                      <w:lang w:val="en-US" w:eastAsia="zh-CN"/>
                    </w:rPr>
                    <w:t>沥青烟</w:t>
                  </w:r>
                </w:p>
              </w:tc>
              <w:tc>
                <w:tcPr>
                  <w:tcW w:w="1088" w:type="pct"/>
                  <w:noWrap w:val="0"/>
                  <w:vAlign w:val="center"/>
                </w:tcPr>
                <w:p w14:paraId="43BEA35B">
                  <w:pPr>
                    <w:pStyle w:val="98"/>
                    <w:adjustRightInd/>
                    <w:snapToGrid/>
                    <w:rPr>
                      <w:color w:val="auto"/>
                      <w:szCs w:val="21"/>
                      <w:highlight w:val="none"/>
                    </w:rPr>
                  </w:pPr>
                  <w:r>
                    <w:rPr>
                      <w:rFonts w:hint="eastAsia" w:ascii="Times New Roman" w:hAnsi="Times New Roman" w:eastAsia="宋体" w:cs="Times New Roman"/>
                      <w:color w:val="auto"/>
                      <w:szCs w:val="21"/>
                      <w:highlight w:val="none"/>
                      <w:lang w:val="en-US" w:eastAsia="zh-CN"/>
                    </w:rPr>
                    <w:t>非甲烷总烃、苯并[a]芘</w:t>
                  </w:r>
                </w:p>
              </w:tc>
              <w:tc>
                <w:tcPr>
                  <w:tcW w:w="1682" w:type="pct"/>
                  <w:noWrap w:val="0"/>
                  <w:vAlign w:val="center"/>
                </w:tcPr>
                <w:p w14:paraId="15D8E30B">
                  <w:pPr>
                    <w:pStyle w:val="98"/>
                    <w:adjustRightInd/>
                    <w:snapToGrid/>
                    <w:rPr>
                      <w:color w:val="auto"/>
                      <w:szCs w:val="21"/>
                      <w:highlight w:val="none"/>
                    </w:rPr>
                  </w:pPr>
                  <w:r>
                    <w:rPr>
                      <w:rFonts w:hint="eastAsia" w:ascii="Times New Roman" w:hAnsi="Times New Roman" w:eastAsia="宋体" w:cs="Times New Roman"/>
                      <w:color w:val="auto"/>
                      <w:szCs w:val="21"/>
                      <w:highlight w:val="none"/>
                    </w:rPr>
                    <w:t>负压抽吸+</w:t>
                  </w:r>
                  <w:r>
                    <w:rPr>
                      <w:rFonts w:hint="eastAsia" w:ascii="Times New Roman" w:hAnsi="Times New Roman" w:eastAsia="宋体"/>
                      <w:color w:val="auto"/>
                      <w:sz w:val="21"/>
                      <w:szCs w:val="21"/>
                      <w:highlight w:val="none"/>
                      <w:lang w:val="en-US" w:eastAsia="zh-CN"/>
                    </w:rPr>
                    <w:t>喷淋塔+除雾器+活性炭吸附装置</w:t>
                  </w:r>
                  <w:r>
                    <w:rPr>
                      <w:rFonts w:hint="eastAsia" w:ascii="Times New Roman" w:hAnsi="Times New Roman" w:eastAsia="宋体" w:cs="Times New Roman"/>
                      <w:color w:val="auto"/>
                      <w:szCs w:val="21"/>
                      <w:highlight w:val="none"/>
                    </w:rPr>
                    <w:t>+</w:t>
                  </w:r>
                  <w:r>
                    <w:rPr>
                      <w:rFonts w:hint="eastAsia" w:ascii="Times New Roman" w:hAnsi="Times New Roman" w:eastAsia="宋体" w:cs="Times New Roman"/>
                      <w:color w:val="auto"/>
                      <w:szCs w:val="21"/>
                      <w:highlight w:val="none"/>
                      <w:lang w:val="en-US" w:eastAsia="zh-CN"/>
                    </w:rPr>
                    <w:t>1</w:t>
                  </w:r>
                  <w:r>
                    <w:rPr>
                      <w:rFonts w:hint="eastAsia" w:ascii="Times New Roman" w:hAnsi="Times New Roman" w:eastAsia="宋体" w:cs="Times New Roman"/>
                      <w:color w:val="auto"/>
                      <w:szCs w:val="21"/>
                      <w:highlight w:val="none"/>
                    </w:rPr>
                    <w:t>5m高排气筒（</w:t>
                  </w:r>
                  <w:r>
                    <w:rPr>
                      <w:rFonts w:hint="eastAsia"/>
                      <w:color w:val="auto"/>
                      <w:highlight w:val="none"/>
                      <w:lang w:val="en-US" w:eastAsia="zh-CN"/>
                    </w:rPr>
                    <w:t>DA003、DA006</w:t>
                  </w:r>
                  <w:r>
                    <w:rPr>
                      <w:rFonts w:hint="eastAsia" w:ascii="Times New Roman" w:hAnsi="Times New Roman" w:eastAsia="宋体" w:cs="Times New Roman"/>
                      <w:color w:val="auto"/>
                      <w:szCs w:val="21"/>
                      <w:highlight w:val="none"/>
                    </w:rPr>
                    <w:t>）</w:t>
                  </w:r>
                </w:p>
              </w:tc>
            </w:tr>
            <w:tr w14:paraId="40EA97F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35" w:hRule="atLeast"/>
                <w:jc w:val="center"/>
              </w:trPr>
              <w:tc>
                <w:tcPr>
                  <w:tcW w:w="522" w:type="pct"/>
                  <w:vMerge w:val="restart"/>
                  <w:noWrap w:val="0"/>
                  <w:vAlign w:val="center"/>
                </w:tcPr>
                <w:p w14:paraId="73DBD4CA">
                  <w:pPr>
                    <w:pStyle w:val="98"/>
                    <w:adjustRightInd/>
                    <w:snapToGrid/>
                    <w:rPr>
                      <w:color w:val="auto"/>
                      <w:szCs w:val="21"/>
                      <w:highlight w:val="none"/>
                    </w:rPr>
                  </w:pPr>
                  <w:r>
                    <w:rPr>
                      <w:color w:val="auto"/>
                      <w:szCs w:val="21"/>
                      <w:highlight w:val="none"/>
                    </w:rPr>
                    <w:t>废水</w:t>
                  </w:r>
                </w:p>
              </w:tc>
              <w:tc>
                <w:tcPr>
                  <w:tcW w:w="857" w:type="pct"/>
                  <w:noWrap w:val="0"/>
                  <w:vAlign w:val="center"/>
                </w:tcPr>
                <w:p w14:paraId="380EEA90">
                  <w:pPr>
                    <w:pStyle w:val="98"/>
                    <w:adjustRightInd/>
                    <w:snapToGrid/>
                    <w:ind w:firstLine="0" w:firstLineChars="0"/>
                    <w:rPr>
                      <w:rFonts w:hint="default" w:eastAsia="宋体"/>
                      <w:color w:val="auto"/>
                      <w:szCs w:val="21"/>
                      <w:highlight w:val="none"/>
                      <w:lang w:val="en-US" w:eastAsia="zh-CN"/>
                    </w:rPr>
                  </w:pPr>
                  <w:r>
                    <w:rPr>
                      <w:color w:val="auto"/>
                      <w:szCs w:val="21"/>
                      <w:highlight w:val="none"/>
                    </w:rPr>
                    <w:t>办公生活</w:t>
                  </w:r>
                </w:p>
              </w:tc>
              <w:tc>
                <w:tcPr>
                  <w:tcW w:w="849" w:type="pct"/>
                  <w:noWrap w:val="0"/>
                  <w:vAlign w:val="center"/>
                </w:tcPr>
                <w:p w14:paraId="27A3378C">
                  <w:pPr>
                    <w:pStyle w:val="98"/>
                    <w:adjustRightInd/>
                    <w:snapToGrid/>
                    <w:ind w:firstLine="0" w:firstLineChars="0"/>
                    <w:rPr>
                      <w:rFonts w:hint="eastAsia" w:eastAsia="宋体"/>
                      <w:color w:val="auto"/>
                      <w:szCs w:val="21"/>
                      <w:highlight w:val="none"/>
                      <w:lang w:val="en-US" w:eastAsia="zh-CN"/>
                    </w:rPr>
                  </w:pPr>
                  <w:r>
                    <w:rPr>
                      <w:color w:val="auto"/>
                      <w:szCs w:val="21"/>
                      <w:highlight w:val="none"/>
                    </w:rPr>
                    <w:t>生活</w:t>
                  </w:r>
                  <w:r>
                    <w:rPr>
                      <w:rFonts w:hint="eastAsia"/>
                      <w:color w:val="auto"/>
                      <w:szCs w:val="21"/>
                      <w:highlight w:val="none"/>
                      <w:lang w:val="en-US" w:eastAsia="zh-CN"/>
                    </w:rPr>
                    <w:t>废水</w:t>
                  </w:r>
                </w:p>
              </w:tc>
              <w:tc>
                <w:tcPr>
                  <w:tcW w:w="1088" w:type="pct"/>
                  <w:noWrap w:val="0"/>
                  <w:vAlign w:val="center"/>
                </w:tcPr>
                <w:p w14:paraId="19A41022">
                  <w:pPr>
                    <w:pStyle w:val="98"/>
                    <w:adjustRightInd/>
                    <w:snapToGrid/>
                    <w:ind w:firstLine="0" w:firstLineChars="0"/>
                    <w:rPr>
                      <w:rFonts w:hint="default" w:ascii="Times New Roman" w:hAnsi="Times New Roman" w:eastAsia="宋体" w:cs="Times New Roman"/>
                      <w:color w:val="auto"/>
                      <w:szCs w:val="21"/>
                      <w:highlight w:val="none"/>
                      <w:lang w:val="en-US" w:eastAsia="zh-CN"/>
                    </w:rPr>
                  </w:pPr>
                  <w:r>
                    <w:rPr>
                      <w:color w:val="auto"/>
                      <w:spacing w:val="10"/>
                      <w:highlight w:val="none"/>
                    </w:rPr>
                    <w:t>COD、</w:t>
                  </w:r>
                  <w:r>
                    <w:rPr>
                      <w:rFonts w:hint="eastAsia"/>
                      <w:color w:val="auto"/>
                      <w:spacing w:val="10"/>
                      <w:highlight w:val="none"/>
                      <w:lang w:val="en-US" w:eastAsia="zh-CN"/>
                    </w:rPr>
                    <w:t>BOD</w:t>
                  </w:r>
                  <w:r>
                    <w:rPr>
                      <w:rFonts w:hint="eastAsia"/>
                      <w:color w:val="auto"/>
                      <w:spacing w:val="10"/>
                      <w:highlight w:val="none"/>
                      <w:vertAlign w:val="subscript"/>
                      <w:lang w:val="en-US" w:eastAsia="zh-CN"/>
                    </w:rPr>
                    <w:t>5</w:t>
                  </w:r>
                  <w:r>
                    <w:rPr>
                      <w:rFonts w:hint="eastAsia"/>
                      <w:color w:val="auto"/>
                      <w:spacing w:val="10"/>
                      <w:highlight w:val="none"/>
                      <w:lang w:val="en-US" w:eastAsia="zh-CN"/>
                    </w:rPr>
                    <w:t>、</w:t>
                  </w:r>
                  <w:r>
                    <w:rPr>
                      <w:color w:val="auto"/>
                      <w:spacing w:val="10"/>
                      <w:highlight w:val="none"/>
                    </w:rPr>
                    <w:t>氨氮、</w:t>
                  </w:r>
                  <w:r>
                    <w:rPr>
                      <w:rFonts w:hint="eastAsia"/>
                      <w:color w:val="auto"/>
                      <w:spacing w:val="10"/>
                      <w:highlight w:val="none"/>
                      <w:lang w:val="en-US" w:eastAsia="zh-CN"/>
                    </w:rPr>
                    <w:t>SS</w:t>
                  </w:r>
                </w:p>
              </w:tc>
              <w:tc>
                <w:tcPr>
                  <w:tcW w:w="1682" w:type="pct"/>
                  <w:noWrap w:val="0"/>
                  <w:vAlign w:val="center"/>
                </w:tcPr>
                <w:p w14:paraId="72DB10E6">
                  <w:pPr>
                    <w:pStyle w:val="98"/>
                    <w:adjustRightInd/>
                    <w:snapToGrid/>
                    <w:ind w:firstLine="0" w:firstLineChars="0"/>
                    <w:rPr>
                      <w:rFonts w:hint="eastAsia" w:ascii="Times New Roman" w:hAnsi="Times New Roman" w:cs="Times New Roman"/>
                      <w:color w:val="auto"/>
                      <w:kern w:val="0"/>
                      <w:highlight w:val="none"/>
                      <w:lang w:bidi="ar"/>
                    </w:rPr>
                  </w:pPr>
                  <w:r>
                    <w:rPr>
                      <w:rFonts w:hint="eastAsia" w:ascii="Times New Roman" w:hAnsi="Times New Roman" w:eastAsia="宋体" w:cs="Times New Roman"/>
                      <w:iCs/>
                      <w:color w:val="auto"/>
                      <w:kern w:val="0"/>
                      <w:sz w:val="21"/>
                      <w:szCs w:val="21"/>
                      <w:highlight w:val="none"/>
                    </w:rPr>
                    <w:t>经</w:t>
                  </w:r>
                  <w:r>
                    <w:rPr>
                      <w:rFonts w:hint="eastAsia" w:ascii="Times New Roman" w:hAnsi="Times New Roman" w:eastAsia="宋体" w:cs="Times New Roman"/>
                      <w:iCs/>
                      <w:color w:val="auto"/>
                      <w:kern w:val="0"/>
                      <w:sz w:val="21"/>
                      <w:szCs w:val="21"/>
                      <w:highlight w:val="none"/>
                      <w:lang w:val="en-US" w:eastAsia="zh-CN"/>
                    </w:rPr>
                    <w:t>厂区</w:t>
                  </w:r>
                  <w:r>
                    <w:rPr>
                      <w:rFonts w:hint="eastAsia" w:ascii="Times New Roman" w:hAnsi="Times New Roman" w:eastAsia="宋体" w:cs="Times New Roman"/>
                      <w:iCs/>
                      <w:color w:val="auto"/>
                      <w:kern w:val="0"/>
                      <w:sz w:val="21"/>
                      <w:szCs w:val="21"/>
                      <w:highlight w:val="none"/>
                    </w:rPr>
                    <w:t>化粪池处理达</w:t>
                  </w:r>
                  <w:r>
                    <w:rPr>
                      <w:rFonts w:hint="eastAsia" w:ascii="Times New Roman" w:hAnsi="Times New Roman" w:eastAsia="宋体" w:cs="Times New Roman"/>
                      <w:iCs/>
                      <w:color w:val="auto"/>
                      <w:kern w:val="0"/>
                      <w:sz w:val="21"/>
                      <w:szCs w:val="21"/>
                      <w:highlight w:val="none"/>
                      <w:lang w:val="en-US" w:eastAsia="zh-CN"/>
                    </w:rPr>
                    <w:t>标</w:t>
                  </w:r>
                  <w:r>
                    <w:rPr>
                      <w:rFonts w:hint="eastAsia" w:ascii="Times New Roman" w:hAnsi="Times New Roman" w:eastAsia="宋体" w:cs="Times New Roman"/>
                      <w:iCs/>
                      <w:color w:val="auto"/>
                      <w:kern w:val="0"/>
                      <w:sz w:val="21"/>
                      <w:szCs w:val="21"/>
                      <w:highlight w:val="none"/>
                    </w:rPr>
                    <w:t>后排入市政污水管网</w:t>
                  </w:r>
                </w:p>
              </w:tc>
            </w:tr>
            <w:tr w14:paraId="792B5D2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35" w:hRule="atLeast"/>
                <w:jc w:val="center"/>
              </w:trPr>
              <w:tc>
                <w:tcPr>
                  <w:tcW w:w="522" w:type="pct"/>
                  <w:vMerge w:val="continue"/>
                  <w:noWrap w:val="0"/>
                  <w:vAlign w:val="center"/>
                </w:tcPr>
                <w:p w14:paraId="7F9665BE">
                  <w:pPr>
                    <w:pStyle w:val="98"/>
                    <w:adjustRightInd/>
                    <w:snapToGrid/>
                    <w:rPr>
                      <w:color w:val="auto"/>
                      <w:szCs w:val="21"/>
                      <w:highlight w:val="none"/>
                    </w:rPr>
                  </w:pPr>
                </w:p>
              </w:tc>
              <w:tc>
                <w:tcPr>
                  <w:tcW w:w="857" w:type="pct"/>
                  <w:noWrap w:val="0"/>
                  <w:vAlign w:val="center"/>
                </w:tcPr>
                <w:p w14:paraId="59A89C61">
                  <w:pPr>
                    <w:pStyle w:val="98"/>
                    <w:adjustRightInd/>
                    <w:snapToGrid/>
                    <w:ind w:firstLine="0" w:firstLineChars="0"/>
                    <w:rPr>
                      <w:rFonts w:hint="eastAsia" w:eastAsia="宋体"/>
                      <w:color w:val="auto"/>
                      <w:szCs w:val="21"/>
                      <w:highlight w:val="none"/>
                      <w:lang w:val="en-US" w:eastAsia="zh-CN"/>
                    </w:rPr>
                  </w:pPr>
                  <w:r>
                    <w:rPr>
                      <w:rFonts w:hint="eastAsia"/>
                      <w:color w:val="auto"/>
                      <w:szCs w:val="21"/>
                      <w:highlight w:val="none"/>
                      <w:lang w:val="en-US" w:eastAsia="zh-CN"/>
                    </w:rPr>
                    <w:t>食堂</w:t>
                  </w:r>
                </w:p>
              </w:tc>
              <w:tc>
                <w:tcPr>
                  <w:tcW w:w="849" w:type="pct"/>
                  <w:noWrap w:val="0"/>
                  <w:vAlign w:val="center"/>
                </w:tcPr>
                <w:p w14:paraId="036FC0B1">
                  <w:pPr>
                    <w:pStyle w:val="98"/>
                    <w:adjustRightInd/>
                    <w:snapToGrid/>
                    <w:ind w:firstLine="0" w:firstLineChars="0"/>
                    <w:rPr>
                      <w:rFonts w:hint="eastAsia" w:eastAsia="宋体"/>
                      <w:color w:val="auto"/>
                      <w:szCs w:val="21"/>
                      <w:highlight w:val="none"/>
                      <w:lang w:val="en-US" w:eastAsia="zh-CN"/>
                    </w:rPr>
                  </w:pPr>
                  <w:r>
                    <w:rPr>
                      <w:rFonts w:hint="eastAsia"/>
                      <w:color w:val="auto"/>
                      <w:szCs w:val="21"/>
                      <w:highlight w:val="none"/>
                      <w:lang w:val="en-US" w:eastAsia="zh-CN"/>
                    </w:rPr>
                    <w:t>食堂废水</w:t>
                  </w:r>
                </w:p>
              </w:tc>
              <w:tc>
                <w:tcPr>
                  <w:tcW w:w="1088" w:type="pct"/>
                  <w:noWrap w:val="0"/>
                  <w:vAlign w:val="center"/>
                </w:tcPr>
                <w:p w14:paraId="1B00E4D6">
                  <w:pPr>
                    <w:pStyle w:val="98"/>
                    <w:adjustRightInd/>
                    <w:snapToGrid/>
                    <w:ind w:firstLine="0" w:firstLineChars="0"/>
                    <w:rPr>
                      <w:rFonts w:hint="default"/>
                      <w:color w:val="auto"/>
                      <w:spacing w:val="10"/>
                      <w:highlight w:val="none"/>
                      <w:lang w:val="en-US"/>
                    </w:rPr>
                  </w:pPr>
                  <w:r>
                    <w:rPr>
                      <w:color w:val="auto"/>
                      <w:spacing w:val="10"/>
                      <w:highlight w:val="none"/>
                    </w:rPr>
                    <w:t>COD、</w:t>
                  </w:r>
                  <w:r>
                    <w:rPr>
                      <w:rFonts w:hint="eastAsia"/>
                      <w:color w:val="auto"/>
                      <w:spacing w:val="10"/>
                      <w:highlight w:val="none"/>
                      <w:lang w:val="en-US" w:eastAsia="zh-CN"/>
                    </w:rPr>
                    <w:t>BOD</w:t>
                  </w:r>
                  <w:r>
                    <w:rPr>
                      <w:rFonts w:hint="eastAsia"/>
                      <w:color w:val="auto"/>
                      <w:spacing w:val="10"/>
                      <w:highlight w:val="none"/>
                      <w:vertAlign w:val="subscript"/>
                      <w:lang w:val="en-US" w:eastAsia="zh-CN"/>
                    </w:rPr>
                    <w:t>5</w:t>
                  </w:r>
                  <w:r>
                    <w:rPr>
                      <w:rFonts w:hint="eastAsia"/>
                      <w:color w:val="auto"/>
                      <w:spacing w:val="10"/>
                      <w:highlight w:val="none"/>
                      <w:lang w:val="en-US" w:eastAsia="zh-CN"/>
                    </w:rPr>
                    <w:t>、</w:t>
                  </w:r>
                  <w:r>
                    <w:rPr>
                      <w:color w:val="auto"/>
                      <w:spacing w:val="10"/>
                      <w:highlight w:val="none"/>
                    </w:rPr>
                    <w:t>氨氮、</w:t>
                  </w:r>
                  <w:r>
                    <w:rPr>
                      <w:rFonts w:hint="eastAsia"/>
                      <w:color w:val="auto"/>
                      <w:spacing w:val="10"/>
                      <w:highlight w:val="none"/>
                      <w:lang w:val="en-US" w:eastAsia="zh-CN"/>
                    </w:rPr>
                    <w:t>SS、动植物油</w:t>
                  </w:r>
                </w:p>
              </w:tc>
              <w:tc>
                <w:tcPr>
                  <w:tcW w:w="1682" w:type="pct"/>
                  <w:noWrap w:val="0"/>
                  <w:vAlign w:val="center"/>
                </w:tcPr>
                <w:p w14:paraId="3237F4C5">
                  <w:pPr>
                    <w:pStyle w:val="98"/>
                    <w:adjustRightInd/>
                    <w:snapToGrid/>
                    <w:ind w:firstLine="0" w:firstLineChars="0"/>
                    <w:rPr>
                      <w:rFonts w:hint="default" w:ascii="Times New Roman" w:hAnsi="Times New Roman" w:cs="Times New Roman"/>
                      <w:color w:val="auto"/>
                      <w:kern w:val="0"/>
                      <w:highlight w:val="none"/>
                      <w:lang w:val="en-US" w:eastAsia="zh-CN" w:bidi="ar"/>
                    </w:rPr>
                  </w:pPr>
                  <w:r>
                    <w:rPr>
                      <w:rFonts w:hint="eastAsia" w:ascii="Times New Roman" w:hAnsi="Times New Roman" w:eastAsia="宋体" w:cs="Times New Roman"/>
                      <w:iCs/>
                      <w:color w:val="auto"/>
                      <w:kern w:val="0"/>
                      <w:sz w:val="21"/>
                      <w:szCs w:val="21"/>
                      <w:highlight w:val="none"/>
                      <w:lang w:val="en-US" w:eastAsia="zh-CN"/>
                    </w:rPr>
                    <w:t>经隔油池预处理后与</w:t>
                  </w:r>
                  <w:r>
                    <w:rPr>
                      <w:rFonts w:hint="eastAsia" w:ascii="Times New Roman" w:hAnsi="Times New Roman" w:eastAsia="宋体" w:cs="Times New Roman"/>
                      <w:iCs/>
                      <w:color w:val="auto"/>
                      <w:kern w:val="0"/>
                      <w:sz w:val="21"/>
                      <w:szCs w:val="21"/>
                      <w:highlight w:val="none"/>
                    </w:rPr>
                    <w:t>生活废水一起经</w:t>
                  </w:r>
                  <w:r>
                    <w:rPr>
                      <w:rFonts w:hint="eastAsia" w:ascii="Times New Roman" w:hAnsi="Times New Roman" w:eastAsia="宋体" w:cs="Times New Roman"/>
                      <w:iCs/>
                      <w:color w:val="auto"/>
                      <w:kern w:val="0"/>
                      <w:sz w:val="21"/>
                      <w:szCs w:val="21"/>
                      <w:highlight w:val="none"/>
                      <w:lang w:val="en-US" w:eastAsia="zh-CN"/>
                    </w:rPr>
                    <w:t>厂区</w:t>
                  </w:r>
                  <w:r>
                    <w:rPr>
                      <w:rFonts w:hint="eastAsia" w:ascii="Times New Roman" w:hAnsi="Times New Roman" w:eastAsia="宋体" w:cs="Times New Roman"/>
                      <w:iCs/>
                      <w:color w:val="auto"/>
                      <w:kern w:val="0"/>
                      <w:sz w:val="21"/>
                      <w:szCs w:val="21"/>
                      <w:highlight w:val="none"/>
                    </w:rPr>
                    <w:t>化粪池处理达</w:t>
                  </w:r>
                  <w:r>
                    <w:rPr>
                      <w:rFonts w:hint="eastAsia" w:ascii="Times New Roman" w:hAnsi="Times New Roman" w:eastAsia="宋体" w:cs="Times New Roman"/>
                      <w:iCs/>
                      <w:color w:val="auto"/>
                      <w:kern w:val="0"/>
                      <w:sz w:val="21"/>
                      <w:szCs w:val="21"/>
                      <w:highlight w:val="none"/>
                      <w:lang w:val="en-US" w:eastAsia="zh-CN"/>
                    </w:rPr>
                    <w:t>标</w:t>
                  </w:r>
                  <w:r>
                    <w:rPr>
                      <w:rFonts w:hint="eastAsia" w:ascii="Times New Roman" w:hAnsi="Times New Roman" w:eastAsia="宋体" w:cs="Times New Roman"/>
                      <w:iCs/>
                      <w:color w:val="auto"/>
                      <w:kern w:val="0"/>
                      <w:sz w:val="21"/>
                      <w:szCs w:val="21"/>
                      <w:highlight w:val="none"/>
                    </w:rPr>
                    <w:t>后排入市政污水管网</w:t>
                  </w:r>
                </w:p>
              </w:tc>
            </w:tr>
            <w:tr w14:paraId="42F0F05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1" w:hRule="atLeast"/>
                <w:jc w:val="center"/>
              </w:trPr>
              <w:tc>
                <w:tcPr>
                  <w:tcW w:w="522" w:type="pct"/>
                  <w:noWrap w:val="0"/>
                  <w:vAlign w:val="center"/>
                </w:tcPr>
                <w:p w14:paraId="341E1E29">
                  <w:pPr>
                    <w:pStyle w:val="98"/>
                    <w:adjustRightInd/>
                    <w:snapToGrid/>
                    <w:rPr>
                      <w:color w:val="auto"/>
                      <w:szCs w:val="21"/>
                      <w:highlight w:val="none"/>
                    </w:rPr>
                  </w:pPr>
                  <w:r>
                    <w:rPr>
                      <w:color w:val="auto"/>
                      <w:szCs w:val="21"/>
                      <w:highlight w:val="none"/>
                    </w:rPr>
                    <w:t>噪声</w:t>
                  </w:r>
                </w:p>
              </w:tc>
              <w:tc>
                <w:tcPr>
                  <w:tcW w:w="857" w:type="pct"/>
                  <w:noWrap w:val="0"/>
                  <w:vAlign w:val="center"/>
                </w:tcPr>
                <w:p w14:paraId="21CBB7E1">
                  <w:pPr>
                    <w:pStyle w:val="98"/>
                    <w:adjustRightInd/>
                    <w:snapToGrid/>
                    <w:rPr>
                      <w:color w:val="auto"/>
                      <w:szCs w:val="21"/>
                      <w:highlight w:val="none"/>
                    </w:rPr>
                  </w:pPr>
                  <w:r>
                    <w:rPr>
                      <w:color w:val="auto"/>
                      <w:szCs w:val="21"/>
                      <w:highlight w:val="none"/>
                    </w:rPr>
                    <w:t>生产过程</w:t>
                  </w:r>
                </w:p>
              </w:tc>
              <w:tc>
                <w:tcPr>
                  <w:tcW w:w="849" w:type="pct"/>
                  <w:noWrap w:val="0"/>
                  <w:vAlign w:val="center"/>
                </w:tcPr>
                <w:p w14:paraId="591F0BA6">
                  <w:pPr>
                    <w:pStyle w:val="98"/>
                    <w:adjustRightInd/>
                    <w:snapToGrid/>
                    <w:rPr>
                      <w:color w:val="auto"/>
                      <w:szCs w:val="21"/>
                      <w:highlight w:val="none"/>
                    </w:rPr>
                  </w:pPr>
                  <w:r>
                    <w:rPr>
                      <w:color w:val="auto"/>
                      <w:szCs w:val="21"/>
                      <w:highlight w:val="none"/>
                    </w:rPr>
                    <w:t>噪声</w:t>
                  </w:r>
                </w:p>
              </w:tc>
              <w:tc>
                <w:tcPr>
                  <w:tcW w:w="1088" w:type="pct"/>
                  <w:noWrap w:val="0"/>
                  <w:vAlign w:val="center"/>
                </w:tcPr>
                <w:p w14:paraId="3F731264">
                  <w:pPr>
                    <w:pStyle w:val="98"/>
                    <w:adjustRightInd/>
                    <w:snapToGrid/>
                    <w:rPr>
                      <w:color w:val="auto"/>
                      <w:szCs w:val="21"/>
                      <w:highlight w:val="none"/>
                    </w:rPr>
                  </w:pPr>
                  <w:r>
                    <w:rPr>
                      <w:color w:val="auto"/>
                      <w:szCs w:val="21"/>
                      <w:highlight w:val="none"/>
                    </w:rPr>
                    <w:t>A 声级</w:t>
                  </w:r>
                </w:p>
              </w:tc>
              <w:tc>
                <w:tcPr>
                  <w:tcW w:w="1682" w:type="pct"/>
                  <w:noWrap w:val="0"/>
                  <w:vAlign w:val="center"/>
                </w:tcPr>
                <w:p w14:paraId="150A1F92">
                  <w:pPr>
                    <w:pStyle w:val="98"/>
                    <w:adjustRightInd/>
                    <w:snapToGrid/>
                    <w:rPr>
                      <w:color w:val="auto"/>
                      <w:highlight w:val="none"/>
                    </w:rPr>
                  </w:pPr>
                  <w:r>
                    <w:rPr>
                      <w:rFonts w:hint="eastAsia"/>
                      <w:color w:val="auto"/>
                      <w:highlight w:val="none"/>
                    </w:rPr>
                    <w:t>消声、隔声降噪措施</w:t>
                  </w:r>
                </w:p>
              </w:tc>
            </w:tr>
            <w:tr w14:paraId="0A1BE67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1" w:hRule="atLeast"/>
                <w:jc w:val="center"/>
              </w:trPr>
              <w:tc>
                <w:tcPr>
                  <w:tcW w:w="522" w:type="pct"/>
                  <w:vMerge w:val="restart"/>
                  <w:noWrap w:val="0"/>
                  <w:vAlign w:val="center"/>
                </w:tcPr>
                <w:p w14:paraId="2C42C3C4">
                  <w:pPr>
                    <w:pStyle w:val="98"/>
                    <w:adjustRightInd/>
                    <w:snapToGrid/>
                    <w:rPr>
                      <w:color w:val="auto"/>
                      <w:szCs w:val="21"/>
                      <w:highlight w:val="none"/>
                    </w:rPr>
                  </w:pPr>
                  <w:r>
                    <w:rPr>
                      <w:color w:val="auto"/>
                      <w:szCs w:val="21"/>
                      <w:highlight w:val="none"/>
                    </w:rPr>
                    <w:t>固体废物</w:t>
                  </w:r>
                </w:p>
              </w:tc>
              <w:tc>
                <w:tcPr>
                  <w:tcW w:w="857" w:type="pct"/>
                  <w:noWrap w:val="0"/>
                  <w:vAlign w:val="center"/>
                </w:tcPr>
                <w:p w14:paraId="2CD7DF7C">
                  <w:pPr>
                    <w:pStyle w:val="98"/>
                    <w:adjustRightInd/>
                    <w:snapToGrid/>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热骨料筛分工序</w:t>
                  </w:r>
                  <w:r>
                    <w:rPr>
                      <w:rFonts w:hint="eastAsia" w:cs="Times New Roman"/>
                      <w:color w:val="auto"/>
                      <w:szCs w:val="21"/>
                      <w:highlight w:val="none"/>
                      <w:lang w:val="en-US" w:eastAsia="zh-CN"/>
                    </w:rPr>
                    <w:t>S1</w:t>
                  </w:r>
                </w:p>
              </w:tc>
              <w:tc>
                <w:tcPr>
                  <w:tcW w:w="849" w:type="pct"/>
                  <w:vMerge w:val="restart"/>
                  <w:noWrap w:val="0"/>
                  <w:vAlign w:val="center"/>
                </w:tcPr>
                <w:p w14:paraId="0299F11C">
                  <w:pPr>
                    <w:pStyle w:val="98"/>
                    <w:adjustRightInd/>
                    <w:snapToGrid/>
                    <w:rPr>
                      <w:color w:val="auto"/>
                      <w:szCs w:val="21"/>
                      <w:highlight w:val="none"/>
                    </w:rPr>
                  </w:pPr>
                  <w:r>
                    <w:rPr>
                      <w:rFonts w:hint="eastAsia"/>
                      <w:color w:val="auto"/>
                      <w:highlight w:val="none"/>
                    </w:rPr>
                    <w:t>一般工业固废</w:t>
                  </w:r>
                </w:p>
              </w:tc>
              <w:tc>
                <w:tcPr>
                  <w:tcW w:w="1088" w:type="pct"/>
                  <w:noWrap w:val="0"/>
                  <w:vAlign w:val="center"/>
                </w:tcPr>
                <w:p w14:paraId="3D29BC94">
                  <w:pPr>
                    <w:pStyle w:val="98"/>
                    <w:adjustRightInd/>
                    <w:snapToGrid/>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废石料</w:t>
                  </w:r>
                </w:p>
              </w:tc>
              <w:tc>
                <w:tcPr>
                  <w:tcW w:w="1682" w:type="pct"/>
                  <w:noWrap w:val="0"/>
                  <w:vAlign w:val="center"/>
                </w:tcPr>
                <w:p w14:paraId="46F423CC">
                  <w:pPr>
                    <w:pStyle w:val="98"/>
                    <w:adjustRightInd/>
                    <w:snapToGrid/>
                    <w:rPr>
                      <w:rFonts w:hint="default" w:ascii="Times New Roman" w:hAnsi="Times New Roman" w:eastAsia="宋体" w:cs="Times New Roman"/>
                      <w:color w:val="auto"/>
                      <w:highlight w:val="none"/>
                      <w:lang w:val="en-US"/>
                    </w:rPr>
                  </w:pPr>
                  <w:r>
                    <w:rPr>
                      <w:rFonts w:hint="eastAsia" w:ascii="Times New Roman" w:hAnsi="Times New Roman" w:eastAsia="宋体" w:cs="Times New Roman"/>
                      <w:color w:val="auto"/>
                      <w:highlight w:val="none"/>
                      <w:lang w:val="en-US" w:eastAsia="zh-CN"/>
                    </w:rPr>
                    <w:t>外售综合利用</w:t>
                  </w:r>
                </w:p>
              </w:tc>
            </w:tr>
            <w:tr w14:paraId="4ED3EC3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17" w:hRule="atLeast"/>
                <w:jc w:val="center"/>
              </w:trPr>
              <w:tc>
                <w:tcPr>
                  <w:tcW w:w="522" w:type="pct"/>
                  <w:vMerge w:val="continue"/>
                  <w:noWrap w:val="0"/>
                  <w:vAlign w:val="center"/>
                </w:tcPr>
                <w:p w14:paraId="70DDC08F">
                  <w:pPr>
                    <w:pStyle w:val="98"/>
                    <w:adjustRightInd/>
                    <w:snapToGrid/>
                    <w:rPr>
                      <w:color w:val="auto"/>
                      <w:szCs w:val="21"/>
                      <w:highlight w:val="none"/>
                    </w:rPr>
                  </w:pPr>
                </w:p>
              </w:tc>
              <w:tc>
                <w:tcPr>
                  <w:tcW w:w="857" w:type="pct"/>
                  <w:noWrap w:val="0"/>
                  <w:vAlign w:val="center"/>
                </w:tcPr>
                <w:p w14:paraId="756B1B65">
                  <w:pPr>
                    <w:pStyle w:val="98"/>
                    <w:adjustRightInd/>
                    <w:snapToGrid/>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废气处理设施维护</w:t>
                  </w:r>
                </w:p>
              </w:tc>
              <w:tc>
                <w:tcPr>
                  <w:tcW w:w="849" w:type="pct"/>
                  <w:vMerge w:val="continue"/>
                  <w:noWrap w:val="0"/>
                  <w:vAlign w:val="center"/>
                </w:tcPr>
                <w:p w14:paraId="502929D2">
                  <w:pPr>
                    <w:pStyle w:val="98"/>
                    <w:adjustRightInd/>
                    <w:snapToGrid/>
                    <w:rPr>
                      <w:color w:val="auto"/>
                      <w:szCs w:val="21"/>
                      <w:highlight w:val="none"/>
                    </w:rPr>
                  </w:pPr>
                </w:p>
              </w:tc>
              <w:tc>
                <w:tcPr>
                  <w:tcW w:w="1088" w:type="pct"/>
                  <w:noWrap w:val="0"/>
                  <w:vAlign w:val="center"/>
                </w:tcPr>
                <w:p w14:paraId="1EA50A31">
                  <w:pPr>
                    <w:pStyle w:val="98"/>
                    <w:adjustRightInd/>
                    <w:snapToGrid/>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除尘器</w:t>
                  </w:r>
                  <w:r>
                    <w:rPr>
                      <w:rFonts w:hint="eastAsia"/>
                      <w:color w:val="auto"/>
                      <w:highlight w:val="none"/>
                    </w:rPr>
                    <w:t>收集粉尘</w:t>
                  </w:r>
                </w:p>
              </w:tc>
              <w:tc>
                <w:tcPr>
                  <w:tcW w:w="1682" w:type="pct"/>
                  <w:noWrap w:val="0"/>
                  <w:vAlign w:val="center"/>
                </w:tcPr>
                <w:p w14:paraId="1741DF4C">
                  <w:pPr>
                    <w:pStyle w:val="98"/>
                    <w:adjustRightInd/>
                    <w:snapToGrid/>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回用于生产</w:t>
                  </w:r>
                </w:p>
              </w:tc>
            </w:tr>
            <w:tr w14:paraId="7821BE9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17" w:hRule="atLeast"/>
                <w:jc w:val="center"/>
              </w:trPr>
              <w:tc>
                <w:tcPr>
                  <w:tcW w:w="522" w:type="pct"/>
                  <w:vMerge w:val="continue"/>
                  <w:noWrap w:val="0"/>
                  <w:vAlign w:val="center"/>
                </w:tcPr>
                <w:p w14:paraId="31488B52">
                  <w:pPr>
                    <w:pStyle w:val="98"/>
                    <w:adjustRightInd/>
                    <w:snapToGrid/>
                    <w:rPr>
                      <w:color w:val="auto"/>
                      <w:szCs w:val="21"/>
                      <w:highlight w:val="none"/>
                    </w:rPr>
                  </w:pPr>
                </w:p>
              </w:tc>
              <w:tc>
                <w:tcPr>
                  <w:tcW w:w="857" w:type="pct"/>
                  <w:noWrap w:val="0"/>
                  <w:vAlign w:val="center"/>
                </w:tcPr>
                <w:p w14:paraId="3EA56714">
                  <w:pPr>
                    <w:pStyle w:val="98"/>
                    <w:adjustRightInd/>
                    <w:snapToGrid/>
                    <w:rPr>
                      <w:color w:val="auto"/>
                      <w:szCs w:val="21"/>
                      <w:highlight w:val="none"/>
                    </w:rPr>
                  </w:pPr>
                  <w:r>
                    <w:rPr>
                      <w:rFonts w:hint="eastAsia"/>
                      <w:color w:val="auto"/>
                      <w:szCs w:val="21"/>
                      <w:highlight w:val="none"/>
                    </w:rPr>
                    <w:t>食堂</w:t>
                  </w:r>
                </w:p>
              </w:tc>
              <w:tc>
                <w:tcPr>
                  <w:tcW w:w="849" w:type="pct"/>
                  <w:vMerge w:val="continue"/>
                  <w:noWrap w:val="0"/>
                  <w:vAlign w:val="center"/>
                </w:tcPr>
                <w:p w14:paraId="3C890099">
                  <w:pPr>
                    <w:pStyle w:val="98"/>
                    <w:adjustRightInd/>
                    <w:snapToGrid/>
                    <w:rPr>
                      <w:color w:val="auto"/>
                      <w:szCs w:val="21"/>
                      <w:highlight w:val="none"/>
                    </w:rPr>
                  </w:pPr>
                </w:p>
              </w:tc>
              <w:tc>
                <w:tcPr>
                  <w:tcW w:w="1088" w:type="pct"/>
                  <w:noWrap w:val="0"/>
                  <w:vAlign w:val="center"/>
                </w:tcPr>
                <w:p w14:paraId="44A52BD9">
                  <w:pPr>
                    <w:pStyle w:val="98"/>
                    <w:adjustRightInd/>
                    <w:snapToGrid/>
                    <w:rPr>
                      <w:color w:val="auto"/>
                      <w:highlight w:val="none"/>
                    </w:rPr>
                  </w:pPr>
                  <w:r>
                    <w:rPr>
                      <w:rFonts w:hint="eastAsia"/>
                      <w:color w:val="auto"/>
                      <w:highlight w:val="none"/>
                    </w:rPr>
                    <w:t>食堂厨余垃圾</w:t>
                  </w:r>
                </w:p>
              </w:tc>
              <w:tc>
                <w:tcPr>
                  <w:tcW w:w="1682" w:type="pct"/>
                  <w:noWrap w:val="0"/>
                  <w:vAlign w:val="center"/>
                </w:tcPr>
                <w:p w14:paraId="00D4C97D">
                  <w:pPr>
                    <w:pStyle w:val="98"/>
                    <w:adjustRightInd/>
                    <w:snapToGrid/>
                    <w:rPr>
                      <w:rFonts w:hint="eastAsia"/>
                      <w:color w:val="auto"/>
                      <w:highlight w:val="none"/>
                    </w:rPr>
                  </w:pPr>
                  <w:r>
                    <w:rPr>
                      <w:rFonts w:hint="eastAsia"/>
                      <w:color w:val="auto"/>
                      <w:szCs w:val="21"/>
                      <w:highlight w:val="none"/>
                    </w:rPr>
                    <w:t>交由有资质单位处理</w:t>
                  </w:r>
                </w:p>
              </w:tc>
            </w:tr>
            <w:tr w14:paraId="09AD0EA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17" w:hRule="atLeast"/>
                <w:jc w:val="center"/>
              </w:trPr>
              <w:tc>
                <w:tcPr>
                  <w:tcW w:w="522" w:type="pct"/>
                  <w:vMerge w:val="continue"/>
                  <w:noWrap w:val="0"/>
                  <w:vAlign w:val="center"/>
                </w:tcPr>
                <w:p w14:paraId="7566BB85">
                  <w:pPr>
                    <w:pStyle w:val="98"/>
                    <w:adjustRightInd/>
                    <w:snapToGrid/>
                    <w:rPr>
                      <w:color w:val="auto"/>
                      <w:szCs w:val="21"/>
                      <w:highlight w:val="none"/>
                    </w:rPr>
                  </w:pPr>
                </w:p>
              </w:tc>
              <w:tc>
                <w:tcPr>
                  <w:tcW w:w="857" w:type="pct"/>
                  <w:noWrap w:val="0"/>
                  <w:vAlign w:val="center"/>
                </w:tcPr>
                <w:p w14:paraId="4FE75588">
                  <w:pPr>
                    <w:pStyle w:val="98"/>
                    <w:adjustRightInd/>
                    <w:snapToGrid/>
                    <w:rPr>
                      <w:color w:val="auto"/>
                      <w:szCs w:val="21"/>
                      <w:highlight w:val="none"/>
                    </w:rPr>
                  </w:pPr>
                  <w:r>
                    <w:rPr>
                      <w:rFonts w:hint="eastAsia"/>
                      <w:color w:val="auto"/>
                      <w:szCs w:val="21"/>
                      <w:highlight w:val="none"/>
                    </w:rPr>
                    <w:t>废水处理设施维护</w:t>
                  </w:r>
                </w:p>
              </w:tc>
              <w:tc>
                <w:tcPr>
                  <w:tcW w:w="849" w:type="pct"/>
                  <w:vMerge w:val="continue"/>
                  <w:noWrap w:val="0"/>
                  <w:vAlign w:val="center"/>
                </w:tcPr>
                <w:p w14:paraId="6370DED1">
                  <w:pPr>
                    <w:pStyle w:val="98"/>
                    <w:adjustRightInd/>
                    <w:snapToGrid/>
                    <w:rPr>
                      <w:color w:val="auto"/>
                      <w:szCs w:val="21"/>
                      <w:highlight w:val="none"/>
                    </w:rPr>
                  </w:pPr>
                </w:p>
              </w:tc>
              <w:tc>
                <w:tcPr>
                  <w:tcW w:w="1088" w:type="pct"/>
                  <w:noWrap w:val="0"/>
                  <w:vAlign w:val="center"/>
                </w:tcPr>
                <w:p w14:paraId="530B8A6A">
                  <w:pPr>
                    <w:pStyle w:val="98"/>
                    <w:adjustRightInd/>
                    <w:snapToGrid/>
                    <w:rPr>
                      <w:rFonts w:hint="eastAsia"/>
                      <w:color w:val="auto"/>
                      <w:highlight w:val="none"/>
                    </w:rPr>
                  </w:pPr>
                  <w:r>
                    <w:rPr>
                      <w:rFonts w:hint="eastAsia"/>
                      <w:color w:val="auto"/>
                      <w:szCs w:val="21"/>
                      <w:highlight w:val="none"/>
                      <w:lang w:bidi="ar"/>
                    </w:rPr>
                    <w:t>隔油池废油</w:t>
                  </w:r>
                </w:p>
              </w:tc>
              <w:tc>
                <w:tcPr>
                  <w:tcW w:w="1682" w:type="pct"/>
                  <w:noWrap w:val="0"/>
                  <w:vAlign w:val="center"/>
                </w:tcPr>
                <w:p w14:paraId="0CA8EC72">
                  <w:pPr>
                    <w:pStyle w:val="98"/>
                    <w:adjustRightInd/>
                    <w:snapToGrid/>
                    <w:rPr>
                      <w:rFonts w:hint="eastAsia"/>
                      <w:color w:val="auto"/>
                      <w:highlight w:val="none"/>
                    </w:rPr>
                  </w:pPr>
                  <w:r>
                    <w:rPr>
                      <w:rFonts w:hint="eastAsia"/>
                      <w:color w:val="auto"/>
                      <w:szCs w:val="21"/>
                      <w:highlight w:val="none"/>
                    </w:rPr>
                    <w:t>交由有资质单位处理</w:t>
                  </w:r>
                </w:p>
              </w:tc>
            </w:tr>
            <w:tr w14:paraId="6D0EA14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1" w:hRule="atLeast"/>
                <w:jc w:val="center"/>
              </w:trPr>
              <w:tc>
                <w:tcPr>
                  <w:tcW w:w="522" w:type="pct"/>
                  <w:vMerge w:val="continue"/>
                  <w:noWrap w:val="0"/>
                  <w:vAlign w:val="center"/>
                </w:tcPr>
                <w:p w14:paraId="48388E26">
                  <w:pPr>
                    <w:pStyle w:val="98"/>
                    <w:adjustRightInd/>
                    <w:snapToGrid/>
                    <w:rPr>
                      <w:color w:val="auto"/>
                      <w:szCs w:val="21"/>
                      <w:highlight w:val="none"/>
                    </w:rPr>
                  </w:pPr>
                </w:p>
              </w:tc>
              <w:tc>
                <w:tcPr>
                  <w:tcW w:w="857" w:type="pct"/>
                  <w:vMerge w:val="restart"/>
                  <w:noWrap w:val="0"/>
                  <w:vAlign w:val="center"/>
                </w:tcPr>
                <w:p w14:paraId="4839A740">
                  <w:pPr>
                    <w:pStyle w:val="98"/>
                    <w:adjustRightInd/>
                    <w:snapToGrid/>
                    <w:rPr>
                      <w:color w:val="auto"/>
                      <w:szCs w:val="21"/>
                      <w:highlight w:val="none"/>
                    </w:rPr>
                  </w:pPr>
                  <w:r>
                    <w:rPr>
                      <w:rFonts w:hint="eastAsia"/>
                      <w:color w:val="auto"/>
                      <w:szCs w:val="21"/>
                      <w:highlight w:val="none"/>
                    </w:rPr>
                    <w:t>设备运行</w:t>
                  </w:r>
                  <w:r>
                    <w:rPr>
                      <w:rFonts w:hint="eastAsia"/>
                      <w:color w:val="auto"/>
                      <w:szCs w:val="21"/>
                      <w:highlight w:val="none"/>
                      <w:lang w:eastAsia="zh-CN"/>
                    </w:rPr>
                    <w:t>、</w:t>
                  </w:r>
                  <w:r>
                    <w:rPr>
                      <w:rFonts w:hint="eastAsia"/>
                      <w:color w:val="auto"/>
                      <w:szCs w:val="21"/>
                      <w:highlight w:val="none"/>
                    </w:rPr>
                    <w:t>维护</w:t>
                  </w:r>
                </w:p>
              </w:tc>
              <w:tc>
                <w:tcPr>
                  <w:tcW w:w="849" w:type="pct"/>
                  <w:vMerge w:val="restart"/>
                  <w:noWrap w:val="0"/>
                  <w:vAlign w:val="center"/>
                </w:tcPr>
                <w:p w14:paraId="6C6B463A">
                  <w:pPr>
                    <w:pStyle w:val="98"/>
                    <w:adjustRightInd/>
                    <w:snapToGrid/>
                    <w:rPr>
                      <w:rFonts w:hint="eastAsia"/>
                      <w:color w:val="auto"/>
                      <w:highlight w:val="none"/>
                    </w:rPr>
                  </w:pPr>
                  <w:r>
                    <w:rPr>
                      <w:rFonts w:hint="eastAsia"/>
                      <w:color w:val="auto"/>
                      <w:highlight w:val="none"/>
                    </w:rPr>
                    <w:t>危险废物</w:t>
                  </w:r>
                </w:p>
              </w:tc>
              <w:tc>
                <w:tcPr>
                  <w:tcW w:w="1088" w:type="pct"/>
                  <w:noWrap w:val="0"/>
                  <w:vAlign w:val="center"/>
                </w:tcPr>
                <w:p w14:paraId="4569A6FC">
                  <w:pPr>
                    <w:pStyle w:val="98"/>
                    <w:adjustRightInd/>
                    <w:snapToGrid/>
                    <w:rPr>
                      <w:rFonts w:hint="default" w:eastAsia="宋体"/>
                      <w:color w:val="auto"/>
                      <w:szCs w:val="21"/>
                      <w:highlight w:val="none"/>
                      <w:lang w:val="en-US" w:eastAsia="zh-CN"/>
                    </w:rPr>
                  </w:pPr>
                  <w:r>
                    <w:rPr>
                      <w:rFonts w:hint="eastAsia"/>
                      <w:color w:val="auto"/>
                      <w:szCs w:val="21"/>
                      <w:highlight w:val="none"/>
                      <w:lang w:val="en-US" w:eastAsia="zh-CN"/>
                    </w:rPr>
                    <w:t>废导热油</w:t>
                  </w:r>
                </w:p>
              </w:tc>
              <w:tc>
                <w:tcPr>
                  <w:tcW w:w="1682" w:type="pct"/>
                  <w:vMerge w:val="restart"/>
                  <w:noWrap w:val="0"/>
                  <w:vAlign w:val="center"/>
                </w:tcPr>
                <w:p w14:paraId="7CF8E765">
                  <w:pPr>
                    <w:pStyle w:val="98"/>
                    <w:adjustRightInd/>
                    <w:snapToGrid/>
                    <w:rPr>
                      <w:color w:val="auto"/>
                      <w:szCs w:val="21"/>
                      <w:highlight w:val="none"/>
                    </w:rPr>
                  </w:pPr>
                  <w:r>
                    <w:rPr>
                      <w:color w:val="auto"/>
                      <w:highlight w:val="none"/>
                    </w:rPr>
                    <w:t>其中</w:t>
                  </w:r>
                  <w:r>
                    <w:rPr>
                      <w:rFonts w:hint="eastAsia" w:ascii="Times New Roman" w:hAnsi="Times New Roman" w:eastAsia="宋体" w:cs="Times New Roman"/>
                      <w:color w:val="auto"/>
                      <w:sz w:val="21"/>
                      <w:szCs w:val="21"/>
                      <w:highlight w:val="none"/>
                      <w:lang w:val="en-US" w:eastAsia="zh-CN" w:bidi="ar"/>
                    </w:rPr>
                    <w:t>废含油抹布手套</w:t>
                  </w:r>
                  <w:r>
                    <w:rPr>
                      <w:color w:val="auto"/>
                      <w:highlight w:val="none"/>
                    </w:rPr>
                    <w:t>混入生活垃圾处理</w:t>
                  </w:r>
                  <w:r>
                    <w:rPr>
                      <w:rFonts w:hint="eastAsia"/>
                      <w:color w:val="auto"/>
                      <w:highlight w:val="none"/>
                    </w:rPr>
                    <w:t>，其余危险废物</w:t>
                  </w:r>
                  <w:r>
                    <w:rPr>
                      <w:rFonts w:hint="eastAsia"/>
                      <w:color w:val="auto"/>
                      <w:szCs w:val="21"/>
                      <w:highlight w:val="none"/>
                    </w:rPr>
                    <w:t>暂存于危废间，之后</w:t>
                  </w:r>
                  <w:r>
                    <w:rPr>
                      <w:rFonts w:hint="eastAsia"/>
                      <w:bCs/>
                      <w:color w:val="auto"/>
                      <w:spacing w:val="10"/>
                      <w:highlight w:val="none"/>
                    </w:rPr>
                    <w:t>委托有资质单位处理</w:t>
                  </w:r>
                </w:p>
              </w:tc>
            </w:tr>
            <w:tr w14:paraId="53B78AD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1" w:hRule="atLeast"/>
                <w:jc w:val="center"/>
              </w:trPr>
              <w:tc>
                <w:tcPr>
                  <w:tcW w:w="522" w:type="pct"/>
                  <w:vMerge w:val="continue"/>
                  <w:noWrap w:val="0"/>
                  <w:vAlign w:val="center"/>
                </w:tcPr>
                <w:p w14:paraId="226CCE5C">
                  <w:pPr>
                    <w:pStyle w:val="98"/>
                    <w:adjustRightInd/>
                    <w:snapToGrid/>
                    <w:rPr>
                      <w:color w:val="auto"/>
                      <w:szCs w:val="21"/>
                      <w:highlight w:val="none"/>
                    </w:rPr>
                  </w:pPr>
                </w:p>
              </w:tc>
              <w:tc>
                <w:tcPr>
                  <w:tcW w:w="857" w:type="pct"/>
                  <w:vMerge w:val="continue"/>
                  <w:noWrap w:val="0"/>
                  <w:vAlign w:val="center"/>
                </w:tcPr>
                <w:p w14:paraId="1E9D77D4">
                  <w:pPr>
                    <w:pStyle w:val="98"/>
                    <w:adjustRightInd/>
                    <w:snapToGrid/>
                    <w:rPr>
                      <w:color w:val="auto"/>
                      <w:szCs w:val="21"/>
                      <w:highlight w:val="none"/>
                    </w:rPr>
                  </w:pPr>
                </w:p>
              </w:tc>
              <w:tc>
                <w:tcPr>
                  <w:tcW w:w="849" w:type="pct"/>
                  <w:vMerge w:val="continue"/>
                  <w:noWrap w:val="0"/>
                  <w:vAlign w:val="center"/>
                </w:tcPr>
                <w:p w14:paraId="489980FE">
                  <w:pPr>
                    <w:pStyle w:val="98"/>
                    <w:adjustRightInd/>
                    <w:snapToGrid/>
                    <w:rPr>
                      <w:color w:val="auto"/>
                      <w:szCs w:val="21"/>
                      <w:highlight w:val="none"/>
                    </w:rPr>
                  </w:pPr>
                </w:p>
              </w:tc>
              <w:tc>
                <w:tcPr>
                  <w:tcW w:w="1088" w:type="pct"/>
                  <w:noWrap w:val="0"/>
                  <w:vAlign w:val="center"/>
                </w:tcPr>
                <w:p w14:paraId="160EEB45">
                  <w:pPr>
                    <w:pStyle w:val="98"/>
                    <w:adjustRightInd/>
                    <w:snapToGrid/>
                    <w:rPr>
                      <w:rFonts w:hint="default"/>
                      <w:color w:val="auto"/>
                      <w:szCs w:val="21"/>
                      <w:highlight w:val="none"/>
                      <w:lang w:val="en-US"/>
                    </w:rPr>
                  </w:pPr>
                  <w:r>
                    <w:rPr>
                      <w:rFonts w:hint="eastAsia"/>
                      <w:color w:val="auto"/>
                      <w:szCs w:val="21"/>
                      <w:highlight w:val="none"/>
                      <w:lang w:val="en-US" w:eastAsia="zh-CN"/>
                    </w:rPr>
                    <w:t>废机油、废润滑油</w:t>
                  </w:r>
                </w:p>
              </w:tc>
              <w:tc>
                <w:tcPr>
                  <w:tcW w:w="1682" w:type="pct"/>
                  <w:vMerge w:val="continue"/>
                  <w:noWrap w:val="0"/>
                  <w:vAlign w:val="center"/>
                </w:tcPr>
                <w:p w14:paraId="4C08F43A">
                  <w:pPr>
                    <w:pStyle w:val="98"/>
                    <w:adjustRightInd/>
                    <w:snapToGrid/>
                    <w:rPr>
                      <w:color w:val="auto"/>
                      <w:szCs w:val="21"/>
                      <w:highlight w:val="none"/>
                    </w:rPr>
                  </w:pPr>
                </w:p>
              </w:tc>
            </w:tr>
            <w:tr w14:paraId="060CC4B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1" w:hRule="atLeast"/>
                <w:jc w:val="center"/>
              </w:trPr>
              <w:tc>
                <w:tcPr>
                  <w:tcW w:w="522" w:type="pct"/>
                  <w:vMerge w:val="continue"/>
                  <w:noWrap w:val="0"/>
                  <w:vAlign w:val="center"/>
                </w:tcPr>
                <w:p w14:paraId="46F5077E">
                  <w:pPr>
                    <w:pStyle w:val="98"/>
                    <w:adjustRightInd/>
                    <w:snapToGrid/>
                    <w:rPr>
                      <w:color w:val="auto"/>
                      <w:szCs w:val="21"/>
                      <w:highlight w:val="none"/>
                    </w:rPr>
                  </w:pPr>
                </w:p>
              </w:tc>
              <w:tc>
                <w:tcPr>
                  <w:tcW w:w="857" w:type="pct"/>
                  <w:vMerge w:val="continue"/>
                  <w:noWrap w:val="0"/>
                  <w:vAlign w:val="center"/>
                </w:tcPr>
                <w:p w14:paraId="52D3B0AC">
                  <w:pPr>
                    <w:pStyle w:val="98"/>
                    <w:adjustRightInd/>
                    <w:snapToGrid/>
                    <w:rPr>
                      <w:color w:val="auto"/>
                      <w:szCs w:val="21"/>
                      <w:highlight w:val="none"/>
                    </w:rPr>
                  </w:pPr>
                </w:p>
              </w:tc>
              <w:tc>
                <w:tcPr>
                  <w:tcW w:w="849" w:type="pct"/>
                  <w:vMerge w:val="continue"/>
                  <w:noWrap w:val="0"/>
                  <w:vAlign w:val="center"/>
                </w:tcPr>
                <w:p w14:paraId="140C7B33">
                  <w:pPr>
                    <w:pStyle w:val="98"/>
                    <w:adjustRightInd/>
                    <w:snapToGrid/>
                    <w:rPr>
                      <w:color w:val="auto"/>
                      <w:szCs w:val="21"/>
                      <w:highlight w:val="none"/>
                    </w:rPr>
                  </w:pPr>
                </w:p>
              </w:tc>
              <w:tc>
                <w:tcPr>
                  <w:tcW w:w="1088" w:type="pct"/>
                  <w:noWrap w:val="0"/>
                  <w:vAlign w:val="center"/>
                </w:tcPr>
                <w:p w14:paraId="5DC792D8">
                  <w:pPr>
                    <w:pStyle w:val="98"/>
                    <w:adjustRightInd/>
                    <w:snapToGrid/>
                    <w:rPr>
                      <w:rFonts w:hint="default"/>
                      <w:color w:val="auto"/>
                      <w:szCs w:val="21"/>
                      <w:highlight w:val="none"/>
                      <w:lang w:val="en-US" w:eastAsia="zh-CN"/>
                    </w:rPr>
                  </w:pPr>
                  <w:r>
                    <w:rPr>
                      <w:rFonts w:hint="eastAsia"/>
                      <w:color w:val="auto"/>
                      <w:szCs w:val="21"/>
                      <w:highlight w:val="none"/>
                      <w:lang w:val="en-US" w:eastAsia="zh-CN"/>
                    </w:rPr>
                    <w:t>废油桶</w:t>
                  </w:r>
                </w:p>
              </w:tc>
              <w:tc>
                <w:tcPr>
                  <w:tcW w:w="1682" w:type="pct"/>
                  <w:vMerge w:val="continue"/>
                  <w:noWrap w:val="0"/>
                  <w:vAlign w:val="center"/>
                </w:tcPr>
                <w:p w14:paraId="6347CC7A">
                  <w:pPr>
                    <w:pStyle w:val="98"/>
                    <w:adjustRightInd/>
                    <w:snapToGrid/>
                    <w:rPr>
                      <w:color w:val="auto"/>
                      <w:szCs w:val="21"/>
                      <w:highlight w:val="none"/>
                    </w:rPr>
                  </w:pPr>
                </w:p>
              </w:tc>
            </w:tr>
            <w:tr w14:paraId="225D276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1" w:hRule="atLeast"/>
                <w:jc w:val="center"/>
              </w:trPr>
              <w:tc>
                <w:tcPr>
                  <w:tcW w:w="522" w:type="pct"/>
                  <w:vMerge w:val="continue"/>
                  <w:noWrap w:val="0"/>
                  <w:vAlign w:val="center"/>
                </w:tcPr>
                <w:p w14:paraId="4255FA9B">
                  <w:pPr>
                    <w:pStyle w:val="98"/>
                    <w:adjustRightInd/>
                    <w:snapToGrid/>
                    <w:rPr>
                      <w:color w:val="auto"/>
                      <w:szCs w:val="21"/>
                      <w:highlight w:val="none"/>
                    </w:rPr>
                  </w:pPr>
                </w:p>
              </w:tc>
              <w:tc>
                <w:tcPr>
                  <w:tcW w:w="857" w:type="pct"/>
                  <w:vMerge w:val="continue"/>
                  <w:noWrap w:val="0"/>
                  <w:vAlign w:val="center"/>
                </w:tcPr>
                <w:p w14:paraId="368B4F89">
                  <w:pPr>
                    <w:pStyle w:val="98"/>
                    <w:adjustRightInd/>
                    <w:snapToGrid/>
                    <w:rPr>
                      <w:color w:val="auto"/>
                      <w:szCs w:val="21"/>
                      <w:highlight w:val="none"/>
                    </w:rPr>
                  </w:pPr>
                </w:p>
              </w:tc>
              <w:tc>
                <w:tcPr>
                  <w:tcW w:w="849" w:type="pct"/>
                  <w:vMerge w:val="continue"/>
                  <w:noWrap w:val="0"/>
                  <w:vAlign w:val="center"/>
                </w:tcPr>
                <w:p w14:paraId="7A70A9AE">
                  <w:pPr>
                    <w:pStyle w:val="98"/>
                    <w:adjustRightInd/>
                    <w:snapToGrid/>
                    <w:rPr>
                      <w:color w:val="auto"/>
                      <w:szCs w:val="21"/>
                      <w:highlight w:val="none"/>
                    </w:rPr>
                  </w:pPr>
                </w:p>
              </w:tc>
              <w:tc>
                <w:tcPr>
                  <w:tcW w:w="1088" w:type="pct"/>
                  <w:noWrap w:val="0"/>
                  <w:vAlign w:val="center"/>
                </w:tcPr>
                <w:p w14:paraId="0D5CA549">
                  <w:pPr>
                    <w:pStyle w:val="98"/>
                    <w:adjustRightInd/>
                    <w:snapToGrid/>
                    <w:rPr>
                      <w:rFonts w:hint="eastAsia"/>
                      <w:color w:val="auto"/>
                      <w:szCs w:val="21"/>
                      <w:highlight w:val="none"/>
                      <w:lang w:val="en-US" w:eastAsia="zh-CN"/>
                    </w:rPr>
                  </w:pPr>
                  <w:r>
                    <w:rPr>
                      <w:rFonts w:hint="eastAsia" w:ascii="Times New Roman" w:hAnsi="Times New Roman" w:eastAsia="宋体" w:cs="Times New Roman"/>
                      <w:color w:val="auto"/>
                      <w:sz w:val="21"/>
                      <w:szCs w:val="21"/>
                      <w:highlight w:val="none"/>
                      <w:lang w:val="en-US" w:eastAsia="zh-CN" w:bidi="ar"/>
                    </w:rPr>
                    <w:t>废含油抹布手套</w:t>
                  </w:r>
                </w:p>
              </w:tc>
              <w:tc>
                <w:tcPr>
                  <w:tcW w:w="1682" w:type="pct"/>
                  <w:vMerge w:val="continue"/>
                  <w:noWrap w:val="0"/>
                  <w:vAlign w:val="center"/>
                </w:tcPr>
                <w:p w14:paraId="5B725F08">
                  <w:pPr>
                    <w:pStyle w:val="98"/>
                    <w:adjustRightInd/>
                    <w:snapToGrid/>
                    <w:rPr>
                      <w:color w:val="auto"/>
                      <w:szCs w:val="21"/>
                      <w:highlight w:val="none"/>
                    </w:rPr>
                  </w:pPr>
                </w:p>
              </w:tc>
            </w:tr>
            <w:tr w14:paraId="54211FA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1" w:hRule="atLeast"/>
                <w:jc w:val="center"/>
              </w:trPr>
              <w:tc>
                <w:tcPr>
                  <w:tcW w:w="522" w:type="pct"/>
                  <w:vMerge w:val="continue"/>
                  <w:noWrap w:val="0"/>
                  <w:vAlign w:val="center"/>
                </w:tcPr>
                <w:p w14:paraId="5B8E74E7">
                  <w:pPr>
                    <w:pStyle w:val="98"/>
                    <w:adjustRightInd/>
                    <w:snapToGrid/>
                    <w:rPr>
                      <w:color w:val="auto"/>
                      <w:szCs w:val="21"/>
                      <w:highlight w:val="none"/>
                    </w:rPr>
                  </w:pPr>
                </w:p>
              </w:tc>
              <w:tc>
                <w:tcPr>
                  <w:tcW w:w="857" w:type="pct"/>
                  <w:vMerge w:val="restart"/>
                  <w:noWrap w:val="0"/>
                  <w:vAlign w:val="center"/>
                </w:tcPr>
                <w:p w14:paraId="42897097">
                  <w:pPr>
                    <w:pStyle w:val="98"/>
                    <w:adjustRightInd/>
                    <w:snapToGrid/>
                    <w:rPr>
                      <w:color w:val="auto"/>
                      <w:szCs w:val="21"/>
                      <w:highlight w:val="none"/>
                    </w:rPr>
                  </w:pPr>
                  <w:r>
                    <w:rPr>
                      <w:rFonts w:hint="eastAsia" w:ascii="Times New Roman" w:hAnsi="Times New Roman" w:eastAsia="宋体" w:cs="Times New Roman"/>
                      <w:color w:val="auto"/>
                      <w:szCs w:val="21"/>
                      <w:highlight w:val="none"/>
                    </w:rPr>
                    <w:t>废气处理设施维护</w:t>
                  </w:r>
                </w:p>
              </w:tc>
              <w:tc>
                <w:tcPr>
                  <w:tcW w:w="849" w:type="pct"/>
                  <w:vMerge w:val="continue"/>
                  <w:noWrap w:val="0"/>
                  <w:vAlign w:val="center"/>
                </w:tcPr>
                <w:p w14:paraId="058D3FAA">
                  <w:pPr>
                    <w:pStyle w:val="98"/>
                    <w:adjustRightInd/>
                    <w:snapToGrid/>
                    <w:rPr>
                      <w:color w:val="auto"/>
                      <w:szCs w:val="21"/>
                      <w:highlight w:val="none"/>
                    </w:rPr>
                  </w:pPr>
                </w:p>
              </w:tc>
              <w:tc>
                <w:tcPr>
                  <w:tcW w:w="1088" w:type="pct"/>
                  <w:noWrap w:val="0"/>
                  <w:vAlign w:val="center"/>
                </w:tcPr>
                <w:p w14:paraId="761753B7">
                  <w:pPr>
                    <w:pStyle w:val="98"/>
                    <w:adjustRightInd/>
                    <w:snapToGrid/>
                    <w:rPr>
                      <w:rFonts w:hint="default" w:eastAsia="宋体"/>
                      <w:color w:val="auto"/>
                      <w:szCs w:val="21"/>
                      <w:highlight w:val="none"/>
                      <w:lang w:val="en-US" w:eastAsia="zh-CN"/>
                    </w:rPr>
                  </w:pPr>
                  <w:r>
                    <w:rPr>
                      <w:rFonts w:hint="eastAsia"/>
                      <w:color w:val="auto"/>
                      <w:szCs w:val="21"/>
                      <w:highlight w:val="none"/>
                      <w:lang w:val="en-US" w:eastAsia="zh-CN"/>
                    </w:rPr>
                    <w:t>废活性炭</w:t>
                  </w:r>
                </w:p>
              </w:tc>
              <w:tc>
                <w:tcPr>
                  <w:tcW w:w="1682" w:type="pct"/>
                  <w:vMerge w:val="continue"/>
                  <w:noWrap w:val="0"/>
                  <w:vAlign w:val="center"/>
                </w:tcPr>
                <w:p w14:paraId="5B00C069">
                  <w:pPr>
                    <w:pStyle w:val="98"/>
                    <w:adjustRightInd/>
                    <w:snapToGrid/>
                    <w:rPr>
                      <w:color w:val="auto"/>
                      <w:szCs w:val="21"/>
                      <w:highlight w:val="none"/>
                    </w:rPr>
                  </w:pPr>
                </w:p>
              </w:tc>
            </w:tr>
            <w:tr w14:paraId="31B2AC8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1" w:hRule="atLeast"/>
                <w:jc w:val="center"/>
              </w:trPr>
              <w:tc>
                <w:tcPr>
                  <w:tcW w:w="522" w:type="pct"/>
                  <w:vMerge w:val="continue"/>
                  <w:noWrap w:val="0"/>
                  <w:vAlign w:val="center"/>
                </w:tcPr>
                <w:p w14:paraId="4205B138">
                  <w:pPr>
                    <w:pStyle w:val="98"/>
                    <w:adjustRightInd/>
                    <w:snapToGrid/>
                    <w:rPr>
                      <w:color w:val="auto"/>
                      <w:szCs w:val="21"/>
                      <w:highlight w:val="none"/>
                    </w:rPr>
                  </w:pPr>
                </w:p>
              </w:tc>
              <w:tc>
                <w:tcPr>
                  <w:tcW w:w="857" w:type="pct"/>
                  <w:vMerge w:val="continue"/>
                  <w:noWrap w:val="0"/>
                  <w:vAlign w:val="center"/>
                </w:tcPr>
                <w:p w14:paraId="66E6CADA">
                  <w:pPr>
                    <w:pStyle w:val="98"/>
                    <w:adjustRightInd/>
                    <w:snapToGrid/>
                    <w:rPr>
                      <w:rFonts w:hint="eastAsia" w:ascii="Times New Roman" w:hAnsi="Times New Roman" w:eastAsia="宋体" w:cs="Times New Roman"/>
                      <w:color w:val="auto"/>
                      <w:szCs w:val="21"/>
                      <w:highlight w:val="none"/>
                    </w:rPr>
                  </w:pPr>
                </w:p>
              </w:tc>
              <w:tc>
                <w:tcPr>
                  <w:tcW w:w="849" w:type="pct"/>
                  <w:vMerge w:val="continue"/>
                  <w:noWrap w:val="0"/>
                  <w:vAlign w:val="center"/>
                </w:tcPr>
                <w:p w14:paraId="0C71D2B8">
                  <w:pPr>
                    <w:pStyle w:val="98"/>
                    <w:adjustRightInd/>
                    <w:snapToGrid/>
                    <w:rPr>
                      <w:color w:val="auto"/>
                      <w:szCs w:val="21"/>
                      <w:highlight w:val="none"/>
                    </w:rPr>
                  </w:pPr>
                </w:p>
              </w:tc>
              <w:tc>
                <w:tcPr>
                  <w:tcW w:w="1088" w:type="pct"/>
                  <w:noWrap w:val="0"/>
                  <w:vAlign w:val="center"/>
                </w:tcPr>
                <w:p w14:paraId="6A58CD9B">
                  <w:pPr>
                    <w:pStyle w:val="98"/>
                    <w:adjustRightInd/>
                    <w:snapToGrid/>
                    <w:rPr>
                      <w:rFonts w:hint="default"/>
                      <w:color w:val="auto"/>
                      <w:szCs w:val="21"/>
                      <w:highlight w:val="none"/>
                      <w:lang w:val="en-US" w:eastAsia="zh-CN"/>
                    </w:rPr>
                  </w:pPr>
                  <w:r>
                    <w:rPr>
                      <w:rFonts w:hint="eastAsia"/>
                      <w:color w:val="auto"/>
                      <w:szCs w:val="21"/>
                      <w:highlight w:val="none"/>
                      <w:lang w:val="en-US" w:eastAsia="zh-CN"/>
                    </w:rPr>
                    <w:t>喷淋废液</w:t>
                  </w:r>
                </w:p>
              </w:tc>
              <w:tc>
                <w:tcPr>
                  <w:tcW w:w="1682" w:type="pct"/>
                  <w:vMerge w:val="continue"/>
                  <w:noWrap w:val="0"/>
                  <w:vAlign w:val="center"/>
                </w:tcPr>
                <w:p w14:paraId="35E8ACF0">
                  <w:pPr>
                    <w:pStyle w:val="98"/>
                    <w:adjustRightInd/>
                    <w:snapToGrid/>
                    <w:rPr>
                      <w:color w:val="auto"/>
                      <w:szCs w:val="21"/>
                      <w:highlight w:val="none"/>
                    </w:rPr>
                  </w:pPr>
                </w:p>
              </w:tc>
            </w:tr>
            <w:tr w14:paraId="19DF104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1" w:hRule="atLeast"/>
                <w:jc w:val="center"/>
              </w:trPr>
              <w:tc>
                <w:tcPr>
                  <w:tcW w:w="522" w:type="pct"/>
                  <w:vMerge w:val="continue"/>
                  <w:noWrap w:val="0"/>
                  <w:vAlign w:val="center"/>
                </w:tcPr>
                <w:p w14:paraId="33724CD4">
                  <w:pPr>
                    <w:pStyle w:val="98"/>
                    <w:adjustRightInd/>
                    <w:snapToGrid/>
                    <w:rPr>
                      <w:color w:val="auto"/>
                      <w:szCs w:val="21"/>
                      <w:highlight w:val="none"/>
                    </w:rPr>
                  </w:pPr>
                </w:p>
              </w:tc>
              <w:tc>
                <w:tcPr>
                  <w:tcW w:w="857" w:type="pct"/>
                  <w:noWrap w:val="0"/>
                  <w:vAlign w:val="center"/>
                </w:tcPr>
                <w:p w14:paraId="5F36E9A1">
                  <w:pPr>
                    <w:pStyle w:val="98"/>
                    <w:adjustRightInd/>
                    <w:snapToGrid/>
                    <w:rPr>
                      <w:color w:val="auto"/>
                      <w:szCs w:val="21"/>
                      <w:highlight w:val="none"/>
                    </w:rPr>
                  </w:pPr>
                  <w:r>
                    <w:rPr>
                      <w:rFonts w:hint="eastAsia"/>
                      <w:color w:val="auto"/>
                      <w:szCs w:val="21"/>
                      <w:highlight w:val="none"/>
                    </w:rPr>
                    <w:t>员工</w:t>
                  </w:r>
                </w:p>
              </w:tc>
              <w:tc>
                <w:tcPr>
                  <w:tcW w:w="849" w:type="pct"/>
                  <w:noWrap w:val="0"/>
                  <w:vAlign w:val="center"/>
                </w:tcPr>
                <w:p w14:paraId="74F11A7A">
                  <w:pPr>
                    <w:pStyle w:val="98"/>
                    <w:adjustRightInd/>
                    <w:snapToGrid/>
                    <w:rPr>
                      <w:color w:val="auto"/>
                      <w:szCs w:val="21"/>
                      <w:highlight w:val="none"/>
                    </w:rPr>
                  </w:pPr>
                  <w:r>
                    <w:rPr>
                      <w:rFonts w:hint="eastAsia"/>
                      <w:color w:val="auto"/>
                      <w:szCs w:val="21"/>
                      <w:highlight w:val="none"/>
                    </w:rPr>
                    <w:t>生活垃圾</w:t>
                  </w:r>
                </w:p>
              </w:tc>
              <w:tc>
                <w:tcPr>
                  <w:tcW w:w="1088" w:type="pct"/>
                  <w:noWrap w:val="0"/>
                  <w:vAlign w:val="center"/>
                </w:tcPr>
                <w:p w14:paraId="539EE3C6">
                  <w:pPr>
                    <w:pStyle w:val="98"/>
                    <w:adjustRightInd/>
                    <w:snapToGrid/>
                    <w:rPr>
                      <w:color w:val="auto"/>
                      <w:szCs w:val="21"/>
                      <w:highlight w:val="none"/>
                    </w:rPr>
                  </w:pPr>
                  <w:r>
                    <w:rPr>
                      <w:rFonts w:hint="eastAsia"/>
                      <w:color w:val="auto"/>
                      <w:szCs w:val="21"/>
                      <w:highlight w:val="none"/>
                    </w:rPr>
                    <w:t>生活垃圾</w:t>
                  </w:r>
                </w:p>
              </w:tc>
              <w:tc>
                <w:tcPr>
                  <w:tcW w:w="1682" w:type="pct"/>
                  <w:noWrap w:val="0"/>
                  <w:vAlign w:val="center"/>
                </w:tcPr>
                <w:p w14:paraId="1EC50343">
                  <w:pPr>
                    <w:pStyle w:val="98"/>
                    <w:adjustRightInd/>
                    <w:snapToGrid/>
                    <w:rPr>
                      <w:color w:val="auto"/>
                      <w:szCs w:val="21"/>
                      <w:highlight w:val="none"/>
                    </w:rPr>
                  </w:pPr>
                  <w:r>
                    <w:rPr>
                      <w:rFonts w:hint="eastAsia"/>
                      <w:color w:val="auto"/>
                      <w:highlight w:val="none"/>
                    </w:rPr>
                    <w:t>委托环卫部门处置</w:t>
                  </w:r>
                </w:p>
              </w:tc>
            </w:tr>
          </w:tbl>
          <w:p w14:paraId="39BB3844">
            <w:pPr>
              <w:pStyle w:val="85"/>
              <w:ind w:firstLine="0" w:firstLineChars="0"/>
              <w:rPr>
                <w:color w:val="auto"/>
                <w:highlight w:val="none"/>
              </w:rPr>
            </w:pPr>
          </w:p>
        </w:tc>
      </w:tr>
      <w:tr w14:paraId="7E1B01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8" w:hRule="atLeast"/>
          <w:jc w:val="center"/>
        </w:trPr>
        <w:tc>
          <w:tcPr>
            <w:tcW w:w="1287" w:type="dxa"/>
            <w:noWrap w:val="0"/>
            <w:vAlign w:val="center"/>
          </w:tcPr>
          <w:p w14:paraId="4840D091">
            <w:pPr>
              <w:ind w:firstLine="0" w:firstLineChars="0"/>
              <w:jc w:val="center"/>
              <w:rPr>
                <w:color w:val="auto"/>
                <w:highlight w:val="none"/>
              </w:rPr>
            </w:pPr>
            <w:r>
              <w:rPr>
                <w:color w:val="auto"/>
                <w:highlight w:val="none"/>
              </w:rPr>
              <w:t>与项目有关的原有环境污染问题</w:t>
            </w:r>
          </w:p>
        </w:tc>
        <w:tc>
          <w:tcPr>
            <w:tcW w:w="7792" w:type="dxa"/>
            <w:noWrap w:val="0"/>
            <w:vAlign w:val="center"/>
          </w:tcPr>
          <w:p w14:paraId="1CE86D11">
            <w:pPr>
              <w:ind w:left="0" w:leftChars="0" w:firstLine="0" w:firstLineChars="0"/>
              <w:jc w:val="center"/>
              <w:rPr>
                <w:rFonts w:hint="eastAsia" w:eastAsia="宋体"/>
                <w:color w:val="auto"/>
                <w:highlight w:val="none"/>
                <w:lang w:val="en-US" w:eastAsia="zh-CN"/>
              </w:rPr>
            </w:pPr>
            <w:r>
              <w:rPr>
                <w:rFonts w:hint="eastAsia"/>
                <w:color w:val="auto"/>
                <w:highlight w:val="none"/>
                <w:lang w:val="en-US" w:eastAsia="zh-CN"/>
              </w:rPr>
              <w:t>无</w:t>
            </w:r>
          </w:p>
        </w:tc>
      </w:tr>
    </w:tbl>
    <w:p w14:paraId="6398F149">
      <w:pPr>
        <w:pStyle w:val="22"/>
        <w:jc w:val="center"/>
        <w:rPr>
          <w:rFonts w:ascii="Times New Roman" w:hAnsi="Times New Roman" w:eastAsia="黑体"/>
          <w:snapToGrid w:val="0"/>
          <w:color w:val="auto"/>
          <w:sz w:val="36"/>
          <w:szCs w:val="36"/>
          <w:highlight w:val="none"/>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787BCA71">
      <w:pPr>
        <w:pStyle w:val="2"/>
        <w:rPr>
          <w:color w:val="auto"/>
          <w:highlight w:val="none"/>
        </w:rPr>
      </w:pPr>
      <w:bookmarkStart w:id="14" w:name="_Toc3788"/>
      <w:r>
        <w:rPr>
          <w:color w:val="auto"/>
          <w:highlight w:val="none"/>
        </w:rPr>
        <w:t>三、区域环境质量现状、环境保护目标及评价标准</w:t>
      </w:r>
      <w:bookmarkEnd w:id="14"/>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0"/>
        <w:gridCol w:w="8319"/>
      </w:tblGrid>
      <w:tr w14:paraId="00FAAC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0" w:type="dxa"/>
            <w:noWrap w:val="0"/>
            <w:vAlign w:val="center"/>
          </w:tcPr>
          <w:p w14:paraId="597F34DF">
            <w:pPr>
              <w:pStyle w:val="22"/>
              <w:adjustRightInd w:val="0"/>
              <w:snapToGrid w:val="0"/>
              <w:spacing w:before="0" w:beforeAutospacing="0" w:after="0" w:afterAutospacing="0"/>
              <w:ind w:firstLine="0" w:firstLineChars="0"/>
              <w:jc w:val="center"/>
              <w:rPr>
                <w:rFonts w:ascii="Times New Roman" w:hAnsi="Times New Roman"/>
                <w:color w:val="auto"/>
                <w:kern w:val="2"/>
                <w:szCs w:val="24"/>
                <w:highlight w:val="none"/>
              </w:rPr>
            </w:pPr>
            <w:r>
              <w:rPr>
                <w:rFonts w:ascii="Times New Roman" w:hAnsi="Times New Roman"/>
                <w:color w:val="auto"/>
                <w:kern w:val="2"/>
                <w:szCs w:val="24"/>
                <w:highlight w:val="none"/>
              </w:rPr>
              <w:t>区域</w:t>
            </w:r>
          </w:p>
          <w:p w14:paraId="60768012">
            <w:pPr>
              <w:pStyle w:val="22"/>
              <w:adjustRightInd w:val="0"/>
              <w:snapToGrid w:val="0"/>
              <w:spacing w:before="0" w:beforeAutospacing="0" w:after="0" w:afterAutospacing="0"/>
              <w:ind w:firstLine="0" w:firstLineChars="0"/>
              <w:jc w:val="center"/>
              <w:rPr>
                <w:rFonts w:ascii="Times New Roman" w:hAnsi="Times New Roman"/>
                <w:color w:val="auto"/>
                <w:kern w:val="2"/>
                <w:szCs w:val="24"/>
                <w:highlight w:val="none"/>
              </w:rPr>
            </w:pPr>
            <w:r>
              <w:rPr>
                <w:rFonts w:ascii="Times New Roman" w:hAnsi="Times New Roman"/>
                <w:color w:val="auto"/>
                <w:kern w:val="2"/>
                <w:szCs w:val="24"/>
                <w:highlight w:val="none"/>
              </w:rPr>
              <w:t>环境</w:t>
            </w:r>
          </w:p>
          <w:p w14:paraId="35403A36">
            <w:pPr>
              <w:pStyle w:val="22"/>
              <w:adjustRightInd w:val="0"/>
              <w:snapToGrid w:val="0"/>
              <w:spacing w:before="0" w:beforeAutospacing="0" w:after="0" w:afterAutospacing="0"/>
              <w:ind w:firstLine="0" w:firstLineChars="0"/>
              <w:jc w:val="center"/>
              <w:rPr>
                <w:rFonts w:ascii="Times New Roman" w:hAnsi="Times New Roman"/>
                <w:color w:val="auto"/>
                <w:kern w:val="2"/>
                <w:szCs w:val="24"/>
                <w:highlight w:val="none"/>
              </w:rPr>
            </w:pPr>
            <w:r>
              <w:rPr>
                <w:rFonts w:ascii="Times New Roman" w:hAnsi="Times New Roman"/>
                <w:color w:val="auto"/>
                <w:kern w:val="2"/>
                <w:szCs w:val="24"/>
                <w:highlight w:val="none"/>
              </w:rPr>
              <w:t>质量</w:t>
            </w:r>
          </w:p>
          <w:p w14:paraId="63FDF0E4">
            <w:pPr>
              <w:pStyle w:val="22"/>
              <w:adjustRightInd w:val="0"/>
              <w:snapToGrid w:val="0"/>
              <w:spacing w:before="0" w:beforeAutospacing="0" w:after="0" w:afterAutospacing="0"/>
              <w:ind w:firstLine="0" w:firstLineChars="0"/>
              <w:jc w:val="center"/>
              <w:rPr>
                <w:rFonts w:ascii="Times New Roman" w:hAnsi="Times New Roman"/>
                <w:color w:val="auto"/>
                <w:kern w:val="2"/>
                <w:szCs w:val="24"/>
                <w:highlight w:val="none"/>
              </w:rPr>
            </w:pPr>
            <w:r>
              <w:rPr>
                <w:rFonts w:ascii="Times New Roman" w:hAnsi="Times New Roman"/>
                <w:color w:val="auto"/>
                <w:kern w:val="2"/>
                <w:szCs w:val="24"/>
                <w:highlight w:val="none"/>
              </w:rPr>
              <w:t>现状</w:t>
            </w:r>
          </w:p>
        </w:tc>
        <w:tc>
          <w:tcPr>
            <w:tcW w:w="8319" w:type="dxa"/>
            <w:noWrap w:val="0"/>
            <w:vAlign w:val="center"/>
          </w:tcPr>
          <w:p w14:paraId="12515D7F">
            <w:pPr>
              <w:pStyle w:val="3"/>
              <w:rPr>
                <w:color w:val="auto"/>
                <w:highlight w:val="none"/>
              </w:rPr>
            </w:pPr>
            <w:r>
              <w:rPr>
                <w:color w:val="auto"/>
                <w:highlight w:val="none"/>
              </w:rPr>
              <w:t>3.1大气环境质量现状</w:t>
            </w:r>
          </w:p>
          <w:p w14:paraId="133943EA">
            <w:pPr>
              <w:pStyle w:val="4"/>
              <w:rPr>
                <w:color w:val="auto"/>
                <w:highlight w:val="none"/>
              </w:rPr>
            </w:pPr>
            <w:r>
              <w:rPr>
                <w:color w:val="auto"/>
                <w:highlight w:val="none"/>
              </w:rPr>
              <w:t>3.1.1环境空气质量功能区划</w:t>
            </w:r>
          </w:p>
          <w:p w14:paraId="19304DB3">
            <w:pPr>
              <w:keepNext w:val="0"/>
              <w:keepLines w:val="0"/>
              <w:widowControl/>
              <w:suppressLineNumbers w:val="0"/>
              <w:jc w:val="left"/>
              <w:rPr>
                <w:rFonts w:hint="eastAsia" w:ascii="宋体" w:hAnsi="宋体" w:cs="宋体"/>
                <w:color w:val="auto"/>
                <w:highlight w:val="none"/>
              </w:rPr>
            </w:pPr>
            <w:bookmarkStart w:id="15" w:name="_Toc339964236"/>
            <w:bookmarkStart w:id="16" w:name="_Toc338850492"/>
            <w:r>
              <w:rPr>
                <w:rFonts w:hint="eastAsia" w:ascii="宋体" w:hAnsi="宋体" w:eastAsia="宋体" w:cs="宋体"/>
                <w:color w:val="auto"/>
                <w:kern w:val="0"/>
                <w:sz w:val="24"/>
                <w:szCs w:val="24"/>
                <w:highlight w:val="none"/>
                <w:lang w:val="en-US" w:eastAsia="zh-CN" w:bidi="ar"/>
              </w:rPr>
              <w:t>根据《福州市人民政府关于印发福州市环境空气质量功能区划和福州市声环境功能区划的通知》（榕政综</w:t>
            </w:r>
            <w:r>
              <w:rPr>
                <w:rFonts w:ascii="Times New Roman" w:hAnsi="Times New Roman" w:eastAsia="宋体" w:cs="Times New Roman"/>
                <w:color w:val="auto"/>
                <w:kern w:val="0"/>
                <w:highlight w:val="none"/>
                <w:lang w:bidi="ar"/>
              </w:rPr>
              <w:t>〔20</w:t>
            </w:r>
            <w:r>
              <w:rPr>
                <w:rFonts w:hint="eastAsia" w:ascii="Times New Roman" w:hAnsi="Times New Roman" w:eastAsia="宋体" w:cs="Times New Roman"/>
                <w:color w:val="auto"/>
                <w:kern w:val="0"/>
                <w:highlight w:val="none"/>
                <w:lang w:val="en-US" w:eastAsia="zh-CN" w:bidi="ar"/>
              </w:rPr>
              <w:t>14</w:t>
            </w:r>
            <w:r>
              <w:rPr>
                <w:rFonts w:ascii="Times New Roman" w:hAnsi="Times New Roman" w:eastAsia="宋体" w:cs="Times New Roman"/>
                <w:color w:val="auto"/>
                <w:kern w:val="0"/>
                <w:highlight w:val="none"/>
                <w:lang w:bidi="ar"/>
              </w:rPr>
              <w:t>〕</w:t>
            </w:r>
            <w:r>
              <w:rPr>
                <w:rFonts w:hint="default" w:ascii="Times New Roman" w:hAnsi="Times New Roman" w:eastAsia="宋体" w:cs="Times New Roman"/>
                <w:color w:val="auto"/>
                <w:kern w:val="0"/>
                <w:sz w:val="24"/>
                <w:szCs w:val="24"/>
                <w:highlight w:val="none"/>
                <w:lang w:val="en-US" w:eastAsia="zh-CN" w:bidi="ar"/>
              </w:rPr>
              <w:t xml:space="preserve">30 </w:t>
            </w:r>
            <w:r>
              <w:rPr>
                <w:rFonts w:hint="eastAsia" w:ascii="宋体" w:hAnsi="宋体" w:eastAsia="宋体" w:cs="宋体"/>
                <w:color w:val="auto"/>
                <w:kern w:val="0"/>
                <w:sz w:val="24"/>
                <w:szCs w:val="24"/>
                <w:highlight w:val="none"/>
                <w:lang w:val="en-US" w:eastAsia="zh-CN" w:bidi="ar"/>
              </w:rPr>
              <w:t>号），项目所在地大气环境功能区规划为二类区。因此，项目区大气环境质量执行《环境空气质量标准》（</w:t>
            </w:r>
            <w:r>
              <w:rPr>
                <w:rFonts w:hint="default" w:ascii="Times New Roman" w:hAnsi="Times New Roman" w:eastAsia="宋体" w:cs="Times New Roman"/>
                <w:color w:val="auto"/>
                <w:kern w:val="0"/>
                <w:sz w:val="24"/>
                <w:szCs w:val="24"/>
                <w:highlight w:val="none"/>
                <w:lang w:val="en-US" w:eastAsia="zh-CN" w:bidi="ar"/>
              </w:rPr>
              <w:t>GB3095-2012</w:t>
            </w:r>
            <w:r>
              <w:rPr>
                <w:rFonts w:hint="eastAsia" w:ascii="宋体" w:hAnsi="宋体" w:eastAsia="宋体" w:cs="宋体"/>
                <w:color w:val="auto"/>
                <w:kern w:val="0"/>
                <w:sz w:val="24"/>
                <w:szCs w:val="24"/>
                <w:highlight w:val="none"/>
                <w:lang w:val="en-US" w:eastAsia="zh-CN" w:bidi="ar"/>
              </w:rPr>
              <w:t>）中的二级标准。具体标准值见表</w:t>
            </w:r>
            <w:r>
              <w:rPr>
                <w:rFonts w:hint="default" w:ascii="Times New Roman" w:hAnsi="Times New Roman" w:eastAsia="宋体" w:cs="Times New Roman"/>
                <w:color w:val="auto"/>
                <w:kern w:val="0"/>
                <w:sz w:val="24"/>
                <w:szCs w:val="24"/>
                <w:highlight w:val="none"/>
                <w:lang w:val="en-US" w:eastAsia="zh-CN" w:bidi="ar"/>
              </w:rPr>
              <w:t>3.1-1</w:t>
            </w:r>
            <w:r>
              <w:rPr>
                <w:rFonts w:hint="eastAsia" w:ascii="宋体" w:hAnsi="宋体" w:eastAsia="宋体" w:cs="宋体"/>
                <w:color w:val="auto"/>
                <w:kern w:val="0"/>
                <w:sz w:val="24"/>
                <w:szCs w:val="24"/>
                <w:highlight w:val="none"/>
                <w:lang w:val="en-US" w:eastAsia="zh-CN" w:bidi="ar"/>
              </w:rPr>
              <w:t>。</w:t>
            </w:r>
          </w:p>
          <w:bookmarkEnd w:id="15"/>
          <w:bookmarkEnd w:id="16"/>
          <w:p w14:paraId="1800F4B8">
            <w:pPr>
              <w:ind w:firstLine="0" w:firstLineChars="0"/>
              <w:jc w:val="center"/>
              <w:rPr>
                <w:b/>
                <w:color w:val="auto"/>
                <w:kern w:val="0"/>
                <w:highlight w:val="none"/>
              </w:rPr>
            </w:pPr>
            <w:r>
              <w:rPr>
                <w:b/>
                <w:color w:val="auto"/>
                <w:kern w:val="0"/>
                <w:highlight w:val="none"/>
              </w:rPr>
              <w:t>表3.1-1  本项目环境空气标准一览表</w:t>
            </w:r>
          </w:p>
          <w:tbl>
            <w:tblPr>
              <w:tblStyle w:val="27"/>
              <w:tblW w:w="8164" w:type="dxa"/>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
            <w:tblGrid>
              <w:gridCol w:w="1375"/>
              <w:gridCol w:w="2051"/>
              <w:gridCol w:w="1677"/>
              <w:gridCol w:w="3061"/>
            </w:tblGrid>
            <w:tr w14:paraId="1B7EB88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283" w:hRule="atLeast"/>
                <w:jc w:val="center"/>
              </w:trPr>
              <w:tc>
                <w:tcPr>
                  <w:tcW w:w="1375" w:type="dxa"/>
                  <w:noWrap w:val="0"/>
                  <w:vAlign w:val="center"/>
                </w:tcPr>
                <w:p w14:paraId="702C4DD4">
                  <w:pPr>
                    <w:pStyle w:val="8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
                      <w:color w:val="auto"/>
                      <w:szCs w:val="21"/>
                      <w:highlight w:val="none"/>
                      <w:lang w:eastAsia="zh-CN"/>
                    </w:rPr>
                  </w:pPr>
                  <w:r>
                    <w:rPr>
                      <w:rFonts w:ascii="Times New Roman" w:hAnsi="Times New Roman" w:cs="Times New Roman"/>
                      <w:b/>
                      <w:color w:val="auto"/>
                      <w:szCs w:val="21"/>
                      <w:highlight w:val="none"/>
                      <w:lang w:eastAsia="zh-CN"/>
                    </w:rPr>
                    <w:t>污染物名称</w:t>
                  </w:r>
                </w:p>
              </w:tc>
              <w:tc>
                <w:tcPr>
                  <w:tcW w:w="2051" w:type="dxa"/>
                  <w:noWrap w:val="0"/>
                  <w:vAlign w:val="center"/>
                </w:tcPr>
                <w:p w14:paraId="6AFFB7BE">
                  <w:pPr>
                    <w:pStyle w:val="8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
                      <w:color w:val="auto"/>
                      <w:szCs w:val="21"/>
                      <w:highlight w:val="none"/>
                      <w:lang w:eastAsia="zh-CN"/>
                    </w:rPr>
                  </w:pPr>
                  <w:r>
                    <w:rPr>
                      <w:rFonts w:ascii="Times New Roman" w:hAnsi="Times New Roman" w:cs="Times New Roman"/>
                      <w:b/>
                      <w:color w:val="auto"/>
                      <w:szCs w:val="21"/>
                      <w:highlight w:val="none"/>
                      <w:lang w:eastAsia="zh-CN"/>
                    </w:rPr>
                    <w:t>取值时间</w:t>
                  </w:r>
                </w:p>
              </w:tc>
              <w:tc>
                <w:tcPr>
                  <w:tcW w:w="1677" w:type="dxa"/>
                  <w:noWrap w:val="0"/>
                  <w:vAlign w:val="center"/>
                </w:tcPr>
                <w:p w14:paraId="63323AB1">
                  <w:pPr>
                    <w:pStyle w:val="8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
                      <w:color w:val="auto"/>
                      <w:szCs w:val="21"/>
                      <w:highlight w:val="none"/>
                      <w:lang w:eastAsia="zh-CN"/>
                    </w:rPr>
                  </w:pPr>
                  <w:r>
                    <w:rPr>
                      <w:rFonts w:ascii="Times New Roman" w:hAnsi="Times New Roman" w:cs="Times New Roman"/>
                      <w:b/>
                      <w:color w:val="auto"/>
                      <w:szCs w:val="21"/>
                      <w:highlight w:val="none"/>
                      <w:lang w:eastAsia="zh-CN"/>
                    </w:rPr>
                    <w:t>浓度限值</w:t>
                  </w:r>
                </w:p>
              </w:tc>
              <w:tc>
                <w:tcPr>
                  <w:tcW w:w="3061" w:type="dxa"/>
                  <w:noWrap w:val="0"/>
                  <w:vAlign w:val="center"/>
                </w:tcPr>
                <w:p w14:paraId="412D8CC7">
                  <w:pPr>
                    <w:pStyle w:val="8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
                      <w:color w:val="auto"/>
                      <w:szCs w:val="21"/>
                      <w:highlight w:val="none"/>
                      <w:lang w:eastAsia="zh-CN"/>
                    </w:rPr>
                  </w:pPr>
                  <w:r>
                    <w:rPr>
                      <w:rFonts w:ascii="Times New Roman" w:hAnsi="Times New Roman" w:cs="Times New Roman"/>
                      <w:b/>
                      <w:color w:val="auto"/>
                      <w:szCs w:val="21"/>
                      <w:highlight w:val="none"/>
                      <w:lang w:eastAsia="zh-CN"/>
                    </w:rPr>
                    <w:t>标准来源</w:t>
                  </w:r>
                </w:p>
              </w:tc>
            </w:tr>
            <w:tr w14:paraId="6D051D3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283" w:hRule="atLeast"/>
                <w:jc w:val="center"/>
              </w:trPr>
              <w:tc>
                <w:tcPr>
                  <w:tcW w:w="1375" w:type="dxa"/>
                  <w:vMerge w:val="restart"/>
                  <w:noWrap w:val="0"/>
                  <w:vAlign w:val="center"/>
                </w:tcPr>
                <w:p w14:paraId="4434A105">
                  <w:pPr>
                    <w:pStyle w:val="8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Cs/>
                      <w:color w:val="auto"/>
                      <w:szCs w:val="21"/>
                      <w:highlight w:val="none"/>
                      <w:lang w:eastAsia="zh-CN"/>
                    </w:rPr>
                  </w:pPr>
                  <w:r>
                    <w:rPr>
                      <w:rFonts w:ascii="Times New Roman" w:hAnsi="Times New Roman" w:cs="Times New Roman"/>
                      <w:bCs/>
                      <w:color w:val="auto"/>
                      <w:szCs w:val="21"/>
                      <w:highlight w:val="none"/>
                      <w:lang w:eastAsia="zh-CN"/>
                    </w:rPr>
                    <w:t>PM</w:t>
                  </w:r>
                  <w:r>
                    <w:rPr>
                      <w:rFonts w:ascii="Times New Roman" w:hAnsi="Times New Roman" w:cs="Times New Roman"/>
                      <w:bCs/>
                      <w:color w:val="auto"/>
                      <w:szCs w:val="21"/>
                      <w:highlight w:val="none"/>
                      <w:vertAlign w:val="subscript"/>
                      <w:lang w:eastAsia="zh-CN"/>
                    </w:rPr>
                    <w:t>10</w:t>
                  </w:r>
                </w:p>
              </w:tc>
              <w:tc>
                <w:tcPr>
                  <w:tcW w:w="2051" w:type="dxa"/>
                  <w:noWrap w:val="0"/>
                  <w:vAlign w:val="center"/>
                </w:tcPr>
                <w:p w14:paraId="3B8E6D2C">
                  <w:pPr>
                    <w:pStyle w:val="8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Cs/>
                      <w:color w:val="auto"/>
                      <w:szCs w:val="21"/>
                      <w:highlight w:val="none"/>
                      <w:lang w:eastAsia="zh-CN"/>
                    </w:rPr>
                  </w:pPr>
                  <w:r>
                    <w:rPr>
                      <w:rFonts w:ascii="Times New Roman" w:hAnsi="Times New Roman" w:cs="Times New Roman"/>
                      <w:bCs/>
                      <w:color w:val="auto"/>
                      <w:szCs w:val="21"/>
                      <w:highlight w:val="none"/>
                      <w:lang w:eastAsia="zh-CN"/>
                    </w:rPr>
                    <w:t>年平均</w:t>
                  </w:r>
                </w:p>
              </w:tc>
              <w:tc>
                <w:tcPr>
                  <w:tcW w:w="1677" w:type="dxa"/>
                  <w:noWrap w:val="0"/>
                  <w:vAlign w:val="center"/>
                </w:tcPr>
                <w:p w14:paraId="14F34B07">
                  <w:pPr>
                    <w:pStyle w:val="8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Cs/>
                      <w:color w:val="auto"/>
                      <w:szCs w:val="21"/>
                      <w:highlight w:val="none"/>
                      <w:lang w:eastAsia="zh-CN"/>
                    </w:rPr>
                  </w:pPr>
                  <w:r>
                    <w:rPr>
                      <w:rFonts w:ascii="Times New Roman" w:hAnsi="Times New Roman" w:cs="Times New Roman"/>
                      <w:bCs/>
                      <w:color w:val="auto"/>
                      <w:szCs w:val="21"/>
                      <w:highlight w:val="none"/>
                      <w:lang w:eastAsia="zh-CN"/>
                    </w:rPr>
                    <w:t>70μg/m</w:t>
                  </w:r>
                  <w:r>
                    <w:rPr>
                      <w:rFonts w:ascii="Times New Roman" w:hAnsi="Times New Roman" w:cs="Times New Roman"/>
                      <w:bCs/>
                      <w:color w:val="auto"/>
                      <w:szCs w:val="21"/>
                      <w:highlight w:val="none"/>
                      <w:vertAlign w:val="superscript"/>
                      <w:lang w:eastAsia="zh-CN"/>
                    </w:rPr>
                    <w:t>3</w:t>
                  </w:r>
                </w:p>
              </w:tc>
              <w:tc>
                <w:tcPr>
                  <w:tcW w:w="3061" w:type="dxa"/>
                  <w:vMerge w:val="restart"/>
                  <w:noWrap w:val="0"/>
                  <w:vAlign w:val="center"/>
                </w:tcPr>
                <w:p w14:paraId="33E757CF">
                  <w:pPr>
                    <w:pStyle w:val="8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Cs/>
                      <w:color w:val="auto"/>
                      <w:szCs w:val="21"/>
                      <w:highlight w:val="none"/>
                      <w:lang w:eastAsia="zh-CN"/>
                    </w:rPr>
                  </w:pPr>
                  <w:r>
                    <w:rPr>
                      <w:rFonts w:ascii="Times New Roman" w:hAnsi="Times New Roman" w:cs="Times New Roman"/>
                      <w:bCs/>
                      <w:color w:val="auto"/>
                      <w:szCs w:val="21"/>
                      <w:highlight w:val="none"/>
                      <w:lang w:eastAsia="zh-CN"/>
                    </w:rPr>
                    <w:t>《环境空气质量标准》</w:t>
                  </w:r>
                  <w:r>
                    <w:rPr>
                      <w:rFonts w:hint="eastAsia" w:ascii="Times New Roman" w:hAnsi="Times New Roman" w:cs="Times New Roman"/>
                      <w:bCs/>
                      <w:color w:val="auto"/>
                      <w:szCs w:val="21"/>
                      <w:highlight w:val="none"/>
                      <w:lang w:eastAsia="zh-CN"/>
                    </w:rPr>
                    <w:t>（</w:t>
                  </w:r>
                  <w:r>
                    <w:rPr>
                      <w:rFonts w:ascii="Times New Roman" w:hAnsi="Times New Roman" w:cs="Times New Roman"/>
                      <w:bCs/>
                      <w:color w:val="auto"/>
                      <w:szCs w:val="21"/>
                      <w:highlight w:val="none"/>
                      <w:lang w:eastAsia="zh-CN"/>
                    </w:rPr>
                    <w:t>GB3095-2012</w:t>
                  </w:r>
                  <w:r>
                    <w:rPr>
                      <w:rFonts w:hint="eastAsia" w:ascii="Times New Roman" w:hAnsi="Times New Roman" w:cs="Times New Roman"/>
                      <w:bCs/>
                      <w:color w:val="auto"/>
                      <w:szCs w:val="21"/>
                      <w:highlight w:val="none"/>
                      <w:lang w:eastAsia="zh-CN"/>
                    </w:rPr>
                    <w:t>）</w:t>
                  </w:r>
                  <w:r>
                    <w:rPr>
                      <w:rFonts w:ascii="Times New Roman" w:hAnsi="Times New Roman" w:cs="Times New Roman"/>
                      <w:bCs/>
                      <w:color w:val="auto"/>
                      <w:szCs w:val="21"/>
                      <w:highlight w:val="none"/>
                      <w:lang w:eastAsia="zh-CN"/>
                    </w:rPr>
                    <w:t>及其修改单中的二级标准</w:t>
                  </w:r>
                  <w:r>
                    <w:rPr>
                      <w:rFonts w:hint="eastAsia" w:ascii="Times New Roman" w:hAnsi="Times New Roman" w:cs="Times New Roman"/>
                      <w:bCs/>
                      <w:color w:val="auto"/>
                      <w:szCs w:val="21"/>
                      <w:highlight w:val="none"/>
                      <w:lang w:eastAsia="zh-CN"/>
                    </w:rPr>
                    <w:t xml:space="preserve"> </w:t>
                  </w:r>
                </w:p>
              </w:tc>
            </w:tr>
            <w:tr w14:paraId="1C99E9B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283" w:hRule="atLeast"/>
                <w:jc w:val="center"/>
              </w:trPr>
              <w:tc>
                <w:tcPr>
                  <w:tcW w:w="1375" w:type="dxa"/>
                  <w:vMerge w:val="continue"/>
                  <w:noWrap w:val="0"/>
                  <w:vAlign w:val="center"/>
                </w:tcPr>
                <w:p w14:paraId="277A6224">
                  <w:pPr>
                    <w:pStyle w:val="8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Cs/>
                      <w:color w:val="auto"/>
                      <w:szCs w:val="21"/>
                      <w:highlight w:val="none"/>
                      <w:lang w:eastAsia="zh-CN"/>
                    </w:rPr>
                  </w:pPr>
                </w:p>
              </w:tc>
              <w:tc>
                <w:tcPr>
                  <w:tcW w:w="2051" w:type="dxa"/>
                  <w:noWrap w:val="0"/>
                  <w:vAlign w:val="center"/>
                </w:tcPr>
                <w:p w14:paraId="704CDD91">
                  <w:pPr>
                    <w:pStyle w:val="8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Cs/>
                      <w:color w:val="auto"/>
                      <w:szCs w:val="21"/>
                      <w:highlight w:val="none"/>
                      <w:lang w:eastAsia="zh-CN"/>
                    </w:rPr>
                  </w:pPr>
                  <w:r>
                    <w:rPr>
                      <w:rFonts w:ascii="Times New Roman" w:hAnsi="Times New Roman" w:cs="Times New Roman"/>
                      <w:bCs/>
                      <w:color w:val="auto"/>
                      <w:szCs w:val="21"/>
                      <w:highlight w:val="none"/>
                      <w:lang w:eastAsia="zh-CN"/>
                    </w:rPr>
                    <w:t>24小时平均</w:t>
                  </w:r>
                </w:p>
              </w:tc>
              <w:tc>
                <w:tcPr>
                  <w:tcW w:w="1677" w:type="dxa"/>
                  <w:noWrap w:val="0"/>
                  <w:vAlign w:val="center"/>
                </w:tcPr>
                <w:p w14:paraId="3B6A1154">
                  <w:pPr>
                    <w:pStyle w:val="8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Cs/>
                      <w:color w:val="auto"/>
                      <w:szCs w:val="21"/>
                      <w:highlight w:val="none"/>
                      <w:lang w:eastAsia="zh-CN"/>
                    </w:rPr>
                  </w:pPr>
                  <w:r>
                    <w:rPr>
                      <w:rFonts w:ascii="Times New Roman" w:hAnsi="Times New Roman" w:cs="Times New Roman"/>
                      <w:bCs/>
                      <w:color w:val="auto"/>
                      <w:szCs w:val="21"/>
                      <w:highlight w:val="none"/>
                      <w:lang w:eastAsia="zh-CN"/>
                    </w:rPr>
                    <w:t>150μg/m</w:t>
                  </w:r>
                  <w:r>
                    <w:rPr>
                      <w:rFonts w:ascii="Times New Roman" w:hAnsi="Times New Roman" w:cs="Times New Roman"/>
                      <w:bCs/>
                      <w:color w:val="auto"/>
                      <w:szCs w:val="21"/>
                      <w:highlight w:val="none"/>
                      <w:vertAlign w:val="superscript"/>
                      <w:lang w:eastAsia="zh-CN"/>
                    </w:rPr>
                    <w:t>3</w:t>
                  </w:r>
                </w:p>
              </w:tc>
              <w:tc>
                <w:tcPr>
                  <w:tcW w:w="3061" w:type="dxa"/>
                  <w:vMerge w:val="continue"/>
                  <w:noWrap w:val="0"/>
                  <w:vAlign w:val="center"/>
                </w:tcPr>
                <w:p w14:paraId="37DA2314">
                  <w:pPr>
                    <w:pStyle w:val="8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Cs/>
                      <w:color w:val="auto"/>
                      <w:szCs w:val="21"/>
                      <w:highlight w:val="none"/>
                      <w:lang w:eastAsia="zh-CN"/>
                    </w:rPr>
                  </w:pPr>
                </w:p>
              </w:tc>
            </w:tr>
            <w:tr w14:paraId="5B83FDB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283" w:hRule="atLeast"/>
                <w:jc w:val="center"/>
              </w:trPr>
              <w:tc>
                <w:tcPr>
                  <w:tcW w:w="1375" w:type="dxa"/>
                  <w:vMerge w:val="restart"/>
                  <w:noWrap w:val="0"/>
                  <w:vAlign w:val="center"/>
                </w:tcPr>
                <w:p w14:paraId="031A5632">
                  <w:pPr>
                    <w:pStyle w:val="8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Cs/>
                      <w:color w:val="auto"/>
                      <w:szCs w:val="21"/>
                      <w:highlight w:val="none"/>
                      <w:lang w:eastAsia="zh-CN"/>
                    </w:rPr>
                  </w:pPr>
                  <w:r>
                    <w:rPr>
                      <w:rFonts w:ascii="Times New Roman" w:hAnsi="Times New Roman" w:cs="Times New Roman"/>
                      <w:bCs/>
                      <w:color w:val="auto"/>
                      <w:szCs w:val="21"/>
                      <w:highlight w:val="none"/>
                      <w:lang w:eastAsia="zh-CN"/>
                    </w:rPr>
                    <w:t>PM</w:t>
                  </w:r>
                  <w:r>
                    <w:rPr>
                      <w:rFonts w:ascii="Times New Roman" w:hAnsi="Times New Roman" w:cs="Times New Roman"/>
                      <w:bCs/>
                      <w:color w:val="auto"/>
                      <w:szCs w:val="21"/>
                      <w:highlight w:val="none"/>
                      <w:vertAlign w:val="subscript"/>
                      <w:lang w:eastAsia="zh-CN"/>
                    </w:rPr>
                    <w:t>2.5</w:t>
                  </w:r>
                </w:p>
              </w:tc>
              <w:tc>
                <w:tcPr>
                  <w:tcW w:w="2051" w:type="dxa"/>
                  <w:noWrap w:val="0"/>
                  <w:vAlign w:val="center"/>
                </w:tcPr>
                <w:p w14:paraId="1306770E">
                  <w:pPr>
                    <w:pStyle w:val="8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Cs/>
                      <w:color w:val="auto"/>
                      <w:szCs w:val="21"/>
                      <w:highlight w:val="none"/>
                      <w:lang w:eastAsia="zh-CN"/>
                    </w:rPr>
                  </w:pPr>
                  <w:r>
                    <w:rPr>
                      <w:rFonts w:ascii="Times New Roman" w:hAnsi="Times New Roman" w:cs="Times New Roman"/>
                      <w:bCs/>
                      <w:color w:val="auto"/>
                      <w:szCs w:val="21"/>
                      <w:highlight w:val="none"/>
                      <w:lang w:eastAsia="zh-CN"/>
                    </w:rPr>
                    <w:t>年平均</w:t>
                  </w:r>
                </w:p>
              </w:tc>
              <w:tc>
                <w:tcPr>
                  <w:tcW w:w="1677" w:type="dxa"/>
                  <w:noWrap w:val="0"/>
                  <w:vAlign w:val="center"/>
                </w:tcPr>
                <w:p w14:paraId="39D9F465">
                  <w:pPr>
                    <w:pStyle w:val="8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Cs/>
                      <w:color w:val="auto"/>
                      <w:szCs w:val="21"/>
                      <w:highlight w:val="none"/>
                      <w:lang w:eastAsia="zh-CN"/>
                    </w:rPr>
                  </w:pPr>
                  <w:r>
                    <w:rPr>
                      <w:rFonts w:ascii="Times New Roman" w:hAnsi="Times New Roman" w:cs="Times New Roman"/>
                      <w:bCs/>
                      <w:color w:val="auto"/>
                      <w:szCs w:val="21"/>
                      <w:highlight w:val="none"/>
                      <w:lang w:eastAsia="zh-CN"/>
                    </w:rPr>
                    <w:t>35μg/m</w:t>
                  </w:r>
                  <w:r>
                    <w:rPr>
                      <w:rFonts w:ascii="Times New Roman" w:hAnsi="Times New Roman" w:cs="Times New Roman"/>
                      <w:bCs/>
                      <w:color w:val="auto"/>
                      <w:szCs w:val="21"/>
                      <w:highlight w:val="none"/>
                      <w:vertAlign w:val="superscript"/>
                      <w:lang w:eastAsia="zh-CN"/>
                    </w:rPr>
                    <w:t>3</w:t>
                  </w:r>
                </w:p>
              </w:tc>
              <w:tc>
                <w:tcPr>
                  <w:tcW w:w="3061" w:type="dxa"/>
                  <w:vMerge w:val="continue"/>
                  <w:noWrap w:val="0"/>
                  <w:vAlign w:val="center"/>
                </w:tcPr>
                <w:p w14:paraId="428D690A">
                  <w:pPr>
                    <w:pStyle w:val="8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Cs/>
                      <w:color w:val="auto"/>
                      <w:szCs w:val="21"/>
                      <w:highlight w:val="none"/>
                      <w:lang w:eastAsia="zh-CN"/>
                    </w:rPr>
                  </w:pPr>
                </w:p>
              </w:tc>
            </w:tr>
            <w:tr w14:paraId="1A5B426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283" w:hRule="atLeast"/>
                <w:jc w:val="center"/>
              </w:trPr>
              <w:tc>
                <w:tcPr>
                  <w:tcW w:w="1375" w:type="dxa"/>
                  <w:vMerge w:val="continue"/>
                  <w:noWrap w:val="0"/>
                  <w:vAlign w:val="center"/>
                </w:tcPr>
                <w:p w14:paraId="2CDE4377">
                  <w:pPr>
                    <w:pStyle w:val="8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Cs/>
                      <w:color w:val="auto"/>
                      <w:szCs w:val="21"/>
                      <w:highlight w:val="none"/>
                      <w:lang w:eastAsia="zh-CN"/>
                    </w:rPr>
                  </w:pPr>
                </w:p>
              </w:tc>
              <w:tc>
                <w:tcPr>
                  <w:tcW w:w="2051" w:type="dxa"/>
                  <w:noWrap w:val="0"/>
                  <w:vAlign w:val="center"/>
                </w:tcPr>
                <w:p w14:paraId="0A60819B">
                  <w:pPr>
                    <w:pStyle w:val="8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Cs/>
                      <w:color w:val="auto"/>
                      <w:szCs w:val="21"/>
                      <w:highlight w:val="none"/>
                      <w:lang w:eastAsia="zh-CN"/>
                    </w:rPr>
                  </w:pPr>
                  <w:r>
                    <w:rPr>
                      <w:rFonts w:ascii="Times New Roman" w:hAnsi="Times New Roman" w:cs="Times New Roman"/>
                      <w:bCs/>
                      <w:color w:val="auto"/>
                      <w:szCs w:val="21"/>
                      <w:highlight w:val="none"/>
                      <w:lang w:eastAsia="zh-CN"/>
                    </w:rPr>
                    <w:t>24小时平均</w:t>
                  </w:r>
                </w:p>
              </w:tc>
              <w:tc>
                <w:tcPr>
                  <w:tcW w:w="1677" w:type="dxa"/>
                  <w:noWrap w:val="0"/>
                  <w:vAlign w:val="center"/>
                </w:tcPr>
                <w:p w14:paraId="68DC7CAF">
                  <w:pPr>
                    <w:pStyle w:val="8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Cs/>
                      <w:color w:val="auto"/>
                      <w:szCs w:val="21"/>
                      <w:highlight w:val="none"/>
                      <w:lang w:eastAsia="zh-CN"/>
                    </w:rPr>
                  </w:pPr>
                  <w:r>
                    <w:rPr>
                      <w:rFonts w:ascii="Times New Roman" w:hAnsi="Times New Roman" w:cs="Times New Roman"/>
                      <w:bCs/>
                      <w:color w:val="auto"/>
                      <w:szCs w:val="21"/>
                      <w:highlight w:val="none"/>
                      <w:lang w:eastAsia="zh-CN"/>
                    </w:rPr>
                    <w:t>75μg/m</w:t>
                  </w:r>
                  <w:r>
                    <w:rPr>
                      <w:rFonts w:ascii="Times New Roman" w:hAnsi="Times New Roman" w:cs="Times New Roman"/>
                      <w:bCs/>
                      <w:color w:val="auto"/>
                      <w:szCs w:val="21"/>
                      <w:highlight w:val="none"/>
                      <w:vertAlign w:val="superscript"/>
                      <w:lang w:eastAsia="zh-CN"/>
                    </w:rPr>
                    <w:t>3</w:t>
                  </w:r>
                </w:p>
              </w:tc>
              <w:tc>
                <w:tcPr>
                  <w:tcW w:w="3061" w:type="dxa"/>
                  <w:vMerge w:val="continue"/>
                  <w:noWrap w:val="0"/>
                  <w:vAlign w:val="center"/>
                </w:tcPr>
                <w:p w14:paraId="707CB035">
                  <w:pPr>
                    <w:pStyle w:val="8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Cs/>
                      <w:color w:val="auto"/>
                      <w:szCs w:val="21"/>
                      <w:highlight w:val="none"/>
                      <w:lang w:eastAsia="zh-CN"/>
                    </w:rPr>
                  </w:pPr>
                </w:p>
              </w:tc>
            </w:tr>
            <w:tr w14:paraId="6FCA3F1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283" w:hRule="atLeast"/>
                <w:jc w:val="center"/>
              </w:trPr>
              <w:tc>
                <w:tcPr>
                  <w:tcW w:w="1375" w:type="dxa"/>
                  <w:vMerge w:val="restart"/>
                  <w:noWrap w:val="0"/>
                  <w:vAlign w:val="center"/>
                </w:tcPr>
                <w:p w14:paraId="247B3B15">
                  <w:pPr>
                    <w:pStyle w:val="8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Cs/>
                      <w:color w:val="auto"/>
                      <w:szCs w:val="21"/>
                      <w:highlight w:val="none"/>
                      <w:lang w:eastAsia="zh-CN"/>
                    </w:rPr>
                  </w:pPr>
                  <w:r>
                    <w:rPr>
                      <w:rFonts w:ascii="Times New Roman" w:hAnsi="Times New Roman" w:cs="Times New Roman"/>
                      <w:bCs/>
                      <w:color w:val="auto"/>
                      <w:szCs w:val="21"/>
                      <w:highlight w:val="none"/>
                      <w:lang w:eastAsia="zh-CN"/>
                    </w:rPr>
                    <w:t>SO</w:t>
                  </w:r>
                  <w:r>
                    <w:rPr>
                      <w:rFonts w:ascii="Times New Roman" w:hAnsi="Times New Roman" w:cs="Times New Roman"/>
                      <w:bCs/>
                      <w:color w:val="auto"/>
                      <w:szCs w:val="21"/>
                      <w:highlight w:val="none"/>
                      <w:vertAlign w:val="subscript"/>
                      <w:lang w:eastAsia="zh-CN"/>
                    </w:rPr>
                    <w:t>2</w:t>
                  </w:r>
                </w:p>
              </w:tc>
              <w:tc>
                <w:tcPr>
                  <w:tcW w:w="2051" w:type="dxa"/>
                  <w:noWrap w:val="0"/>
                  <w:vAlign w:val="center"/>
                </w:tcPr>
                <w:p w14:paraId="459E6063">
                  <w:pPr>
                    <w:pStyle w:val="8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Cs/>
                      <w:color w:val="auto"/>
                      <w:szCs w:val="21"/>
                      <w:highlight w:val="none"/>
                      <w:lang w:eastAsia="zh-CN"/>
                    </w:rPr>
                  </w:pPr>
                  <w:r>
                    <w:rPr>
                      <w:rFonts w:ascii="Times New Roman" w:hAnsi="Times New Roman" w:cs="Times New Roman"/>
                      <w:bCs/>
                      <w:color w:val="auto"/>
                      <w:szCs w:val="21"/>
                      <w:highlight w:val="none"/>
                      <w:lang w:eastAsia="zh-CN"/>
                    </w:rPr>
                    <w:t>年平均</w:t>
                  </w:r>
                </w:p>
              </w:tc>
              <w:tc>
                <w:tcPr>
                  <w:tcW w:w="1677" w:type="dxa"/>
                  <w:noWrap w:val="0"/>
                  <w:vAlign w:val="center"/>
                </w:tcPr>
                <w:p w14:paraId="0A91F526">
                  <w:pPr>
                    <w:pStyle w:val="8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Cs/>
                      <w:color w:val="auto"/>
                      <w:szCs w:val="21"/>
                      <w:highlight w:val="none"/>
                      <w:lang w:eastAsia="zh-CN"/>
                    </w:rPr>
                  </w:pPr>
                  <w:r>
                    <w:rPr>
                      <w:rFonts w:ascii="Times New Roman" w:hAnsi="Times New Roman" w:cs="Times New Roman"/>
                      <w:bCs/>
                      <w:color w:val="auto"/>
                      <w:szCs w:val="21"/>
                      <w:highlight w:val="none"/>
                      <w:lang w:eastAsia="zh-CN"/>
                    </w:rPr>
                    <w:t>60μg/m</w:t>
                  </w:r>
                  <w:r>
                    <w:rPr>
                      <w:rFonts w:ascii="Times New Roman" w:hAnsi="Times New Roman" w:cs="Times New Roman"/>
                      <w:bCs/>
                      <w:color w:val="auto"/>
                      <w:szCs w:val="21"/>
                      <w:highlight w:val="none"/>
                      <w:vertAlign w:val="superscript"/>
                      <w:lang w:eastAsia="zh-CN"/>
                    </w:rPr>
                    <w:t>3</w:t>
                  </w:r>
                </w:p>
              </w:tc>
              <w:tc>
                <w:tcPr>
                  <w:tcW w:w="3061" w:type="dxa"/>
                  <w:vMerge w:val="continue"/>
                  <w:noWrap w:val="0"/>
                  <w:vAlign w:val="center"/>
                </w:tcPr>
                <w:p w14:paraId="7B8CD8A1">
                  <w:pPr>
                    <w:pStyle w:val="8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Cs/>
                      <w:color w:val="auto"/>
                      <w:szCs w:val="21"/>
                      <w:highlight w:val="none"/>
                      <w:lang w:eastAsia="zh-CN"/>
                    </w:rPr>
                  </w:pPr>
                </w:p>
              </w:tc>
            </w:tr>
            <w:tr w14:paraId="4FE42B3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283" w:hRule="atLeast"/>
                <w:jc w:val="center"/>
              </w:trPr>
              <w:tc>
                <w:tcPr>
                  <w:tcW w:w="1375" w:type="dxa"/>
                  <w:vMerge w:val="continue"/>
                  <w:noWrap w:val="0"/>
                  <w:vAlign w:val="center"/>
                </w:tcPr>
                <w:p w14:paraId="3847E6A2">
                  <w:pPr>
                    <w:pStyle w:val="8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Cs/>
                      <w:color w:val="auto"/>
                      <w:szCs w:val="21"/>
                      <w:highlight w:val="none"/>
                      <w:lang w:eastAsia="zh-CN"/>
                    </w:rPr>
                  </w:pPr>
                </w:p>
              </w:tc>
              <w:tc>
                <w:tcPr>
                  <w:tcW w:w="2051" w:type="dxa"/>
                  <w:noWrap w:val="0"/>
                  <w:vAlign w:val="center"/>
                </w:tcPr>
                <w:p w14:paraId="184FB233">
                  <w:pPr>
                    <w:pStyle w:val="8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Cs/>
                      <w:color w:val="auto"/>
                      <w:szCs w:val="21"/>
                      <w:highlight w:val="none"/>
                      <w:lang w:eastAsia="zh-CN"/>
                    </w:rPr>
                  </w:pPr>
                  <w:r>
                    <w:rPr>
                      <w:rFonts w:ascii="Times New Roman" w:hAnsi="Times New Roman" w:cs="Times New Roman"/>
                      <w:bCs/>
                      <w:color w:val="auto"/>
                      <w:szCs w:val="21"/>
                      <w:highlight w:val="none"/>
                      <w:lang w:eastAsia="zh-CN"/>
                    </w:rPr>
                    <w:t>24小时平均</w:t>
                  </w:r>
                </w:p>
              </w:tc>
              <w:tc>
                <w:tcPr>
                  <w:tcW w:w="1677" w:type="dxa"/>
                  <w:noWrap w:val="0"/>
                  <w:vAlign w:val="center"/>
                </w:tcPr>
                <w:p w14:paraId="1BE9742B">
                  <w:pPr>
                    <w:pStyle w:val="8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Cs/>
                      <w:color w:val="auto"/>
                      <w:szCs w:val="21"/>
                      <w:highlight w:val="none"/>
                      <w:lang w:eastAsia="zh-CN"/>
                    </w:rPr>
                  </w:pPr>
                  <w:r>
                    <w:rPr>
                      <w:rFonts w:ascii="Times New Roman" w:hAnsi="Times New Roman" w:cs="Times New Roman"/>
                      <w:bCs/>
                      <w:color w:val="auto"/>
                      <w:szCs w:val="21"/>
                      <w:highlight w:val="none"/>
                      <w:lang w:eastAsia="zh-CN"/>
                    </w:rPr>
                    <w:t>150μg/m</w:t>
                  </w:r>
                  <w:r>
                    <w:rPr>
                      <w:rFonts w:ascii="Times New Roman" w:hAnsi="Times New Roman" w:cs="Times New Roman"/>
                      <w:bCs/>
                      <w:color w:val="auto"/>
                      <w:szCs w:val="21"/>
                      <w:highlight w:val="none"/>
                      <w:vertAlign w:val="superscript"/>
                      <w:lang w:eastAsia="zh-CN"/>
                    </w:rPr>
                    <w:t>3</w:t>
                  </w:r>
                </w:p>
              </w:tc>
              <w:tc>
                <w:tcPr>
                  <w:tcW w:w="3061" w:type="dxa"/>
                  <w:vMerge w:val="continue"/>
                  <w:noWrap w:val="0"/>
                  <w:vAlign w:val="center"/>
                </w:tcPr>
                <w:p w14:paraId="1DCB800F">
                  <w:pPr>
                    <w:pStyle w:val="8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Cs/>
                      <w:color w:val="auto"/>
                      <w:szCs w:val="21"/>
                      <w:highlight w:val="none"/>
                      <w:lang w:eastAsia="zh-CN"/>
                    </w:rPr>
                  </w:pPr>
                </w:p>
              </w:tc>
            </w:tr>
            <w:tr w14:paraId="2B8AA2F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283" w:hRule="atLeast"/>
                <w:jc w:val="center"/>
              </w:trPr>
              <w:tc>
                <w:tcPr>
                  <w:tcW w:w="1375" w:type="dxa"/>
                  <w:vMerge w:val="continue"/>
                  <w:noWrap w:val="0"/>
                  <w:vAlign w:val="center"/>
                </w:tcPr>
                <w:p w14:paraId="34A6E1A3">
                  <w:pPr>
                    <w:pStyle w:val="8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Cs/>
                      <w:color w:val="auto"/>
                      <w:szCs w:val="21"/>
                      <w:highlight w:val="none"/>
                      <w:lang w:eastAsia="zh-CN"/>
                    </w:rPr>
                  </w:pPr>
                </w:p>
              </w:tc>
              <w:tc>
                <w:tcPr>
                  <w:tcW w:w="2051" w:type="dxa"/>
                  <w:noWrap w:val="0"/>
                  <w:vAlign w:val="center"/>
                </w:tcPr>
                <w:p w14:paraId="56F4F6E2">
                  <w:pPr>
                    <w:pStyle w:val="8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Cs/>
                      <w:color w:val="auto"/>
                      <w:szCs w:val="21"/>
                      <w:highlight w:val="none"/>
                      <w:lang w:eastAsia="zh-CN"/>
                    </w:rPr>
                  </w:pPr>
                  <w:r>
                    <w:rPr>
                      <w:rFonts w:ascii="Times New Roman" w:hAnsi="Times New Roman" w:cs="Times New Roman"/>
                      <w:bCs/>
                      <w:color w:val="auto"/>
                      <w:szCs w:val="21"/>
                      <w:highlight w:val="none"/>
                      <w:lang w:eastAsia="zh-CN"/>
                    </w:rPr>
                    <w:t>1小时平均</w:t>
                  </w:r>
                </w:p>
              </w:tc>
              <w:tc>
                <w:tcPr>
                  <w:tcW w:w="1677" w:type="dxa"/>
                  <w:noWrap w:val="0"/>
                  <w:vAlign w:val="center"/>
                </w:tcPr>
                <w:p w14:paraId="19430C78">
                  <w:pPr>
                    <w:pStyle w:val="8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Cs/>
                      <w:color w:val="auto"/>
                      <w:szCs w:val="21"/>
                      <w:highlight w:val="none"/>
                      <w:lang w:eastAsia="zh-CN"/>
                    </w:rPr>
                  </w:pPr>
                  <w:r>
                    <w:rPr>
                      <w:rFonts w:ascii="Times New Roman" w:hAnsi="Times New Roman" w:cs="Times New Roman"/>
                      <w:bCs/>
                      <w:color w:val="auto"/>
                      <w:szCs w:val="21"/>
                      <w:highlight w:val="none"/>
                      <w:lang w:eastAsia="zh-CN"/>
                    </w:rPr>
                    <w:t>500μg/m</w:t>
                  </w:r>
                  <w:r>
                    <w:rPr>
                      <w:rFonts w:ascii="Times New Roman" w:hAnsi="Times New Roman" w:cs="Times New Roman"/>
                      <w:bCs/>
                      <w:color w:val="auto"/>
                      <w:szCs w:val="21"/>
                      <w:highlight w:val="none"/>
                      <w:vertAlign w:val="superscript"/>
                      <w:lang w:eastAsia="zh-CN"/>
                    </w:rPr>
                    <w:t>3</w:t>
                  </w:r>
                </w:p>
              </w:tc>
              <w:tc>
                <w:tcPr>
                  <w:tcW w:w="3061" w:type="dxa"/>
                  <w:vMerge w:val="continue"/>
                  <w:noWrap w:val="0"/>
                  <w:vAlign w:val="center"/>
                </w:tcPr>
                <w:p w14:paraId="1FF881A5">
                  <w:pPr>
                    <w:pStyle w:val="8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Cs/>
                      <w:color w:val="auto"/>
                      <w:szCs w:val="21"/>
                      <w:highlight w:val="none"/>
                      <w:lang w:eastAsia="zh-CN"/>
                    </w:rPr>
                  </w:pPr>
                </w:p>
              </w:tc>
            </w:tr>
            <w:tr w14:paraId="674F7B2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283" w:hRule="atLeast"/>
                <w:jc w:val="center"/>
              </w:trPr>
              <w:tc>
                <w:tcPr>
                  <w:tcW w:w="1375" w:type="dxa"/>
                  <w:vMerge w:val="restart"/>
                  <w:noWrap w:val="0"/>
                  <w:vAlign w:val="center"/>
                </w:tcPr>
                <w:p w14:paraId="2D701E4B">
                  <w:pPr>
                    <w:pStyle w:val="8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Cs/>
                      <w:color w:val="auto"/>
                      <w:szCs w:val="21"/>
                      <w:highlight w:val="none"/>
                      <w:lang w:eastAsia="zh-CN"/>
                    </w:rPr>
                  </w:pPr>
                  <w:r>
                    <w:rPr>
                      <w:rFonts w:ascii="Times New Roman" w:hAnsi="Times New Roman" w:cs="Times New Roman"/>
                      <w:bCs/>
                      <w:color w:val="auto"/>
                      <w:szCs w:val="21"/>
                      <w:highlight w:val="none"/>
                      <w:lang w:eastAsia="zh-CN"/>
                    </w:rPr>
                    <w:t>NO</w:t>
                  </w:r>
                  <w:r>
                    <w:rPr>
                      <w:rFonts w:ascii="Times New Roman" w:hAnsi="Times New Roman" w:cs="Times New Roman"/>
                      <w:bCs/>
                      <w:color w:val="auto"/>
                      <w:szCs w:val="21"/>
                      <w:highlight w:val="none"/>
                      <w:vertAlign w:val="subscript"/>
                      <w:lang w:eastAsia="zh-CN"/>
                    </w:rPr>
                    <w:t>2</w:t>
                  </w:r>
                </w:p>
              </w:tc>
              <w:tc>
                <w:tcPr>
                  <w:tcW w:w="2051" w:type="dxa"/>
                  <w:noWrap w:val="0"/>
                  <w:vAlign w:val="center"/>
                </w:tcPr>
                <w:p w14:paraId="361193BA">
                  <w:pPr>
                    <w:pStyle w:val="8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Cs/>
                      <w:color w:val="auto"/>
                      <w:szCs w:val="21"/>
                      <w:highlight w:val="none"/>
                      <w:lang w:eastAsia="zh-CN"/>
                    </w:rPr>
                  </w:pPr>
                  <w:r>
                    <w:rPr>
                      <w:rFonts w:ascii="Times New Roman" w:hAnsi="Times New Roman" w:cs="Times New Roman"/>
                      <w:bCs/>
                      <w:color w:val="auto"/>
                      <w:szCs w:val="21"/>
                      <w:highlight w:val="none"/>
                      <w:lang w:eastAsia="zh-CN"/>
                    </w:rPr>
                    <w:t>年平均</w:t>
                  </w:r>
                </w:p>
              </w:tc>
              <w:tc>
                <w:tcPr>
                  <w:tcW w:w="1677" w:type="dxa"/>
                  <w:noWrap w:val="0"/>
                  <w:vAlign w:val="center"/>
                </w:tcPr>
                <w:p w14:paraId="7EC0F5B4">
                  <w:pPr>
                    <w:pStyle w:val="8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Cs/>
                      <w:color w:val="auto"/>
                      <w:szCs w:val="21"/>
                      <w:highlight w:val="none"/>
                      <w:lang w:eastAsia="zh-CN"/>
                    </w:rPr>
                  </w:pPr>
                  <w:r>
                    <w:rPr>
                      <w:rFonts w:ascii="Times New Roman" w:hAnsi="Times New Roman" w:cs="Times New Roman"/>
                      <w:bCs/>
                      <w:color w:val="auto"/>
                      <w:szCs w:val="21"/>
                      <w:highlight w:val="none"/>
                      <w:lang w:eastAsia="zh-CN"/>
                    </w:rPr>
                    <w:t>40μg/m</w:t>
                  </w:r>
                  <w:r>
                    <w:rPr>
                      <w:rFonts w:ascii="Times New Roman" w:hAnsi="Times New Roman" w:cs="Times New Roman"/>
                      <w:bCs/>
                      <w:color w:val="auto"/>
                      <w:szCs w:val="21"/>
                      <w:highlight w:val="none"/>
                      <w:vertAlign w:val="superscript"/>
                      <w:lang w:eastAsia="zh-CN"/>
                    </w:rPr>
                    <w:t>3</w:t>
                  </w:r>
                </w:p>
              </w:tc>
              <w:tc>
                <w:tcPr>
                  <w:tcW w:w="3061" w:type="dxa"/>
                  <w:vMerge w:val="continue"/>
                  <w:noWrap w:val="0"/>
                  <w:vAlign w:val="center"/>
                </w:tcPr>
                <w:p w14:paraId="60DF506D">
                  <w:pPr>
                    <w:pStyle w:val="8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Cs/>
                      <w:color w:val="auto"/>
                      <w:szCs w:val="21"/>
                      <w:highlight w:val="none"/>
                      <w:lang w:eastAsia="zh-CN"/>
                    </w:rPr>
                  </w:pPr>
                </w:p>
              </w:tc>
            </w:tr>
            <w:tr w14:paraId="70981CA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283" w:hRule="atLeast"/>
                <w:jc w:val="center"/>
              </w:trPr>
              <w:tc>
                <w:tcPr>
                  <w:tcW w:w="1375" w:type="dxa"/>
                  <w:vMerge w:val="continue"/>
                  <w:noWrap w:val="0"/>
                  <w:vAlign w:val="center"/>
                </w:tcPr>
                <w:p w14:paraId="5880C9C8">
                  <w:pPr>
                    <w:pStyle w:val="8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Cs/>
                      <w:color w:val="auto"/>
                      <w:szCs w:val="21"/>
                      <w:highlight w:val="none"/>
                      <w:lang w:eastAsia="zh-CN"/>
                    </w:rPr>
                  </w:pPr>
                </w:p>
              </w:tc>
              <w:tc>
                <w:tcPr>
                  <w:tcW w:w="2051" w:type="dxa"/>
                  <w:noWrap w:val="0"/>
                  <w:vAlign w:val="center"/>
                </w:tcPr>
                <w:p w14:paraId="14917F73">
                  <w:pPr>
                    <w:pStyle w:val="8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Cs/>
                      <w:color w:val="auto"/>
                      <w:szCs w:val="21"/>
                      <w:highlight w:val="none"/>
                      <w:lang w:eastAsia="zh-CN"/>
                    </w:rPr>
                  </w:pPr>
                  <w:r>
                    <w:rPr>
                      <w:rFonts w:ascii="Times New Roman" w:hAnsi="Times New Roman" w:cs="Times New Roman"/>
                      <w:bCs/>
                      <w:color w:val="auto"/>
                      <w:szCs w:val="21"/>
                      <w:highlight w:val="none"/>
                      <w:lang w:eastAsia="zh-CN"/>
                    </w:rPr>
                    <w:t>24小时平均</w:t>
                  </w:r>
                </w:p>
              </w:tc>
              <w:tc>
                <w:tcPr>
                  <w:tcW w:w="1677" w:type="dxa"/>
                  <w:noWrap w:val="0"/>
                  <w:vAlign w:val="center"/>
                </w:tcPr>
                <w:p w14:paraId="4783D556">
                  <w:pPr>
                    <w:pStyle w:val="8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Cs/>
                      <w:color w:val="auto"/>
                      <w:szCs w:val="21"/>
                      <w:highlight w:val="none"/>
                      <w:lang w:eastAsia="zh-CN"/>
                    </w:rPr>
                  </w:pPr>
                  <w:r>
                    <w:rPr>
                      <w:rFonts w:ascii="Times New Roman" w:hAnsi="Times New Roman" w:cs="Times New Roman"/>
                      <w:bCs/>
                      <w:color w:val="auto"/>
                      <w:szCs w:val="21"/>
                      <w:highlight w:val="none"/>
                      <w:lang w:eastAsia="zh-CN"/>
                    </w:rPr>
                    <w:t>80μg/m</w:t>
                  </w:r>
                  <w:r>
                    <w:rPr>
                      <w:rFonts w:ascii="Times New Roman" w:hAnsi="Times New Roman" w:cs="Times New Roman"/>
                      <w:bCs/>
                      <w:color w:val="auto"/>
                      <w:szCs w:val="21"/>
                      <w:highlight w:val="none"/>
                      <w:vertAlign w:val="superscript"/>
                      <w:lang w:eastAsia="zh-CN"/>
                    </w:rPr>
                    <w:t>3</w:t>
                  </w:r>
                </w:p>
              </w:tc>
              <w:tc>
                <w:tcPr>
                  <w:tcW w:w="3061" w:type="dxa"/>
                  <w:vMerge w:val="continue"/>
                  <w:noWrap w:val="0"/>
                  <w:vAlign w:val="center"/>
                </w:tcPr>
                <w:p w14:paraId="66D78E36">
                  <w:pPr>
                    <w:pStyle w:val="8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Cs/>
                      <w:color w:val="auto"/>
                      <w:szCs w:val="21"/>
                      <w:highlight w:val="none"/>
                      <w:lang w:eastAsia="zh-CN"/>
                    </w:rPr>
                  </w:pPr>
                </w:p>
              </w:tc>
            </w:tr>
            <w:tr w14:paraId="2E07D5D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283" w:hRule="atLeast"/>
                <w:jc w:val="center"/>
              </w:trPr>
              <w:tc>
                <w:tcPr>
                  <w:tcW w:w="1375" w:type="dxa"/>
                  <w:vMerge w:val="continue"/>
                  <w:noWrap w:val="0"/>
                  <w:vAlign w:val="center"/>
                </w:tcPr>
                <w:p w14:paraId="4FC51111">
                  <w:pPr>
                    <w:pStyle w:val="8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Cs/>
                      <w:color w:val="auto"/>
                      <w:szCs w:val="21"/>
                      <w:highlight w:val="none"/>
                      <w:lang w:eastAsia="zh-CN"/>
                    </w:rPr>
                  </w:pPr>
                </w:p>
              </w:tc>
              <w:tc>
                <w:tcPr>
                  <w:tcW w:w="2051" w:type="dxa"/>
                  <w:noWrap w:val="0"/>
                  <w:vAlign w:val="center"/>
                </w:tcPr>
                <w:p w14:paraId="1083F0A2">
                  <w:pPr>
                    <w:pStyle w:val="8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Cs/>
                      <w:color w:val="auto"/>
                      <w:szCs w:val="21"/>
                      <w:highlight w:val="none"/>
                      <w:lang w:eastAsia="zh-CN"/>
                    </w:rPr>
                  </w:pPr>
                  <w:r>
                    <w:rPr>
                      <w:rFonts w:ascii="Times New Roman" w:hAnsi="Times New Roman" w:cs="Times New Roman"/>
                      <w:bCs/>
                      <w:color w:val="auto"/>
                      <w:szCs w:val="21"/>
                      <w:highlight w:val="none"/>
                      <w:lang w:eastAsia="zh-CN"/>
                    </w:rPr>
                    <w:t>1小时平均</w:t>
                  </w:r>
                </w:p>
              </w:tc>
              <w:tc>
                <w:tcPr>
                  <w:tcW w:w="1677" w:type="dxa"/>
                  <w:noWrap w:val="0"/>
                  <w:vAlign w:val="center"/>
                </w:tcPr>
                <w:p w14:paraId="4852F4F8">
                  <w:pPr>
                    <w:pStyle w:val="8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Cs/>
                      <w:color w:val="auto"/>
                      <w:szCs w:val="21"/>
                      <w:highlight w:val="none"/>
                      <w:lang w:eastAsia="zh-CN"/>
                    </w:rPr>
                  </w:pPr>
                  <w:r>
                    <w:rPr>
                      <w:rFonts w:ascii="Times New Roman" w:hAnsi="Times New Roman" w:cs="Times New Roman"/>
                      <w:bCs/>
                      <w:color w:val="auto"/>
                      <w:szCs w:val="21"/>
                      <w:highlight w:val="none"/>
                      <w:lang w:eastAsia="zh-CN"/>
                    </w:rPr>
                    <w:t>200μg/m</w:t>
                  </w:r>
                  <w:r>
                    <w:rPr>
                      <w:rFonts w:ascii="Times New Roman" w:hAnsi="Times New Roman" w:cs="Times New Roman"/>
                      <w:bCs/>
                      <w:color w:val="auto"/>
                      <w:szCs w:val="21"/>
                      <w:highlight w:val="none"/>
                      <w:vertAlign w:val="superscript"/>
                      <w:lang w:eastAsia="zh-CN"/>
                    </w:rPr>
                    <w:t>3</w:t>
                  </w:r>
                </w:p>
              </w:tc>
              <w:tc>
                <w:tcPr>
                  <w:tcW w:w="3061" w:type="dxa"/>
                  <w:vMerge w:val="continue"/>
                  <w:noWrap w:val="0"/>
                  <w:vAlign w:val="center"/>
                </w:tcPr>
                <w:p w14:paraId="4855DD62">
                  <w:pPr>
                    <w:pStyle w:val="8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Cs/>
                      <w:color w:val="auto"/>
                      <w:szCs w:val="21"/>
                      <w:highlight w:val="none"/>
                      <w:lang w:eastAsia="zh-CN"/>
                    </w:rPr>
                  </w:pPr>
                </w:p>
              </w:tc>
            </w:tr>
            <w:tr w14:paraId="313A380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283" w:hRule="atLeast"/>
                <w:jc w:val="center"/>
              </w:trPr>
              <w:tc>
                <w:tcPr>
                  <w:tcW w:w="1375" w:type="dxa"/>
                  <w:vMerge w:val="restart"/>
                  <w:noWrap w:val="0"/>
                  <w:vAlign w:val="center"/>
                </w:tcPr>
                <w:p w14:paraId="0EEB74CF">
                  <w:pPr>
                    <w:pStyle w:val="8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Cs/>
                      <w:color w:val="auto"/>
                      <w:szCs w:val="21"/>
                      <w:highlight w:val="none"/>
                      <w:lang w:eastAsia="zh-CN"/>
                    </w:rPr>
                  </w:pPr>
                  <w:r>
                    <w:rPr>
                      <w:rFonts w:ascii="Times New Roman" w:hAnsi="Times New Roman" w:cs="Times New Roman"/>
                      <w:bCs/>
                      <w:color w:val="auto"/>
                      <w:szCs w:val="21"/>
                      <w:highlight w:val="none"/>
                      <w:lang w:eastAsia="zh-CN"/>
                    </w:rPr>
                    <w:t>CO</w:t>
                  </w:r>
                </w:p>
              </w:tc>
              <w:tc>
                <w:tcPr>
                  <w:tcW w:w="2051" w:type="dxa"/>
                  <w:noWrap w:val="0"/>
                  <w:vAlign w:val="center"/>
                </w:tcPr>
                <w:p w14:paraId="253AE895">
                  <w:pPr>
                    <w:pStyle w:val="8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Cs/>
                      <w:color w:val="auto"/>
                      <w:szCs w:val="21"/>
                      <w:highlight w:val="none"/>
                      <w:lang w:eastAsia="zh-CN"/>
                    </w:rPr>
                  </w:pPr>
                  <w:r>
                    <w:rPr>
                      <w:rFonts w:ascii="Times New Roman" w:hAnsi="Times New Roman" w:cs="Times New Roman"/>
                      <w:bCs/>
                      <w:color w:val="auto"/>
                      <w:szCs w:val="21"/>
                      <w:highlight w:val="none"/>
                      <w:lang w:eastAsia="zh-CN"/>
                    </w:rPr>
                    <w:t>24小时平均</w:t>
                  </w:r>
                </w:p>
              </w:tc>
              <w:tc>
                <w:tcPr>
                  <w:tcW w:w="1677" w:type="dxa"/>
                  <w:noWrap w:val="0"/>
                  <w:vAlign w:val="center"/>
                </w:tcPr>
                <w:p w14:paraId="15AAFD20">
                  <w:pPr>
                    <w:pStyle w:val="8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Cs/>
                      <w:color w:val="auto"/>
                      <w:szCs w:val="21"/>
                      <w:highlight w:val="none"/>
                      <w:lang w:eastAsia="zh-CN"/>
                    </w:rPr>
                  </w:pPr>
                  <w:r>
                    <w:rPr>
                      <w:rFonts w:ascii="Times New Roman" w:hAnsi="Times New Roman" w:cs="Times New Roman"/>
                      <w:bCs/>
                      <w:color w:val="auto"/>
                      <w:szCs w:val="21"/>
                      <w:highlight w:val="none"/>
                      <w:lang w:eastAsia="zh-CN"/>
                    </w:rPr>
                    <w:t>4mg/m</w:t>
                  </w:r>
                  <w:r>
                    <w:rPr>
                      <w:rFonts w:ascii="Times New Roman" w:hAnsi="Times New Roman" w:cs="Times New Roman"/>
                      <w:bCs/>
                      <w:color w:val="auto"/>
                      <w:szCs w:val="21"/>
                      <w:highlight w:val="none"/>
                      <w:vertAlign w:val="superscript"/>
                      <w:lang w:eastAsia="zh-CN"/>
                    </w:rPr>
                    <w:t>3</w:t>
                  </w:r>
                </w:p>
              </w:tc>
              <w:tc>
                <w:tcPr>
                  <w:tcW w:w="3061" w:type="dxa"/>
                  <w:vMerge w:val="continue"/>
                  <w:noWrap w:val="0"/>
                  <w:vAlign w:val="center"/>
                </w:tcPr>
                <w:p w14:paraId="616BE7CC">
                  <w:pPr>
                    <w:pStyle w:val="8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Cs/>
                      <w:color w:val="auto"/>
                      <w:szCs w:val="21"/>
                      <w:highlight w:val="none"/>
                      <w:lang w:eastAsia="zh-CN"/>
                    </w:rPr>
                  </w:pPr>
                </w:p>
              </w:tc>
            </w:tr>
            <w:tr w14:paraId="5D13FC2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00" w:hRule="atLeast"/>
                <w:jc w:val="center"/>
              </w:trPr>
              <w:tc>
                <w:tcPr>
                  <w:tcW w:w="1375" w:type="dxa"/>
                  <w:vMerge w:val="continue"/>
                  <w:noWrap w:val="0"/>
                  <w:vAlign w:val="center"/>
                </w:tcPr>
                <w:p w14:paraId="6351B673">
                  <w:pPr>
                    <w:pStyle w:val="8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Cs/>
                      <w:color w:val="auto"/>
                      <w:szCs w:val="21"/>
                      <w:highlight w:val="none"/>
                      <w:lang w:eastAsia="zh-CN"/>
                    </w:rPr>
                  </w:pPr>
                </w:p>
              </w:tc>
              <w:tc>
                <w:tcPr>
                  <w:tcW w:w="2051" w:type="dxa"/>
                  <w:noWrap w:val="0"/>
                  <w:vAlign w:val="center"/>
                </w:tcPr>
                <w:p w14:paraId="3C53F0C5">
                  <w:pPr>
                    <w:pStyle w:val="8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Cs/>
                      <w:color w:val="auto"/>
                      <w:szCs w:val="21"/>
                      <w:highlight w:val="none"/>
                      <w:lang w:eastAsia="zh-CN"/>
                    </w:rPr>
                  </w:pPr>
                  <w:r>
                    <w:rPr>
                      <w:rFonts w:ascii="Times New Roman" w:hAnsi="Times New Roman" w:cs="Times New Roman"/>
                      <w:bCs/>
                      <w:color w:val="auto"/>
                      <w:szCs w:val="21"/>
                      <w:highlight w:val="none"/>
                      <w:lang w:eastAsia="zh-CN"/>
                    </w:rPr>
                    <w:t>1小时平均</w:t>
                  </w:r>
                </w:p>
              </w:tc>
              <w:tc>
                <w:tcPr>
                  <w:tcW w:w="1677" w:type="dxa"/>
                  <w:noWrap w:val="0"/>
                  <w:vAlign w:val="center"/>
                </w:tcPr>
                <w:p w14:paraId="6B4E8D5E">
                  <w:pPr>
                    <w:pStyle w:val="8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Cs/>
                      <w:color w:val="auto"/>
                      <w:szCs w:val="21"/>
                      <w:highlight w:val="none"/>
                      <w:lang w:eastAsia="zh-CN"/>
                    </w:rPr>
                  </w:pPr>
                  <w:r>
                    <w:rPr>
                      <w:rFonts w:ascii="Times New Roman" w:hAnsi="Times New Roman" w:cs="Times New Roman"/>
                      <w:bCs/>
                      <w:color w:val="auto"/>
                      <w:szCs w:val="21"/>
                      <w:highlight w:val="none"/>
                      <w:lang w:eastAsia="zh-CN"/>
                    </w:rPr>
                    <w:t>10mg/m</w:t>
                  </w:r>
                  <w:r>
                    <w:rPr>
                      <w:rFonts w:ascii="Times New Roman" w:hAnsi="Times New Roman" w:cs="Times New Roman"/>
                      <w:bCs/>
                      <w:color w:val="auto"/>
                      <w:szCs w:val="21"/>
                      <w:highlight w:val="none"/>
                      <w:vertAlign w:val="superscript"/>
                      <w:lang w:eastAsia="zh-CN"/>
                    </w:rPr>
                    <w:t>3</w:t>
                  </w:r>
                </w:p>
              </w:tc>
              <w:tc>
                <w:tcPr>
                  <w:tcW w:w="3061" w:type="dxa"/>
                  <w:vMerge w:val="continue"/>
                  <w:noWrap w:val="0"/>
                  <w:vAlign w:val="center"/>
                </w:tcPr>
                <w:p w14:paraId="7591D01E">
                  <w:pPr>
                    <w:pStyle w:val="8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Cs/>
                      <w:color w:val="auto"/>
                      <w:szCs w:val="21"/>
                      <w:highlight w:val="none"/>
                      <w:lang w:eastAsia="zh-CN"/>
                    </w:rPr>
                  </w:pPr>
                </w:p>
              </w:tc>
            </w:tr>
            <w:tr w14:paraId="5F6141D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283" w:hRule="atLeast"/>
                <w:jc w:val="center"/>
              </w:trPr>
              <w:tc>
                <w:tcPr>
                  <w:tcW w:w="1375" w:type="dxa"/>
                  <w:vMerge w:val="restart"/>
                  <w:noWrap w:val="0"/>
                  <w:vAlign w:val="center"/>
                </w:tcPr>
                <w:p w14:paraId="2E68BFAE">
                  <w:pPr>
                    <w:pStyle w:val="8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Cs/>
                      <w:color w:val="auto"/>
                      <w:szCs w:val="21"/>
                      <w:highlight w:val="none"/>
                      <w:lang w:eastAsia="zh-CN"/>
                    </w:rPr>
                  </w:pPr>
                  <w:r>
                    <w:rPr>
                      <w:rFonts w:ascii="Times New Roman" w:hAnsi="Times New Roman" w:cs="Times New Roman"/>
                      <w:bCs/>
                      <w:color w:val="auto"/>
                      <w:szCs w:val="21"/>
                      <w:highlight w:val="none"/>
                      <w:lang w:eastAsia="zh-CN"/>
                    </w:rPr>
                    <w:t>O</w:t>
                  </w:r>
                  <w:r>
                    <w:rPr>
                      <w:rFonts w:ascii="Times New Roman" w:hAnsi="Times New Roman" w:cs="Times New Roman"/>
                      <w:bCs/>
                      <w:color w:val="auto"/>
                      <w:szCs w:val="21"/>
                      <w:highlight w:val="none"/>
                      <w:vertAlign w:val="subscript"/>
                      <w:lang w:eastAsia="zh-CN"/>
                    </w:rPr>
                    <w:t>3</w:t>
                  </w:r>
                </w:p>
              </w:tc>
              <w:tc>
                <w:tcPr>
                  <w:tcW w:w="2051" w:type="dxa"/>
                  <w:noWrap w:val="0"/>
                  <w:vAlign w:val="center"/>
                </w:tcPr>
                <w:p w14:paraId="72556FCB">
                  <w:pPr>
                    <w:pStyle w:val="8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Cs/>
                      <w:color w:val="auto"/>
                      <w:szCs w:val="21"/>
                      <w:highlight w:val="none"/>
                      <w:lang w:eastAsia="zh-CN"/>
                    </w:rPr>
                  </w:pPr>
                  <w:r>
                    <w:rPr>
                      <w:rFonts w:ascii="Times New Roman" w:hAnsi="Times New Roman" w:cs="Times New Roman"/>
                      <w:bCs/>
                      <w:color w:val="auto"/>
                      <w:szCs w:val="21"/>
                      <w:highlight w:val="none"/>
                      <w:lang w:eastAsia="zh-CN"/>
                    </w:rPr>
                    <w:t>日最大8小时平均</w:t>
                  </w:r>
                </w:p>
              </w:tc>
              <w:tc>
                <w:tcPr>
                  <w:tcW w:w="1677" w:type="dxa"/>
                  <w:noWrap w:val="0"/>
                  <w:vAlign w:val="center"/>
                </w:tcPr>
                <w:p w14:paraId="10A5B09F">
                  <w:pPr>
                    <w:pStyle w:val="8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Cs/>
                      <w:color w:val="auto"/>
                      <w:szCs w:val="21"/>
                      <w:highlight w:val="none"/>
                      <w:lang w:eastAsia="zh-CN"/>
                    </w:rPr>
                  </w:pPr>
                  <w:r>
                    <w:rPr>
                      <w:rFonts w:ascii="Times New Roman" w:hAnsi="Times New Roman" w:cs="Times New Roman"/>
                      <w:bCs/>
                      <w:color w:val="auto"/>
                      <w:szCs w:val="21"/>
                      <w:highlight w:val="none"/>
                      <w:lang w:eastAsia="zh-CN"/>
                    </w:rPr>
                    <w:t>160μg/m</w:t>
                  </w:r>
                  <w:r>
                    <w:rPr>
                      <w:rFonts w:ascii="Times New Roman" w:hAnsi="Times New Roman" w:cs="Times New Roman"/>
                      <w:bCs/>
                      <w:color w:val="auto"/>
                      <w:szCs w:val="21"/>
                      <w:highlight w:val="none"/>
                      <w:vertAlign w:val="superscript"/>
                      <w:lang w:eastAsia="zh-CN"/>
                    </w:rPr>
                    <w:t>3</w:t>
                  </w:r>
                </w:p>
              </w:tc>
              <w:tc>
                <w:tcPr>
                  <w:tcW w:w="3061" w:type="dxa"/>
                  <w:vMerge w:val="continue"/>
                  <w:noWrap w:val="0"/>
                  <w:vAlign w:val="center"/>
                </w:tcPr>
                <w:p w14:paraId="7DBE58D1">
                  <w:pPr>
                    <w:pStyle w:val="8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Cs/>
                      <w:color w:val="auto"/>
                      <w:szCs w:val="21"/>
                      <w:highlight w:val="none"/>
                      <w:lang w:eastAsia="zh-CN"/>
                    </w:rPr>
                  </w:pPr>
                </w:p>
              </w:tc>
            </w:tr>
            <w:tr w14:paraId="46602D2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283" w:hRule="atLeast"/>
                <w:jc w:val="center"/>
              </w:trPr>
              <w:tc>
                <w:tcPr>
                  <w:tcW w:w="1375" w:type="dxa"/>
                  <w:vMerge w:val="continue"/>
                  <w:noWrap w:val="0"/>
                  <w:vAlign w:val="center"/>
                </w:tcPr>
                <w:p w14:paraId="2B603F9E">
                  <w:pPr>
                    <w:pStyle w:val="8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Cs/>
                      <w:color w:val="auto"/>
                      <w:szCs w:val="21"/>
                      <w:highlight w:val="none"/>
                      <w:lang w:eastAsia="zh-CN"/>
                    </w:rPr>
                  </w:pPr>
                </w:p>
              </w:tc>
              <w:tc>
                <w:tcPr>
                  <w:tcW w:w="2051" w:type="dxa"/>
                  <w:noWrap w:val="0"/>
                  <w:vAlign w:val="center"/>
                </w:tcPr>
                <w:p w14:paraId="611BD373">
                  <w:pPr>
                    <w:pStyle w:val="8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Cs/>
                      <w:color w:val="auto"/>
                      <w:szCs w:val="21"/>
                      <w:highlight w:val="none"/>
                      <w:lang w:eastAsia="zh-CN"/>
                    </w:rPr>
                  </w:pPr>
                  <w:r>
                    <w:rPr>
                      <w:rFonts w:ascii="Times New Roman" w:hAnsi="Times New Roman" w:cs="Times New Roman"/>
                      <w:bCs/>
                      <w:color w:val="auto"/>
                      <w:szCs w:val="21"/>
                      <w:highlight w:val="none"/>
                      <w:lang w:eastAsia="zh-CN"/>
                    </w:rPr>
                    <w:t>1小时平均</w:t>
                  </w:r>
                </w:p>
              </w:tc>
              <w:tc>
                <w:tcPr>
                  <w:tcW w:w="1677" w:type="dxa"/>
                  <w:noWrap w:val="0"/>
                  <w:vAlign w:val="center"/>
                </w:tcPr>
                <w:p w14:paraId="36D18A47">
                  <w:pPr>
                    <w:pStyle w:val="8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Cs/>
                      <w:color w:val="auto"/>
                      <w:szCs w:val="21"/>
                      <w:highlight w:val="none"/>
                      <w:lang w:eastAsia="zh-CN"/>
                    </w:rPr>
                  </w:pPr>
                  <w:r>
                    <w:rPr>
                      <w:rFonts w:ascii="Times New Roman" w:hAnsi="Times New Roman" w:cs="Times New Roman"/>
                      <w:bCs/>
                      <w:color w:val="auto"/>
                      <w:szCs w:val="21"/>
                      <w:highlight w:val="none"/>
                      <w:lang w:eastAsia="zh-CN"/>
                    </w:rPr>
                    <w:t>200μg/m</w:t>
                  </w:r>
                  <w:r>
                    <w:rPr>
                      <w:rFonts w:ascii="Times New Roman" w:hAnsi="Times New Roman" w:cs="Times New Roman"/>
                      <w:bCs/>
                      <w:color w:val="auto"/>
                      <w:szCs w:val="21"/>
                      <w:highlight w:val="none"/>
                      <w:vertAlign w:val="superscript"/>
                      <w:lang w:eastAsia="zh-CN"/>
                    </w:rPr>
                    <w:t>3</w:t>
                  </w:r>
                </w:p>
              </w:tc>
              <w:tc>
                <w:tcPr>
                  <w:tcW w:w="3061" w:type="dxa"/>
                  <w:vMerge w:val="continue"/>
                  <w:noWrap w:val="0"/>
                  <w:vAlign w:val="center"/>
                </w:tcPr>
                <w:p w14:paraId="1CCACD37">
                  <w:pPr>
                    <w:pStyle w:val="8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Cs/>
                      <w:color w:val="auto"/>
                      <w:szCs w:val="21"/>
                      <w:highlight w:val="none"/>
                      <w:lang w:eastAsia="zh-CN"/>
                    </w:rPr>
                  </w:pPr>
                </w:p>
              </w:tc>
            </w:tr>
            <w:tr w14:paraId="0F7047F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283" w:hRule="atLeast"/>
                <w:jc w:val="center"/>
              </w:trPr>
              <w:tc>
                <w:tcPr>
                  <w:tcW w:w="1375" w:type="dxa"/>
                  <w:vMerge w:val="restart"/>
                  <w:noWrap w:val="0"/>
                  <w:vAlign w:val="center"/>
                </w:tcPr>
                <w:p w14:paraId="2D3556F8">
                  <w:pPr>
                    <w:pStyle w:val="8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Cs w:val="21"/>
                      <w:highlight w:val="none"/>
                      <w:lang w:val="en-US" w:eastAsia="zh-CN"/>
                    </w:rPr>
                  </w:pPr>
                  <w:r>
                    <w:rPr>
                      <w:rFonts w:hint="eastAsia" w:ascii="Times New Roman" w:hAnsi="Times New Roman" w:cs="Times New Roman"/>
                      <w:bCs/>
                      <w:color w:val="auto"/>
                      <w:szCs w:val="21"/>
                      <w:highlight w:val="none"/>
                      <w:lang w:val="en-US" w:eastAsia="zh-CN"/>
                    </w:rPr>
                    <w:t>TSP</w:t>
                  </w:r>
                </w:p>
              </w:tc>
              <w:tc>
                <w:tcPr>
                  <w:tcW w:w="2051" w:type="dxa"/>
                  <w:noWrap w:val="0"/>
                  <w:vAlign w:val="center"/>
                </w:tcPr>
                <w:p w14:paraId="1A8A0583">
                  <w:pPr>
                    <w:pStyle w:val="8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Cs/>
                      <w:color w:val="auto"/>
                      <w:szCs w:val="21"/>
                      <w:highlight w:val="none"/>
                      <w:lang w:eastAsia="zh-CN"/>
                    </w:rPr>
                  </w:pPr>
                  <w:r>
                    <w:rPr>
                      <w:rFonts w:ascii="Times New Roman" w:hAnsi="Times New Roman" w:cs="Times New Roman"/>
                      <w:bCs/>
                      <w:color w:val="auto"/>
                      <w:szCs w:val="21"/>
                      <w:highlight w:val="none"/>
                      <w:lang w:eastAsia="zh-CN"/>
                    </w:rPr>
                    <w:t>年平均</w:t>
                  </w:r>
                </w:p>
              </w:tc>
              <w:tc>
                <w:tcPr>
                  <w:tcW w:w="1677" w:type="dxa"/>
                  <w:noWrap w:val="0"/>
                  <w:vAlign w:val="center"/>
                </w:tcPr>
                <w:p w14:paraId="676632B4">
                  <w:pPr>
                    <w:pStyle w:val="8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Cs/>
                      <w:color w:val="auto"/>
                      <w:szCs w:val="21"/>
                      <w:highlight w:val="none"/>
                      <w:lang w:eastAsia="zh-CN"/>
                    </w:rPr>
                  </w:pPr>
                  <w:r>
                    <w:rPr>
                      <w:rFonts w:hint="eastAsia" w:ascii="Times New Roman" w:hAnsi="Times New Roman" w:cs="Times New Roman"/>
                      <w:bCs/>
                      <w:color w:val="auto"/>
                      <w:szCs w:val="21"/>
                      <w:highlight w:val="none"/>
                      <w:lang w:eastAsia="zh-CN"/>
                    </w:rPr>
                    <w:t>2</w:t>
                  </w:r>
                  <w:r>
                    <w:rPr>
                      <w:rFonts w:hint="eastAsia" w:ascii="Times New Roman" w:hAnsi="Times New Roman" w:cs="Times New Roman"/>
                      <w:bCs/>
                      <w:color w:val="auto"/>
                      <w:szCs w:val="21"/>
                      <w:highlight w:val="none"/>
                      <w:lang w:val="en-US" w:eastAsia="zh-CN"/>
                    </w:rPr>
                    <w:t>00</w:t>
                  </w:r>
                  <w:r>
                    <w:rPr>
                      <w:rFonts w:ascii="Times New Roman" w:hAnsi="Times New Roman" w:cs="Times New Roman"/>
                      <w:bCs/>
                      <w:color w:val="auto"/>
                      <w:szCs w:val="21"/>
                      <w:highlight w:val="none"/>
                      <w:lang w:eastAsia="zh-CN"/>
                    </w:rPr>
                    <w:t>μg/m</w:t>
                  </w:r>
                  <w:r>
                    <w:rPr>
                      <w:rFonts w:ascii="Times New Roman" w:hAnsi="Times New Roman" w:cs="Times New Roman"/>
                      <w:bCs/>
                      <w:color w:val="auto"/>
                      <w:szCs w:val="21"/>
                      <w:highlight w:val="none"/>
                      <w:vertAlign w:val="superscript"/>
                      <w:lang w:eastAsia="zh-CN"/>
                    </w:rPr>
                    <w:t>3</w:t>
                  </w:r>
                </w:p>
              </w:tc>
              <w:tc>
                <w:tcPr>
                  <w:tcW w:w="3061" w:type="dxa"/>
                  <w:vMerge w:val="continue"/>
                  <w:noWrap w:val="0"/>
                  <w:vAlign w:val="center"/>
                </w:tcPr>
                <w:p w14:paraId="57143E90">
                  <w:pPr>
                    <w:pStyle w:val="8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Cs/>
                      <w:color w:val="auto"/>
                      <w:szCs w:val="21"/>
                      <w:highlight w:val="none"/>
                      <w:lang w:eastAsia="zh-CN"/>
                    </w:rPr>
                  </w:pPr>
                </w:p>
              </w:tc>
            </w:tr>
            <w:tr w14:paraId="46F84F7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283" w:hRule="atLeast"/>
                <w:jc w:val="center"/>
              </w:trPr>
              <w:tc>
                <w:tcPr>
                  <w:tcW w:w="1375" w:type="dxa"/>
                  <w:vMerge w:val="continue"/>
                  <w:noWrap w:val="0"/>
                  <w:vAlign w:val="center"/>
                </w:tcPr>
                <w:p w14:paraId="4C56CE54">
                  <w:pPr>
                    <w:pStyle w:val="8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Cs/>
                      <w:color w:val="auto"/>
                      <w:szCs w:val="21"/>
                      <w:highlight w:val="none"/>
                      <w:lang w:val="en-US" w:eastAsia="zh-CN"/>
                    </w:rPr>
                  </w:pPr>
                </w:p>
              </w:tc>
              <w:tc>
                <w:tcPr>
                  <w:tcW w:w="2051" w:type="dxa"/>
                  <w:noWrap w:val="0"/>
                  <w:vAlign w:val="center"/>
                </w:tcPr>
                <w:p w14:paraId="2EAF32A5">
                  <w:pPr>
                    <w:pStyle w:val="8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Cs/>
                      <w:color w:val="auto"/>
                      <w:szCs w:val="21"/>
                      <w:highlight w:val="none"/>
                      <w:lang w:eastAsia="zh-CN"/>
                    </w:rPr>
                  </w:pPr>
                  <w:r>
                    <w:rPr>
                      <w:rFonts w:ascii="Times New Roman" w:hAnsi="Times New Roman" w:cs="Times New Roman"/>
                      <w:bCs/>
                      <w:color w:val="auto"/>
                      <w:szCs w:val="21"/>
                      <w:highlight w:val="none"/>
                      <w:lang w:eastAsia="zh-CN"/>
                    </w:rPr>
                    <w:t>24小时平均</w:t>
                  </w:r>
                </w:p>
              </w:tc>
              <w:tc>
                <w:tcPr>
                  <w:tcW w:w="1677" w:type="dxa"/>
                  <w:noWrap w:val="0"/>
                  <w:vAlign w:val="center"/>
                </w:tcPr>
                <w:p w14:paraId="134F4F24">
                  <w:pPr>
                    <w:pStyle w:val="8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Cs/>
                      <w:color w:val="auto"/>
                      <w:szCs w:val="21"/>
                      <w:highlight w:val="none"/>
                      <w:lang w:eastAsia="zh-CN"/>
                    </w:rPr>
                  </w:pPr>
                  <w:r>
                    <w:rPr>
                      <w:rFonts w:hint="eastAsia" w:ascii="Times New Roman" w:hAnsi="Times New Roman" w:cs="Times New Roman"/>
                      <w:bCs/>
                      <w:color w:val="auto"/>
                      <w:szCs w:val="21"/>
                      <w:highlight w:val="none"/>
                      <w:lang w:val="en-US" w:eastAsia="zh-CN"/>
                    </w:rPr>
                    <w:t>300</w:t>
                  </w:r>
                  <w:r>
                    <w:rPr>
                      <w:rFonts w:ascii="Times New Roman" w:hAnsi="Times New Roman" w:cs="Times New Roman"/>
                      <w:bCs/>
                      <w:color w:val="auto"/>
                      <w:szCs w:val="21"/>
                      <w:highlight w:val="none"/>
                      <w:lang w:eastAsia="zh-CN"/>
                    </w:rPr>
                    <w:t>μg/m</w:t>
                  </w:r>
                  <w:r>
                    <w:rPr>
                      <w:rFonts w:ascii="Times New Roman" w:hAnsi="Times New Roman" w:cs="Times New Roman"/>
                      <w:bCs/>
                      <w:color w:val="auto"/>
                      <w:szCs w:val="21"/>
                      <w:highlight w:val="none"/>
                      <w:vertAlign w:val="superscript"/>
                      <w:lang w:eastAsia="zh-CN"/>
                    </w:rPr>
                    <w:t>3</w:t>
                  </w:r>
                </w:p>
              </w:tc>
              <w:tc>
                <w:tcPr>
                  <w:tcW w:w="3061" w:type="dxa"/>
                  <w:vMerge w:val="continue"/>
                  <w:noWrap w:val="0"/>
                  <w:vAlign w:val="center"/>
                </w:tcPr>
                <w:p w14:paraId="2C394863">
                  <w:pPr>
                    <w:pStyle w:val="8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Cs/>
                      <w:color w:val="auto"/>
                      <w:szCs w:val="21"/>
                      <w:highlight w:val="none"/>
                      <w:lang w:eastAsia="zh-CN"/>
                    </w:rPr>
                  </w:pPr>
                </w:p>
              </w:tc>
            </w:tr>
            <w:tr w14:paraId="0834EAE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283" w:hRule="atLeast"/>
                <w:jc w:val="center"/>
              </w:trPr>
              <w:tc>
                <w:tcPr>
                  <w:tcW w:w="1375" w:type="dxa"/>
                  <w:vMerge w:val="restart"/>
                  <w:noWrap w:val="0"/>
                  <w:vAlign w:val="center"/>
                </w:tcPr>
                <w:p w14:paraId="6C843CB8">
                  <w:pPr>
                    <w:pStyle w:val="8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Cs/>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苯并[a]芘</w:t>
                  </w:r>
                </w:p>
              </w:tc>
              <w:tc>
                <w:tcPr>
                  <w:tcW w:w="2051" w:type="dxa"/>
                  <w:noWrap w:val="0"/>
                  <w:vAlign w:val="center"/>
                </w:tcPr>
                <w:p w14:paraId="23073D68">
                  <w:pPr>
                    <w:pStyle w:val="8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Cs/>
                      <w:color w:val="auto"/>
                      <w:szCs w:val="21"/>
                      <w:highlight w:val="none"/>
                      <w:lang w:eastAsia="zh-CN"/>
                    </w:rPr>
                  </w:pPr>
                  <w:r>
                    <w:rPr>
                      <w:rFonts w:ascii="Times New Roman" w:hAnsi="Times New Roman" w:cs="Times New Roman"/>
                      <w:bCs/>
                      <w:color w:val="auto"/>
                      <w:szCs w:val="21"/>
                      <w:highlight w:val="none"/>
                      <w:lang w:eastAsia="zh-CN"/>
                    </w:rPr>
                    <w:t>年平均</w:t>
                  </w:r>
                </w:p>
              </w:tc>
              <w:tc>
                <w:tcPr>
                  <w:tcW w:w="1677" w:type="dxa"/>
                  <w:noWrap w:val="0"/>
                  <w:vAlign w:val="center"/>
                </w:tcPr>
                <w:p w14:paraId="71172CFF">
                  <w:pPr>
                    <w:pStyle w:val="8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Cs/>
                      <w:color w:val="auto"/>
                      <w:szCs w:val="21"/>
                      <w:highlight w:val="none"/>
                      <w:lang w:val="en-US" w:eastAsia="zh-CN"/>
                    </w:rPr>
                  </w:pPr>
                  <w:r>
                    <w:rPr>
                      <w:rFonts w:hint="eastAsia" w:ascii="Times New Roman" w:hAnsi="Times New Roman" w:cs="Times New Roman"/>
                      <w:bCs/>
                      <w:color w:val="auto"/>
                      <w:szCs w:val="21"/>
                      <w:highlight w:val="none"/>
                      <w:lang w:val="en-US" w:eastAsia="zh-CN"/>
                    </w:rPr>
                    <w:t>0.001</w:t>
                  </w:r>
                  <w:r>
                    <w:rPr>
                      <w:rFonts w:ascii="Times New Roman" w:hAnsi="Times New Roman" w:cs="Times New Roman"/>
                      <w:bCs/>
                      <w:color w:val="auto"/>
                      <w:szCs w:val="21"/>
                      <w:highlight w:val="none"/>
                      <w:lang w:eastAsia="zh-CN"/>
                    </w:rPr>
                    <w:t>μg/m</w:t>
                  </w:r>
                  <w:r>
                    <w:rPr>
                      <w:rFonts w:ascii="Times New Roman" w:hAnsi="Times New Roman" w:cs="Times New Roman"/>
                      <w:bCs/>
                      <w:color w:val="auto"/>
                      <w:szCs w:val="21"/>
                      <w:highlight w:val="none"/>
                      <w:vertAlign w:val="superscript"/>
                      <w:lang w:eastAsia="zh-CN"/>
                    </w:rPr>
                    <w:t>3</w:t>
                  </w:r>
                </w:p>
              </w:tc>
              <w:tc>
                <w:tcPr>
                  <w:tcW w:w="3061" w:type="dxa"/>
                  <w:vMerge w:val="continue"/>
                  <w:noWrap w:val="0"/>
                  <w:vAlign w:val="center"/>
                </w:tcPr>
                <w:p w14:paraId="42D88217">
                  <w:pPr>
                    <w:pStyle w:val="8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Cs/>
                      <w:color w:val="auto"/>
                      <w:szCs w:val="21"/>
                      <w:highlight w:val="none"/>
                      <w:lang w:eastAsia="zh-CN"/>
                    </w:rPr>
                  </w:pPr>
                </w:p>
              </w:tc>
            </w:tr>
            <w:tr w14:paraId="636C3BB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283" w:hRule="atLeast"/>
                <w:jc w:val="center"/>
              </w:trPr>
              <w:tc>
                <w:tcPr>
                  <w:tcW w:w="1375" w:type="dxa"/>
                  <w:vMerge w:val="continue"/>
                  <w:noWrap w:val="0"/>
                  <w:vAlign w:val="center"/>
                </w:tcPr>
                <w:p w14:paraId="2FB4CF61">
                  <w:pPr>
                    <w:pStyle w:val="8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Cs/>
                      <w:color w:val="auto"/>
                      <w:szCs w:val="21"/>
                      <w:highlight w:val="none"/>
                      <w:lang w:val="en-US" w:eastAsia="zh-CN"/>
                    </w:rPr>
                  </w:pPr>
                </w:p>
              </w:tc>
              <w:tc>
                <w:tcPr>
                  <w:tcW w:w="2051" w:type="dxa"/>
                  <w:noWrap w:val="0"/>
                  <w:vAlign w:val="center"/>
                </w:tcPr>
                <w:p w14:paraId="00546B79">
                  <w:pPr>
                    <w:pStyle w:val="8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Cs/>
                      <w:color w:val="auto"/>
                      <w:szCs w:val="21"/>
                      <w:highlight w:val="none"/>
                      <w:lang w:eastAsia="zh-CN"/>
                    </w:rPr>
                  </w:pPr>
                  <w:r>
                    <w:rPr>
                      <w:rFonts w:ascii="Times New Roman" w:hAnsi="Times New Roman" w:cs="Times New Roman"/>
                      <w:bCs/>
                      <w:color w:val="auto"/>
                      <w:szCs w:val="21"/>
                      <w:highlight w:val="none"/>
                      <w:lang w:eastAsia="zh-CN"/>
                    </w:rPr>
                    <w:t>24小时平均</w:t>
                  </w:r>
                </w:p>
              </w:tc>
              <w:tc>
                <w:tcPr>
                  <w:tcW w:w="1677" w:type="dxa"/>
                  <w:noWrap w:val="0"/>
                  <w:vAlign w:val="center"/>
                </w:tcPr>
                <w:p w14:paraId="3EE82CE2">
                  <w:pPr>
                    <w:pStyle w:val="8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Cs/>
                      <w:color w:val="auto"/>
                      <w:szCs w:val="21"/>
                      <w:highlight w:val="none"/>
                      <w:lang w:val="en-US" w:eastAsia="zh-CN"/>
                    </w:rPr>
                  </w:pPr>
                  <w:r>
                    <w:rPr>
                      <w:rFonts w:hint="eastAsia" w:ascii="Times New Roman" w:hAnsi="Times New Roman" w:cs="Times New Roman"/>
                      <w:bCs/>
                      <w:color w:val="auto"/>
                      <w:szCs w:val="21"/>
                      <w:highlight w:val="none"/>
                      <w:lang w:val="en-US" w:eastAsia="zh-CN"/>
                    </w:rPr>
                    <w:t>0.0025</w:t>
                  </w:r>
                  <w:r>
                    <w:rPr>
                      <w:rFonts w:ascii="Times New Roman" w:hAnsi="Times New Roman" w:cs="Times New Roman"/>
                      <w:bCs/>
                      <w:color w:val="auto"/>
                      <w:szCs w:val="21"/>
                      <w:highlight w:val="none"/>
                      <w:lang w:eastAsia="zh-CN"/>
                    </w:rPr>
                    <w:t>μg/m</w:t>
                  </w:r>
                  <w:r>
                    <w:rPr>
                      <w:rFonts w:ascii="Times New Roman" w:hAnsi="Times New Roman" w:cs="Times New Roman"/>
                      <w:bCs/>
                      <w:color w:val="auto"/>
                      <w:szCs w:val="21"/>
                      <w:highlight w:val="none"/>
                      <w:vertAlign w:val="superscript"/>
                      <w:lang w:eastAsia="zh-CN"/>
                    </w:rPr>
                    <w:t>3</w:t>
                  </w:r>
                </w:p>
              </w:tc>
              <w:tc>
                <w:tcPr>
                  <w:tcW w:w="3061" w:type="dxa"/>
                  <w:vMerge w:val="continue"/>
                  <w:noWrap w:val="0"/>
                  <w:vAlign w:val="center"/>
                </w:tcPr>
                <w:p w14:paraId="79E98FE1">
                  <w:pPr>
                    <w:pStyle w:val="8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Cs/>
                      <w:color w:val="auto"/>
                      <w:szCs w:val="21"/>
                      <w:highlight w:val="none"/>
                      <w:lang w:eastAsia="zh-CN"/>
                    </w:rPr>
                  </w:pPr>
                </w:p>
              </w:tc>
            </w:tr>
          </w:tbl>
          <w:p w14:paraId="609FF7FE">
            <w:pPr>
              <w:pStyle w:val="4"/>
              <w:rPr>
                <w:color w:val="auto"/>
                <w:highlight w:val="none"/>
              </w:rPr>
            </w:pPr>
            <w:r>
              <w:rPr>
                <w:color w:val="auto"/>
                <w:highlight w:val="none"/>
              </w:rPr>
              <w:t>3.1.2大气环境质量现状</w:t>
            </w:r>
          </w:p>
          <w:p w14:paraId="2D77AE2F">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1</w:t>
            </w:r>
            <w:r>
              <w:rPr>
                <w:rFonts w:hint="eastAsia" w:ascii="宋体" w:hAnsi="宋体" w:eastAsia="宋体" w:cs="宋体"/>
                <w:color w:val="auto"/>
                <w:kern w:val="0"/>
                <w:sz w:val="24"/>
                <w:szCs w:val="24"/>
                <w:highlight w:val="none"/>
                <w:lang w:val="en-US" w:eastAsia="zh-CN" w:bidi="ar"/>
              </w:rPr>
              <w:t xml:space="preserve">）达标区判定 </w:t>
            </w:r>
          </w:p>
          <w:p w14:paraId="25726A9A">
            <w:pPr>
              <w:ind w:firstLine="480"/>
              <w:rPr>
                <w:rFonts w:hint="eastAsia"/>
                <w:color w:val="auto"/>
                <w:highlight w:val="none"/>
              </w:rPr>
            </w:pPr>
            <w:r>
              <w:rPr>
                <w:rFonts w:hint="eastAsia"/>
                <w:color w:val="auto"/>
                <w:highlight w:val="none"/>
                <w:lang w:val="en-US" w:eastAsia="zh-CN"/>
              </w:rPr>
              <w:t>根据福建省生态环境厅发布的《</w:t>
            </w:r>
            <w:r>
              <w:rPr>
                <w:color w:val="auto"/>
                <w:highlight w:val="none"/>
              </w:rPr>
              <w:t>2024年1</w:t>
            </w:r>
            <w:r>
              <w:rPr>
                <w:rFonts w:hint="eastAsia"/>
                <w:color w:val="auto"/>
                <w:highlight w:val="none"/>
                <w:lang w:val="en-US" w:eastAsia="zh-CN"/>
              </w:rPr>
              <w:t>2</w:t>
            </w:r>
            <w:r>
              <w:rPr>
                <w:color w:val="auto"/>
                <w:highlight w:val="none"/>
              </w:rPr>
              <w:t>月福建省城市环境空气质量状况</w:t>
            </w:r>
            <w:r>
              <w:rPr>
                <w:rFonts w:hint="eastAsia"/>
                <w:color w:val="auto"/>
                <w:highlight w:val="none"/>
                <w:lang w:val="en-US" w:eastAsia="zh-CN"/>
              </w:rPr>
              <w:t>》，福州市</w:t>
            </w:r>
            <w:r>
              <w:rPr>
                <w:rFonts w:hint="default"/>
                <w:color w:val="auto"/>
                <w:highlight w:val="none"/>
                <w:lang w:val="en-US" w:eastAsia="zh-CN"/>
              </w:rPr>
              <w:t>1-</w:t>
            </w:r>
            <w:r>
              <w:rPr>
                <w:rFonts w:hint="eastAsia"/>
                <w:color w:val="auto"/>
                <w:highlight w:val="none"/>
                <w:lang w:val="en-US" w:eastAsia="zh-CN"/>
              </w:rPr>
              <w:t>12月二氧</w:t>
            </w:r>
            <w:r>
              <w:rPr>
                <w:rFonts w:hint="eastAsia" w:ascii="宋体" w:hAnsi="宋体" w:eastAsia="宋体" w:cs="宋体"/>
                <w:color w:val="auto"/>
                <w:kern w:val="0"/>
                <w:sz w:val="24"/>
                <w:szCs w:val="24"/>
                <w:highlight w:val="none"/>
                <w:lang w:val="en-US" w:eastAsia="zh-CN" w:bidi="ar"/>
              </w:rPr>
              <w:t>化硫、二氧化氮、可吸入颗粒物（</w:t>
            </w:r>
            <w:r>
              <w:rPr>
                <w:rFonts w:hint="default" w:ascii="Times New Roman" w:hAnsi="Times New Roman" w:eastAsia="宋体" w:cs="Times New Roman"/>
                <w:color w:val="auto"/>
                <w:kern w:val="0"/>
                <w:sz w:val="24"/>
                <w:szCs w:val="24"/>
                <w:highlight w:val="none"/>
                <w:lang w:val="en-US" w:eastAsia="zh-CN" w:bidi="ar"/>
              </w:rPr>
              <w:t>PM</w:t>
            </w:r>
            <w:r>
              <w:rPr>
                <w:rFonts w:hint="default" w:ascii="Times New Roman" w:hAnsi="Times New Roman" w:eastAsia="宋体" w:cs="Times New Roman"/>
                <w:color w:val="auto"/>
                <w:kern w:val="0"/>
                <w:sz w:val="15"/>
                <w:szCs w:val="15"/>
                <w:highlight w:val="none"/>
                <w:lang w:val="en-US" w:eastAsia="zh-CN" w:bidi="ar"/>
              </w:rPr>
              <w:t>10</w:t>
            </w:r>
            <w:r>
              <w:rPr>
                <w:rFonts w:hint="eastAsia" w:ascii="宋体" w:hAnsi="宋体" w:eastAsia="宋体" w:cs="宋体"/>
                <w:color w:val="auto"/>
                <w:kern w:val="0"/>
                <w:sz w:val="24"/>
                <w:szCs w:val="24"/>
                <w:highlight w:val="none"/>
                <w:lang w:val="en-US" w:eastAsia="zh-CN" w:bidi="ar"/>
              </w:rPr>
              <w:t>）和细颗粒物（</w:t>
            </w:r>
            <w:r>
              <w:rPr>
                <w:rFonts w:hint="default" w:ascii="Times New Roman" w:hAnsi="Times New Roman" w:eastAsia="宋体" w:cs="Times New Roman"/>
                <w:color w:val="auto"/>
                <w:kern w:val="0"/>
                <w:sz w:val="24"/>
                <w:szCs w:val="24"/>
                <w:highlight w:val="none"/>
                <w:lang w:val="en-US" w:eastAsia="zh-CN" w:bidi="ar"/>
              </w:rPr>
              <w:t>PM</w:t>
            </w:r>
            <w:r>
              <w:rPr>
                <w:rFonts w:hint="default" w:ascii="Times New Roman" w:hAnsi="Times New Roman" w:eastAsia="宋体" w:cs="Times New Roman"/>
                <w:color w:val="auto"/>
                <w:kern w:val="0"/>
                <w:sz w:val="15"/>
                <w:szCs w:val="15"/>
                <w:highlight w:val="none"/>
                <w:lang w:val="en-US" w:eastAsia="zh-CN" w:bidi="ar"/>
              </w:rPr>
              <w:t>2.5</w:t>
            </w:r>
            <w:r>
              <w:rPr>
                <w:rFonts w:hint="eastAsia" w:ascii="宋体" w:hAnsi="宋体" w:eastAsia="宋体" w:cs="宋体"/>
                <w:color w:val="auto"/>
                <w:kern w:val="0"/>
                <w:sz w:val="24"/>
                <w:szCs w:val="24"/>
                <w:highlight w:val="none"/>
                <w:lang w:val="en-US" w:eastAsia="zh-CN" w:bidi="ar"/>
              </w:rPr>
              <w:t>）平均浓度分别为</w:t>
            </w:r>
            <w:r>
              <w:rPr>
                <w:rFonts w:hint="eastAsia" w:ascii="Times New Roman" w:hAnsi="Times New Roman" w:eastAsia="宋体" w:cs="Times New Roman"/>
                <w:color w:val="auto"/>
                <w:kern w:val="0"/>
                <w:sz w:val="24"/>
                <w:szCs w:val="24"/>
                <w:highlight w:val="none"/>
                <w:lang w:val="en-US" w:eastAsia="zh-CN" w:bidi="ar"/>
              </w:rPr>
              <w:t>4</w:t>
            </w:r>
            <w:r>
              <w:rPr>
                <w:rFonts w:hint="default" w:ascii="Times New Roman" w:hAnsi="Times New Roman" w:eastAsia="宋体" w:cs="Times New Roman"/>
                <w:color w:val="auto"/>
                <w:kern w:val="0"/>
                <w:sz w:val="24"/>
                <w:szCs w:val="24"/>
                <w:highlight w:val="none"/>
                <w:lang w:val="en-US" w:eastAsia="zh-CN" w:bidi="ar"/>
              </w:rPr>
              <w:t>μg/m</w:t>
            </w:r>
            <w:r>
              <w:rPr>
                <w:rFonts w:hint="eastAsia" w:ascii="Times New Roman" w:hAnsi="Times New Roman" w:eastAsia="宋体" w:cs="Times New Roman"/>
                <w:color w:val="auto"/>
                <w:kern w:val="0"/>
                <w:sz w:val="24"/>
                <w:szCs w:val="24"/>
                <w:highlight w:val="none"/>
                <w:vertAlign w:val="superscript"/>
                <w:lang w:val="en-US" w:eastAsia="zh-CN" w:bidi="ar"/>
              </w:rPr>
              <w:t>3</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1</w:t>
            </w:r>
            <w:r>
              <w:rPr>
                <w:rFonts w:hint="eastAsia" w:ascii="Times New Roman" w:hAnsi="Times New Roman" w:eastAsia="宋体" w:cs="Times New Roman"/>
                <w:color w:val="auto"/>
                <w:kern w:val="0"/>
                <w:sz w:val="24"/>
                <w:szCs w:val="24"/>
                <w:highlight w:val="none"/>
                <w:lang w:val="en-US" w:eastAsia="zh-CN" w:bidi="ar"/>
              </w:rPr>
              <w:t>4</w:t>
            </w:r>
            <w:r>
              <w:rPr>
                <w:rFonts w:hint="default" w:ascii="Times New Roman" w:hAnsi="Times New Roman" w:eastAsia="宋体" w:cs="Times New Roman"/>
                <w:color w:val="auto"/>
                <w:kern w:val="0"/>
                <w:sz w:val="24"/>
                <w:szCs w:val="24"/>
                <w:highlight w:val="none"/>
                <w:lang w:val="en-US" w:eastAsia="zh-CN" w:bidi="ar"/>
              </w:rPr>
              <w:t>μg/m</w:t>
            </w:r>
            <w:r>
              <w:rPr>
                <w:rFonts w:hint="eastAsia" w:ascii="Times New Roman" w:hAnsi="Times New Roman" w:eastAsia="宋体" w:cs="Times New Roman"/>
                <w:color w:val="auto"/>
                <w:kern w:val="0"/>
                <w:sz w:val="24"/>
                <w:szCs w:val="24"/>
                <w:highlight w:val="none"/>
                <w:vertAlign w:val="superscript"/>
                <w:lang w:val="en-US" w:eastAsia="zh-CN" w:bidi="ar"/>
              </w:rPr>
              <w:t>3</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3</w:t>
            </w:r>
            <w:r>
              <w:rPr>
                <w:rFonts w:hint="eastAsia" w:ascii="Times New Roman" w:hAnsi="Times New Roman" w:eastAsia="宋体" w:cs="Times New Roman"/>
                <w:color w:val="auto"/>
                <w:kern w:val="0"/>
                <w:sz w:val="24"/>
                <w:szCs w:val="24"/>
                <w:highlight w:val="none"/>
                <w:lang w:val="en-US" w:eastAsia="zh-CN" w:bidi="ar"/>
              </w:rPr>
              <w:t>1</w:t>
            </w:r>
            <w:r>
              <w:rPr>
                <w:rFonts w:hint="default" w:ascii="Times New Roman" w:hAnsi="Times New Roman" w:eastAsia="宋体" w:cs="Times New Roman"/>
                <w:color w:val="auto"/>
                <w:kern w:val="0"/>
                <w:sz w:val="24"/>
                <w:szCs w:val="24"/>
                <w:highlight w:val="none"/>
                <w:lang w:val="en-US" w:eastAsia="zh-CN" w:bidi="ar"/>
              </w:rPr>
              <w:t>μg/m</w:t>
            </w:r>
            <w:r>
              <w:rPr>
                <w:rFonts w:hint="eastAsia" w:ascii="Times New Roman" w:hAnsi="Times New Roman" w:eastAsia="宋体" w:cs="Times New Roman"/>
                <w:color w:val="auto"/>
                <w:kern w:val="0"/>
                <w:sz w:val="24"/>
                <w:szCs w:val="24"/>
                <w:highlight w:val="none"/>
                <w:vertAlign w:val="superscript"/>
                <w:lang w:val="en-US" w:eastAsia="zh-CN" w:bidi="ar"/>
              </w:rPr>
              <w:t>3</w:t>
            </w:r>
            <w:r>
              <w:rPr>
                <w:rFonts w:hint="eastAsia" w:ascii="宋体" w:hAnsi="宋体" w:eastAsia="宋体" w:cs="宋体"/>
                <w:color w:val="auto"/>
                <w:kern w:val="0"/>
                <w:sz w:val="24"/>
                <w:szCs w:val="24"/>
                <w:highlight w:val="none"/>
                <w:lang w:val="en-US" w:eastAsia="zh-CN" w:bidi="ar"/>
              </w:rPr>
              <w:t>和</w:t>
            </w:r>
            <w:r>
              <w:rPr>
                <w:rFonts w:hint="eastAsia"/>
                <w:color w:val="auto"/>
                <w:highlight w:val="none"/>
                <w:lang w:val="en-US" w:eastAsia="zh-CN"/>
              </w:rPr>
              <w:t>19</w:t>
            </w:r>
            <w:r>
              <w:rPr>
                <w:rFonts w:hint="default" w:ascii="Times New Roman" w:hAnsi="Times New Roman" w:eastAsia="宋体" w:cs="Times New Roman"/>
                <w:color w:val="auto"/>
                <w:kern w:val="0"/>
                <w:sz w:val="24"/>
                <w:szCs w:val="24"/>
                <w:highlight w:val="none"/>
                <w:lang w:val="en-US" w:eastAsia="zh-CN" w:bidi="ar"/>
              </w:rPr>
              <w:t>μg/m</w:t>
            </w:r>
            <w:r>
              <w:rPr>
                <w:rFonts w:hint="eastAsia" w:ascii="Times New Roman" w:hAnsi="Times New Roman" w:eastAsia="宋体" w:cs="Times New Roman"/>
                <w:color w:val="auto"/>
                <w:kern w:val="0"/>
                <w:sz w:val="24"/>
                <w:szCs w:val="24"/>
                <w:highlight w:val="none"/>
                <w:vertAlign w:val="superscript"/>
                <w:lang w:val="en-US" w:eastAsia="zh-CN" w:bidi="ar"/>
              </w:rPr>
              <w:t>3</w:t>
            </w:r>
            <w:r>
              <w:rPr>
                <w:rFonts w:hint="eastAsia" w:ascii="宋体" w:hAnsi="宋体" w:eastAsia="宋体" w:cs="宋体"/>
                <w:color w:val="auto"/>
                <w:kern w:val="0"/>
                <w:sz w:val="24"/>
                <w:szCs w:val="24"/>
                <w:highlight w:val="none"/>
                <w:lang w:val="en-US" w:eastAsia="zh-CN" w:bidi="ar"/>
              </w:rPr>
              <w:t>，一氧化碳和臭氧特定百分位数平均值分别为</w:t>
            </w:r>
            <w:r>
              <w:rPr>
                <w:rFonts w:hint="default" w:ascii="Times New Roman" w:hAnsi="Times New Roman" w:eastAsia="宋体" w:cs="Times New Roman"/>
                <w:color w:val="auto"/>
                <w:kern w:val="0"/>
                <w:sz w:val="24"/>
                <w:szCs w:val="24"/>
                <w:highlight w:val="none"/>
                <w:lang w:val="en-US" w:eastAsia="zh-CN" w:bidi="ar"/>
              </w:rPr>
              <w:t>0.</w:t>
            </w:r>
            <w:r>
              <w:rPr>
                <w:rFonts w:hint="eastAsia" w:ascii="Times New Roman" w:hAnsi="Times New Roman" w:eastAsia="宋体" w:cs="Times New Roman"/>
                <w:color w:val="auto"/>
                <w:kern w:val="0"/>
                <w:sz w:val="24"/>
                <w:szCs w:val="24"/>
                <w:highlight w:val="none"/>
                <w:lang w:val="en-US" w:eastAsia="zh-CN" w:bidi="ar"/>
              </w:rPr>
              <w:t>7</w:t>
            </w:r>
            <w:r>
              <w:rPr>
                <w:rFonts w:hint="default" w:ascii="Times New Roman" w:hAnsi="Times New Roman" w:eastAsia="宋体" w:cs="Times New Roman"/>
                <w:color w:val="auto"/>
                <w:kern w:val="0"/>
                <w:sz w:val="24"/>
                <w:szCs w:val="24"/>
                <w:highlight w:val="none"/>
                <w:lang w:val="en-US" w:eastAsia="zh-CN" w:bidi="ar"/>
              </w:rPr>
              <w:t>mg/m</w:t>
            </w:r>
            <w:r>
              <w:rPr>
                <w:rFonts w:hint="eastAsia" w:ascii="Times New Roman" w:hAnsi="Times New Roman" w:eastAsia="宋体" w:cs="Times New Roman"/>
                <w:color w:val="auto"/>
                <w:kern w:val="0"/>
                <w:sz w:val="24"/>
                <w:szCs w:val="24"/>
                <w:highlight w:val="none"/>
                <w:vertAlign w:val="superscript"/>
                <w:lang w:val="en-US" w:eastAsia="zh-CN" w:bidi="ar"/>
              </w:rPr>
              <w:t>3</w:t>
            </w:r>
            <w:r>
              <w:rPr>
                <w:rFonts w:hint="eastAsia" w:ascii="宋体" w:hAnsi="宋体" w:eastAsia="宋体" w:cs="宋体"/>
                <w:color w:val="auto"/>
                <w:kern w:val="0"/>
                <w:sz w:val="24"/>
                <w:szCs w:val="24"/>
                <w:highlight w:val="none"/>
                <w:lang w:val="en-US" w:eastAsia="zh-CN" w:bidi="ar"/>
              </w:rPr>
              <w:t>和</w:t>
            </w:r>
            <w:r>
              <w:rPr>
                <w:rFonts w:hint="default" w:ascii="Times New Roman" w:hAnsi="Times New Roman" w:eastAsia="宋体" w:cs="Times New Roman"/>
                <w:color w:val="auto"/>
                <w:kern w:val="0"/>
                <w:sz w:val="24"/>
                <w:szCs w:val="24"/>
                <w:highlight w:val="none"/>
                <w:lang w:val="en-US" w:eastAsia="zh-CN" w:bidi="ar"/>
              </w:rPr>
              <w:t>13</w:t>
            </w:r>
            <w:r>
              <w:rPr>
                <w:rFonts w:hint="eastAsia" w:ascii="Times New Roman" w:hAnsi="Times New Roman" w:eastAsia="宋体" w:cs="Times New Roman"/>
                <w:color w:val="auto"/>
                <w:kern w:val="0"/>
                <w:sz w:val="24"/>
                <w:szCs w:val="24"/>
                <w:highlight w:val="none"/>
                <w:lang w:val="en-US" w:eastAsia="zh-CN" w:bidi="ar"/>
              </w:rPr>
              <w:t>2</w:t>
            </w:r>
            <w:r>
              <w:rPr>
                <w:rFonts w:hint="default" w:ascii="Times New Roman" w:hAnsi="Times New Roman" w:eastAsia="宋体" w:cs="Times New Roman"/>
                <w:color w:val="auto"/>
                <w:kern w:val="0"/>
                <w:sz w:val="24"/>
                <w:szCs w:val="24"/>
                <w:highlight w:val="none"/>
                <w:lang w:val="en-US" w:eastAsia="zh-CN" w:bidi="ar"/>
              </w:rPr>
              <w:t>μg/m</w:t>
            </w:r>
            <w:r>
              <w:rPr>
                <w:rFonts w:hint="eastAsia" w:ascii="Times New Roman" w:hAnsi="Times New Roman" w:eastAsia="宋体" w:cs="Times New Roman"/>
                <w:color w:val="auto"/>
                <w:kern w:val="0"/>
                <w:sz w:val="24"/>
                <w:szCs w:val="24"/>
                <w:highlight w:val="none"/>
                <w:vertAlign w:val="superscript"/>
                <w:lang w:val="en-US" w:eastAsia="zh-CN" w:bidi="ar"/>
              </w:rPr>
              <w:t>3</w:t>
            </w:r>
            <w:r>
              <w:rPr>
                <w:rFonts w:hint="eastAsia" w:ascii="宋体" w:hAnsi="宋体" w:eastAsia="宋体" w:cs="宋体"/>
                <w:color w:val="auto"/>
                <w:kern w:val="0"/>
                <w:sz w:val="24"/>
                <w:szCs w:val="24"/>
                <w:highlight w:val="none"/>
                <w:lang w:val="en-US" w:eastAsia="zh-CN" w:bidi="ar"/>
              </w:rPr>
              <w:t>，按照《环境空气质量标准》（</w:t>
            </w:r>
            <w:r>
              <w:rPr>
                <w:rFonts w:hint="default" w:ascii="Times New Roman" w:hAnsi="Times New Roman" w:eastAsia="宋体" w:cs="Times New Roman"/>
                <w:color w:val="auto"/>
                <w:kern w:val="0"/>
                <w:sz w:val="24"/>
                <w:szCs w:val="24"/>
                <w:highlight w:val="none"/>
                <w:lang w:val="en-US" w:eastAsia="zh-CN" w:bidi="ar"/>
              </w:rPr>
              <w:t>GB3095-2012</w:t>
            </w:r>
            <w:r>
              <w:rPr>
                <w:rFonts w:hint="eastAsia" w:ascii="宋体" w:hAnsi="宋体" w:eastAsia="宋体" w:cs="宋体"/>
                <w:color w:val="auto"/>
                <w:kern w:val="0"/>
                <w:sz w:val="24"/>
                <w:szCs w:val="24"/>
                <w:highlight w:val="none"/>
                <w:lang w:val="en-US" w:eastAsia="zh-CN" w:bidi="ar"/>
              </w:rPr>
              <w:t>）及其</w:t>
            </w:r>
            <w:r>
              <w:rPr>
                <w:rFonts w:hint="default" w:ascii="Times New Roman" w:hAnsi="Times New Roman" w:eastAsia="宋体" w:cs="Times New Roman"/>
                <w:color w:val="auto"/>
                <w:kern w:val="0"/>
                <w:sz w:val="24"/>
                <w:szCs w:val="24"/>
                <w:highlight w:val="none"/>
                <w:lang w:val="en-US" w:eastAsia="zh-CN" w:bidi="ar"/>
              </w:rPr>
              <w:t>2018</w:t>
            </w:r>
            <w:r>
              <w:rPr>
                <w:rFonts w:hint="eastAsia" w:ascii="宋体" w:hAnsi="宋体" w:eastAsia="宋体" w:cs="宋体"/>
                <w:color w:val="auto"/>
                <w:kern w:val="0"/>
                <w:sz w:val="24"/>
                <w:szCs w:val="24"/>
                <w:highlight w:val="none"/>
                <w:lang w:val="en-US" w:eastAsia="zh-CN" w:bidi="ar"/>
              </w:rPr>
              <w:t>年修改单二级标准，空气质量综合指数</w:t>
            </w:r>
            <w:r>
              <w:rPr>
                <w:rFonts w:hint="eastAsia" w:ascii="Times New Roman" w:hAnsi="Times New Roman" w:eastAsia="宋体" w:cs="Times New Roman"/>
                <w:color w:val="auto"/>
                <w:kern w:val="0"/>
                <w:sz w:val="24"/>
                <w:szCs w:val="24"/>
                <w:highlight w:val="none"/>
                <w:lang w:val="en-US" w:eastAsia="zh-CN" w:bidi="ar"/>
              </w:rPr>
              <w:t>2.40</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202</w:t>
            </w:r>
            <w:r>
              <w:rPr>
                <w:rFonts w:hint="eastAsia" w:ascii="Times New Roman" w:hAnsi="Times New Roman" w:eastAsia="宋体" w:cs="Times New Roman"/>
                <w:color w:val="auto"/>
                <w:kern w:val="0"/>
                <w:sz w:val="24"/>
                <w:szCs w:val="24"/>
                <w:highlight w:val="none"/>
                <w:lang w:val="en-US" w:eastAsia="zh-CN" w:bidi="ar"/>
              </w:rPr>
              <w:t>4</w:t>
            </w:r>
            <w:r>
              <w:rPr>
                <w:rFonts w:hint="eastAsia" w:ascii="宋体" w:hAnsi="宋体" w:eastAsia="宋体" w:cs="宋体"/>
                <w:color w:val="auto"/>
                <w:kern w:val="0"/>
                <w:sz w:val="24"/>
                <w:szCs w:val="24"/>
                <w:highlight w:val="none"/>
                <w:lang w:val="en-US" w:eastAsia="zh-CN" w:bidi="ar"/>
              </w:rPr>
              <w:t>年</w:t>
            </w:r>
            <w:r>
              <w:rPr>
                <w:rFonts w:hint="eastAsia" w:ascii="Times New Roman" w:hAnsi="Times New Roman" w:eastAsia="宋体" w:cs="Times New Roman"/>
                <w:color w:val="auto"/>
                <w:kern w:val="0"/>
                <w:sz w:val="24"/>
                <w:szCs w:val="24"/>
                <w:highlight w:val="none"/>
                <w:lang w:val="en-US" w:eastAsia="zh-CN" w:bidi="ar"/>
              </w:rPr>
              <w:t>12</w:t>
            </w:r>
            <w:r>
              <w:rPr>
                <w:rFonts w:hint="eastAsia" w:ascii="宋体" w:hAnsi="宋体" w:eastAsia="宋体" w:cs="宋体"/>
                <w:color w:val="auto"/>
                <w:kern w:val="0"/>
                <w:sz w:val="24"/>
                <w:szCs w:val="24"/>
                <w:highlight w:val="none"/>
                <w:lang w:val="en-US" w:eastAsia="zh-CN" w:bidi="ar"/>
              </w:rPr>
              <w:t>月罗源县综合指数为</w:t>
            </w:r>
            <w:r>
              <w:rPr>
                <w:rFonts w:hint="eastAsia" w:ascii="Times New Roman" w:hAnsi="Times New Roman" w:eastAsia="宋体" w:cs="Times New Roman"/>
                <w:color w:val="auto"/>
                <w:kern w:val="0"/>
                <w:sz w:val="24"/>
                <w:szCs w:val="24"/>
                <w:highlight w:val="none"/>
                <w:lang w:val="en-US" w:eastAsia="zh-CN" w:bidi="ar"/>
              </w:rPr>
              <w:t>2.70</w:t>
            </w:r>
            <w:r>
              <w:rPr>
                <w:rFonts w:hint="eastAsia" w:ascii="宋体" w:hAnsi="宋体" w:eastAsia="宋体" w:cs="宋体"/>
                <w:color w:val="auto"/>
                <w:kern w:val="0"/>
                <w:sz w:val="24"/>
                <w:szCs w:val="24"/>
                <w:highlight w:val="none"/>
                <w:lang w:val="en-US" w:eastAsia="zh-CN" w:bidi="ar"/>
              </w:rPr>
              <w:t>，达标天数比例为</w:t>
            </w:r>
            <w:r>
              <w:rPr>
                <w:rFonts w:hint="default" w:ascii="Times New Roman" w:hAnsi="Times New Roman" w:eastAsia="宋体" w:cs="Times New Roman"/>
                <w:color w:val="auto"/>
                <w:kern w:val="0"/>
                <w:sz w:val="24"/>
                <w:szCs w:val="24"/>
                <w:highlight w:val="none"/>
                <w:lang w:val="en-US" w:eastAsia="zh-CN" w:bidi="ar"/>
              </w:rPr>
              <w:t>100%</w:t>
            </w:r>
            <w:r>
              <w:rPr>
                <w:rFonts w:hint="eastAsia" w:ascii="宋体" w:hAnsi="宋体" w:eastAsia="宋体" w:cs="宋体"/>
                <w:color w:val="auto"/>
                <w:kern w:val="0"/>
                <w:sz w:val="24"/>
                <w:szCs w:val="24"/>
                <w:highlight w:val="none"/>
                <w:lang w:val="en-US" w:eastAsia="zh-CN" w:bidi="ar"/>
              </w:rPr>
              <w:t>，首要污染物为细颗粒物。综上所述，判定本项目所在评价区域为达标区。</w:t>
            </w:r>
          </w:p>
          <w:p w14:paraId="13A6F893">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2</w:t>
            </w:r>
            <w:r>
              <w:rPr>
                <w:rFonts w:hint="eastAsia" w:ascii="宋体" w:hAnsi="宋体" w:eastAsia="宋体" w:cs="宋体"/>
                <w:color w:val="auto"/>
                <w:kern w:val="0"/>
                <w:sz w:val="24"/>
                <w:szCs w:val="24"/>
                <w:highlight w:val="none"/>
                <w:lang w:val="en-US" w:eastAsia="zh-CN" w:bidi="ar"/>
              </w:rPr>
              <w:t xml:space="preserve">）环境空气质量现状 </w:t>
            </w:r>
          </w:p>
          <w:p w14:paraId="357260D6">
            <w:pPr>
              <w:bidi w:val="0"/>
              <w:rPr>
                <w:rFonts w:hint="eastAsia" w:eastAsia="宋体"/>
                <w:color w:val="auto"/>
                <w:highlight w:val="none"/>
                <w:lang w:eastAsia="zh-CN"/>
              </w:rPr>
            </w:pPr>
            <w:r>
              <w:rPr>
                <w:rFonts w:hint="eastAsia"/>
                <w:color w:val="auto"/>
                <w:highlight w:val="none"/>
                <w:lang w:val="en-US" w:eastAsia="zh-CN"/>
              </w:rPr>
              <w:t>根据罗源县人民政府网站公布的《</w:t>
            </w:r>
            <w:r>
              <w:rPr>
                <w:rFonts w:hint="eastAsia"/>
                <w:color w:val="auto"/>
                <w:highlight w:val="none"/>
              </w:rPr>
              <w:t>罗源县空气质量指数监测结果公示表（2025.</w:t>
            </w:r>
            <w:r>
              <w:rPr>
                <w:rFonts w:hint="eastAsia"/>
                <w:color w:val="auto"/>
                <w:highlight w:val="none"/>
                <w:lang w:val="en-US" w:eastAsia="zh-CN"/>
              </w:rPr>
              <w:t>2</w:t>
            </w:r>
            <w:r>
              <w:rPr>
                <w:rFonts w:hint="eastAsia"/>
                <w:color w:val="auto"/>
                <w:highlight w:val="none"/>
              </w:rPr>
              <w:t>.2</w:t>
            </w:r>
            <w:r>
              <w:rPr>
                <w:rFonts w:hint="eastAsia"/>
                <w:color w:val="auto"/>
                <w:highlight w:val="none"/>
                <w:lang w:val="en-US" w:eastAsia="zh-CN"/>
              </w:rPr>
              <w:t>3</w:t>
            </w:r>
            <w:r>
              <w:rPr>
                <w:rFonts w:hint="eastAsia"/>
                <w:color w:val="auto"/>
                <w:highlight w:val="none"/>
              </w:rPr>
              <w:t>）</w:t>
            </w:r>
            <w:r>
              <w:rPr>
                <w:rFonts w:hint="eastAsia"/>
                <w:color w:val="auto"/>
                <w:highlight w:val="none"/>
                <w:lang w:val="en-US" w:eastAsia="zh-CN"/>
              </w:rPr>
              <w:t>》，</w:t>
            </w:r>
            <w:r>
              <w:rPr>
                <w:color w:val="auto"/>
                <w:highlight w:val="none"/>
              </w:rPr>
              <w:t>罗源县空气质量指数（AQI）为</w:t>
            </w:r>
            <w:r>
              <w:rPr>
                <w:rFonts w:hint="eastAsia"/>
                <w:color w:val="auto"/>
                <w:highlight w:val="none"/>
                <w:lang w:val="en-US" w:eastAsia="zh-CN"/>
              </w:rPr>
              <w:t>2</w:t>
            </w:r>
            <w:r>
              <w:rPr>
                <w:color w:val="auto"/>
                <w:highlight w:val="none"/>
              </w:rPr>
              <w:t>9；其中罗源一中AQI=</w:t>
            </w:r>
            <w:r>
              <w:rPr>
                <w:rFonts w:hint="eastAsia"/>
                <w:color w:val="auto"/>
                <w:highlight w:val="none"/>
                <w:lang w:val="en-US" w:eastAsia="zh-CN"/>
              </w:rPr>
              <w:t>29</w:t>
            </w:r>
            <w:r>
              <w:rPr>
                <w:color w:val="auto"/>
                <w:highlight w:val="none"/>
              </w:rPr>
              <w:t>；</w:t>
            </w:r>
            <w:r>
              <w:rPr>
                <w:rFonts w:hint="eastAsia"/>
                <w:color w:val="auto"/>
                <w:highlight w:val="none"/>
                <w:lang w:val="en-US" w:eastAsia="zh-CN"/>
              </w:rPr>
              <w:t>优</w:t>
            </w:r>
            <w:r>
              <w:rPr>
                <w:color w:val="auto"/>
                <w:highlight w:val="none"/>
              </w:rPr>
              <w:t>；罗源环保局AQI=</w:t>
            </w:r>
            <w:r>
              <w:rPr>
                <w:rFonts w:hint="eastAsia"/>
                <w:color w:val="auto"/>
                <w:highlight w:val="none"/>
                <w:lang w:val="en-US" w:eastAsia="zh-CN"/>
              </w:rPr>
              <w:t>29</w:t>
            </w:r>
            <w:r>
              <w:rPr>
                <w:color w:val="auto"/>
                <w:highlight w:val="none"/>
              </w:rPr>
              <w:t>；</w:t>
            </w:r>
            <w:r>
              <w:rPr>
                <w:rFonts w:hint="eastAsia"/>
                <w:color w:val="auto"/>
                <w:highlight w:val="none"/>
                <w:lang w:val="en-US" w:eastAsia="zh-CN"/>
              </w:rPr>
              <w:t>优</w:t>
            </w:r>
            <w:r>
              <w:rPr>
                <w:color w:val="auto"/>
                <w:highlight w:val="none"/>
              </w:rPr>
              <w:t>；滨海新城三中AQI=</w:t>
            </w:r>
            <w:r>
              <w:rPr>
                <w:rFonts w:hint="eastAsia"/>
                <w:color w:val="auto"/>
                <w:highlight w:val="none"/>
                <w:lang w:val="en-US" w:eastAsia="zh-CN"/>
              </w:rPr>
              <w:t>29</w:t>
            </w:r>
            <w:r>
              <w:rPr>
                <w:color w:val="auto"/>
                <w:highlight w:val="none"/>
              </w:rPr>
              <w:t>；</w:t>
            </w:r>
            <w:r>
              <w:rPr>
                <w:rFonts w:hint="eastAsia"/>
                <w:color w:val="auto"/>
                <w:highlight w:val="none"/>
                <w:lang w:val="en-US" w:eastAsia="zh-CN"/>
              </w:rPr>
              <w:t>优</w:t>
            </w:r>
            <w:r>
              <w:rPr>
                <w:rFonts w:hint="eastAsia"/>
                <w:color w:val="auto"/>
                <w:highlight w:val="none"/>
                <w:lang w:eastAsia="zh-CN"/>
              </w:rPr>
              <w:t>。</w:t>
            </w:r>
          </w:p>
          <w:p w14:paraId="04B20272">
            <w:pPr>
              <w:ind w:left="0" w:leftChars="0" w:firstLine="0" w:firstLineChars="0"/>
              <w:rPr>
                <w:color w:val="auto"/>
                <w:highlight w:val="none"/>
              </w:rPr>
            </w:pPr>
            <w:r>
              <w:rPr>
                <w:color w:val="auto"/>
                <w:highlight w:val="none"/>
              </w:rPr>
              <w:drawing>
                <wp:inline distT="0" distB="0" distL="114300" distR="114300">
                  <wp:extent cx="5144135" cy="2178685"/>
                  <wp:effectExtent l="0" t="0" r="18415" b="12065"/>
                  <wp:docPr id="12"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3"/>
                          <pic:cNvPicPr>
                            <a:picLocks noChangeAspect="1"/>
                          </pic:cNvPicPr>
                        </pic:nvPicPr>
                        <pic:blipFill>
                          <a:blip r:embed="rId23"/>
                          <a:stretch>
                            <a:fillRect/>
                          </a:stretch>
                        </pic:blipFill>
                        <pic:spPr>
                          <a:xfrm>
                            <a:off x="0" y="0"/>
                            <a:ext cx="5144135" cy="2178685"/>
                          </a:xfrm>
                          <a:prstGeom prst="rect">
                            <a:avLst/>
                          </a:prstGeom>
                          <a:noFill/>
                          <a:ln>
                            <a:noFill/>
                          </a:ln>
                        </pic:spPr>
                      </pic:pic>
                    </a:graphicData>
                  </a:graphic>
                </wp:inline>
              </w:drawing>
            </w:r>
          </w:p>
          <w:p w14:paraId="42B89B92">
            <w:pPr>
              <w:keepNext w:val="0"/>
              <w:keepLines w:val="0"/>
              <w:widowControl/>
              <w:suppressLineNumbers w:val="0"/>
              <w:ind w:left="0" w:leftChars="0" w:firstLine="0" w:firstLineChars="0"/>
              <w:jc w:val="center"/>
              <w:rPr>
                <w:color w:val="auto"/>
                <w:highlight w:val="none"/>
              </w:rPr>
            </w:pPr>
            <w:r>
              <w:rPr>
                <w:rFonts w:hint="eastAsia"/>
                <w:b/>
                <w:bCs/>
                <w:color w:val="auto"/>
                <w:highlight w:val="none"/>
                <w:lang w:val="en-US" w:eastAsia="zh-CN"/>
              </w:rPr>
              <w:t>图</w:t>
            </w:r>
            <w:r>
              <w:rPr>
                <w:rFonts w:hint="default"/>
                <w:b/>
                <w:bCs/>
                <w:color w:val="auto"/>
                <w:highlight w:val="none"/>
                <w:lang w:val="en-US" w:eastAsia="zh-CN"/>
              </w:rPr>
              <w:t xml:space="preserve">3.1-1 </w:t>
            </w:r>
            <w:r>
              <w:rPr>
                <w:rFonts w:hint="eastAsia"/>
                <w:b/>
                <w:bCs/>
                <w:color w:val="auto"/>
                <w:highlight w:val="none"/>
                <w:lang w:val="en-US" w:eastAsia="zh-CN"/>
              </w:rPr>
              <w:t xml:space="preserve"> 罗源县人民政府网站公示截图</w:t>
            </w:r>
          </w:p>
          <w:p w14:paraId="78BC2D81">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3</w:t>
            </w:r>
            <w:r>
              <w:rPr>
                <w:rFonts w:hint="eastAsia" w:ascii="宋体" w:hAnsi="宋体" w:eastAsia="宋体" w:cs="宋体"/>
                <w:color w:val="auto"/>
                <w:kern w:val="0"/>
                <w:sz w:val="24"/>
                <w:szCs w:val="24"/>
                <w:highlight w:val="none"/>
                <w:lang w:val="en-US" w:eastAsia="zh-CN" w:bidi="ar"/>
              </w:rPr>
              <w:t xml:space="preserve">）特征因子监测数据 </w:t>
            </w:r>
          </w:p>
          <w:p w14:paraId="3E0BE530">
            <w:pPr>
              <w:keepNext w:val="0"/>
              <w:keepLines w:val="0"/>
              <w:widowControl/>
              <w:suppressLineNumbers w:val="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highlight w:val="none"/>
              </w:rPr>
              <w:t>为了解项目周边大气环境质量现状，结合项目特征，确定项目大气环境现状调查特征污染物因子为</w:t>
            </w:r>
            <w:r>
              <w:rPr>
                <w:rFonts w:hint="default" w:ascii="Times New Roman" w:hAnsi="Times New Roman" w:cs="Times New Roman"/>
                <w:color w:val="auto"/>
                <w:sz w:val="24"/>
                <w:highlight w:val="none"/>
                <w:lang w:val="en-US" w:eastAsia="zh-CN"/>
              </w:rPr>
              <w:t>TSP和</w:t>
            </w:r>
            <w:r>
              <w:rPr>
                <w:rFonts w:hint="eastAsia" w:ascii="Times New Roman" w:hAnsi="Times New Roman" w:eastAsia="宋体" w:cs="Times New Roman"/>
                <w:color w:val="auto"/>
                <w:szCs w:val="21"/>
                <w:highlight w:val="none"/>
                <w:lang w:val="en-US" w:eastAsia="zh-CN"/>
              </w:rPr>
              <w:t>苯并[a]芘</w:t>
            </w:r>
            <w:r>
              <w:rPr>
                <w:rFonts w:hint="default" w:ascii="Times New Roman" w:hAnsi="Times New Roman" w:cs="Times New Roman"/>
                <w:color w:val="auto"/>
                <w:sz w:val="24"/>
                <w:highlight w:val="none"/>
              </w:rPr>
              <w:t>。本次评价</w:t>
            </w:r>
            <w:r>
              <w:rPr>
                <w:rFonts w:hint="default" w:ascii="Times New Roman" w:hAnsi="Times New Roman" w:eastAsia="宋体" w:cs="Times New Roman"/>
                <w:color w:val="auto"/>
                <w:sz w:val="24"/>
                <w:highlight w:val="none"/>
              </w:rPr>
              <w:t>TSP</w:t>
            </w:r>
            <w:r>
              <w:rPr>
                <w:rFonts w:hint="default" w:ascii="Times New Roman" w:hAnsi="Times New Roman" w:eastAsia="宋体" w:cs="Times New Roman"/>
                <w:color w:val="auto"/>
                <w:sz w:val="24"/>
                <w:highlight w:val="none"/>
                <w:lang w:val="en-US" w:eastAsia="zh-CN"/>
              </w:rPr>
              <w:t>现状监测数据</w:t>
            </w:r>
            <w:r>
              <w:rPr>
                <w:rFonts w:hint="default" w:ascii="Times New Roman" w:hAnsi="Times New Roman" w:eastAsia="宋体" w:cs="Times New Roman"/>
                <w:color w:val="auto"/>
                <w:sz w:val="24"/>
                <w:highlight w:val="none"/>
              </w:rPr>
              <w:t>引用《</w:t>
            </w:r>
            <w:r>
              <w:rPr>
                <w:rFonts w:hint="default" w:ascii="Times New Roman" w:hAnsi="Times New Roman" w:eastAsia="宋体" w:cs="Times New Roman"/>
                <w:color w:val="auto"/>
                <w:sz w:val="24"/>
                <w:highlight w:val="none"/>
                <w:lang w:val="en-US" w:eastAsia="zh-CN"/>
              </w:rPr>
              <w:t>源申年产120万吨钢渣粉新建项目</w:t>
            </w:r>
            <w:r>
              <w:rPr>
                <w:rFonts w:hint="default" w:ascii="Times New Roman" w:hAnsi="Times New Roman" w:eastAsia="宋体" w:cs="Times New Roman"/>
                <w:color w:val="auto"/>
                <w:sz w:val="24"/>
                <w:highlight w:val="none"/>
              </w:rPr>
              <w:t>环境影响报</w:t>
            </w:r>
            <w:r>
              <w:rPr>
                <w:rFonts w:hint="default" w:ascii="Times New Roman" w:hAnsi="Times New Roman" w:cs="Times New Roman"/>
                <w:color w:val="auto"/>
                <w:sz w:val="24"/>
                <w:highlight w:val="none"/>
              </w:rPr>
              <w:t>告表》中监测数据，由福建中科环境检测技术有限公司于202</w:t>
            </w:r>
            <w:r>
              <w:rPr>
                <w:rFonts w:hint="eastAsia" w:ascii="Times New Roman" w:hAnsi="Times New Roman" w:cs="Times New Roman"/>
                <w:color w:val="auto"/>
                <w:sz w:val="24"/>
                <w:highlight w:val="none"/>
                <w:lang w:val="en-US" w:eastAsia="zh-CN"/>
              </w:rPr>
              <w:t>3</w:t>
            </w:r>
            <w:r>
              <w:rPr>
                <w:rFonts w:hint="default" w:ascii="Times New Roman" w:hAnsi="Times New Roman" w:cs="Times New Roman"/>
                <w:color w:val="auto"/>
                <w:sz w:val="24"/>
                <w:highlight w:val="none"/>
              </w:rPr>
              <w:t>年</w:t>
            </w:r>
            <w:r>
              <w:rPr>
                <w:rFonts w:hint="eastAsia" w:ascii="Times New Roman" w:hAnsi="Times New Roman" w:cs="Times New Roman"/>
                <w:color w:val="auto"/>
                <w:sz w:val="24"/>
                <w:highlight w:val="none"/>
                <w:lang w:val="en-US" w:eastAsia="zh-CN"/>
              </w:rPr>
              <w:t>10</w:t>
            </w:r>
            <w:r>
              <w:rPr>
                <w:rFonts w:hint="default" w:ascii="Times New Roman" w:hAnsi="Times New Roman" w:cs="Times New Roman"/>
                <w:color w:val="auto"/>
                <w:sz w:val="24"/>
                <w:highlight w:val="none"/>
              </w:rPr>
              <w:t>月1</w:t>
            </w:r>
            <w:r>
              <w:rPr>
                <w:rFonts w:hint="eastAsia"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rPr>
              <w:t>日至202</w:t>
            </w:r>
            <w:r>
              <w:rPr>
                <w:rFonts w:hint="eastAsia" w:ascii="Times New Roman" w:hAnsi="Times New Roman" w:cs="Times New Roman"/>
                <w:color w:val="auto"/>
                <w:sz w:val="24"/>
                <w:highlight w:val="none"/>
                <w:lang w:val="en-US" w:eastAsia="zh-CN"/>
              </w:rPr>
              <w:t>3</w:t>
            </w:r>
            <w:r>
              <w:rPr>
                <w:rFonts w:hint="default" w:ascii="Times New Roman" w:hAnsi="Times New Roman" w:cs="Times New Roman"/>
                <w:color w:val="auto"/>
                <w:sz w:val="24"/>
                <w:highlight w:val="none"/>
              </w:rPr>
              <w:t>年</w:t>
            </w:r>
            <w:r>
              <w:rPr>
                <w:rFonts w:hint="eastAsia" w:ascii="Times New Roman" w:hAnsi="Times New Roman" w:cs="Times New Roman"/>
                <w:color w:val="auto"/>
                <w:sz w:val="24"/>
                <w:highlight w:val="none"/>
                <w:lang w:val="en-US" w:eastAsia="zh-CN"/>
              </w:rPr>
              <w:t>10</w:t>
            </w:r>
            <w:r>
              <w:rPr>
                <w:rFonts w:hint="default" w:ascii="Times New Roman" w:hAnsi="Times New Roman" w:cs="Times New Roman"/>
                <w:color w:val="auto"/>
                <w:sz w:val="24"/>
                <w:highlight w:val="none"/>
              </w:rPr>
              <w:t>月</w:t>
            </w:r>
            <w:r>
              <w:rPr>
                <w:rFonts w:hint="eastAsia" w:ascii="Times New Roman" w:hAnsi="Times New Roman" w:cs="Times New Roman"/>
                <w:color w:val="auto"/>
                <w:sz w:val="24"/>
                <w:highlight w:val="none"/>
                <w:lang w:val="en-US" w:eastAsia="zh-CN"/>
              </w:rPr>
              <w:t>17</w:t>
            </w:r>
            <w:r>
              <w:rPr>
                <w:rFonts w:hint="default" w:ascii="Times New Roman" w:hAnsi="Times New Roman" w:cs="Times New Roman"/>
                <w:color w:val="auto"/>
                <w:sz w:val="24"/>
                <w:highlight w:val="none"/>
              </w:rPr>
              <w:t>日监测，监测点位（</w:t>
            </w:r>
            <w:r>
              <w:rPr>
                <w:rFonts w:hint="eastAsia" w:ascii="Times New Roman" w:hAnsi="Times New Roman" w:cs="Times New Roman"/>
                <w:color w:val="auto"/>
                <w:sz w:val="24"/>
                <w:highlight w:val="none"/>
                <w:lang w:val="en-US" w:eastAsia="zh-CN"/>
              </w:rPr>
              <w:t>Q</w:t>
            </w:r>
            <w:r>
              <w:rPr>
                <w:rFonts w:hint="default" w:ascii="Times New Roman" w:hAnsi="Times New Roman" w:cs="Times New Roman"/>
                <w:color w:val="auto"/>
                <w:sz w:val="24"/>
                <w:highlight w:val="none"/>
              </w:rPr>
              <w:t>1）位于本项目东</w:t>
            </w:r>
            <w:r>
              <w:rPr>
                <w:rFonts w:hint="eastAsia" w:ascii="Times New Roman" w:hAnsi="Times New Roman" w:cs="Times New Roman"/>
                <w:color w:val="auto"/>
                <w:sz w:val="24"/>
                <w:highlight w:val="none"/>
                <w:lang w:val="en-US" w:eastAsia="zh-CN"/>
              </w:rPr>
              <w:t>北</w:t>
            </w:r>
            <w:r>
              <w:rPr>
                <w:rFonts w:hint="default" w:ascii="Times New Roman" w:hAnsi="Times New Roman" w:cs="Times New Roman"/>
                <w:color w:val="auto"/>
                <w:sz w:val="24"/>
                <w:highlight w:val="none"/>
              </w:rPr>
              <w:t>侧</w:t>
            </w:r>
            <w:r>
              <w:rPr>
                <w:rFonts w:hint="eastAsia" w:ascii="Times New Roman" w:hAnsi="Times New Roman" w:cs="Times New Roman"/>
                <w:color w:val="auto"/>
                <w:sz w:val="24"/>
                <w:highlight w:val="none"/>
                <w:lang w:val="en-US" w:eastAsia="zh-CN"/>
              </w:rPr>
              <w:t>1316</w:t>
            </w:r>
            <w:r>
              <w:rPr>
                <w:rFonts w:hint="default" w:ascii="Times New Roman" w:hAnsi="Times New Roman" w:cs="Times New Roman"/>
                <w:color w:val="auto"/>
                <w:sz w:val="24"/>
                <w:highlight w:val="none"/>
              </w:rPr>
              <w:t>m处，监测日期为近三年，因此引用数据可行</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具体结果见表3.</w:t>
            </w:r>
            <w:r>
              <w:rPr>
                <w:rFonts w:hint="eastAsia" w:ascii="Times New Roman" w:hAnsi="Times New Roman" w:cs="Times New Roman"/>
                <w:color w:val="auto"/>
                <w:sz w:val="24"/>
                <w:highlight w:val="none"/>
                <w:lang w:val="en-US" w:eastAsia="zh-CN"/>
              </w:rPr>
              <w:t>1</w:t>
            </w:r>
            <w:r>
              <w:rPr>
                <w:rFonts w:hint="default" w:ascii="Times New Roman" w:hAnsi="Times New Roman" w:cs="Times New Roman"/>
                <w:color w:val="auto"/>
                <w:sz w:val="24"/>
                <w:highlight w:val="none"/>
              </w:rPr>
              <w:t>-</w:t>
            </w:r>
            <w:r>
              <w:rPr>
                <w:rFonts w:hint="eastAsia"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rPr>
              <w:t>，监测点位图见图3.</w:t>
            </w:r>
            <w:r>
              <w:rPr>
                <w:rFonts w:hint="eastAsia" w:ascii="Times New Roman" w:hAnsi="Times New Roman" w:cs="Times New Roman"/>
                <w:color w:val="auto"/>
                <w:sz w:val="24"/>
                <w:highlight w:val="none"/>
                <w:lang w:val="en-US" w:eastAsia="zh-CN"/>
              </w:rPr>
              <w:t>1</w:t>
            </w:r>
            <w:r>
              <w:rPr>
                <w:rFonts w:hint="default" w:ascii="Times New Roman" w:hAnsi="Times New Roman" w:cs="Times New Roman"/>
                <w:color w:val="auto"/>
                <w:sz w:val="24"/>
                <w:highlight w:val="none"/>
              </w:rPr>
              <w:t>-</w:t>
            </w:r>
            <w:r>
              <w:rPr>
                <w:rFonts w:hint="eastAsia" w:ascii="Times New Roman" w:hAnsi="Times New Roman" w:cs="Times New Roman"/>
                <w:color w:val="auto"/>
                <w:sz w:val="24"/>
                <w:highlight w:val="none"/>
                <w:lang w:val="en-US" w:eastAsia="zh-CN"/>
              </w:rPr>
              <w:t>2</w:t>
            </w:r>
            <w:r>
              <w:rPr>
                <w:rFonts w:hint="eastAsia" w:ascii="Times New Roman" w:hAnsi="Times New Roman" w:cs="Times New Roman"/>
                <w:color w:val="auto"/>
                <w:sz w:val="24"/>
                <w:highlight w:val="none"/>
                <w:lang w:eastAsia="zh-CN"/>
              </w:rPr>
              <w:t>。</w:t>
            </w:r>
            <w:r>
              <w:rPr>
                <w:rFonts w:hint="eastAsia" w:ascii="Times New Roman" w:hAnsi="Times New Roman" w:eastAsia="宋体" w:cs="Times New Roman"/>
                <w:color w:val="auto"/>
                <w:szCs w:val="21"/>
                <w:highlight w:val="none"/>
                <w:lang w:val="en-US" w:eastAsia="zh-CN"/>
              </w:rPr>
              <w:t>苯并[</w:t>
            </w:r>
            <w:r>
              <w:rPr>
                <w:rFonts w:hint="eastAsia" w:ascii="Times New Roman" w:hAnsi="Times New Roman" w:cs="Times New Roman"/>
                <w:color w:val="auto"/>
                <w:sz w:val="24"/>
                <w:highlight w:val="none"/>
                <w:lang w:val="en-US" w:eastAsia="zh-CN"/>
              </w:rPr>
              <w:t>a]芘</w:t>
            </w:r>
            <w:r>
              <w:rPr>
                <w:rFonts w:hint="default" w:ascii="Times New Roman" w:hAnsi="Times New Roman" w:cs="Times New Roman"/>
                <w:color w:val="auto"/>
                <w:sz w:val="24"/>
                <w:highlight w:val="none"/>
              </w:rPr>
              <w:t>现状监测数据引用</w:t>
            </w:r>
            <w:r>
              <w:rPr>
                <w:rFonts w:hint="default" w:ascii="Times New Roman" w:hAnsi="Times New Roman" w:cs="Times New Roman"/>
                <w:color w:val="auto"/>
                <w:sz w:val="24"/>
                <w:highlight w:val="none"/>
                <w:lang w:val="en-US" w:eastAsia="zh-CN"/>
              </w:rPr>
              <w:t>福建九五检测技术服务有限公司于</w:t>
            </w:r>
            <w:r>
              <w:rPr>
                <w:rFonts w:hint="default" w:ascii="Times New Roman" w:hAnsi="Times New Roman" w:cs="Times New Roman"/>
                <w:color w:val="auto"/>
                <w:sz w:val="24"/>
                <w:highlight w:val="none"/>
              </w:rPr>
              <w:t>20</w:t>
            </w:r>
            <w:r>
              <w:rPr>
                <w:rFonts w:hint="default" w:ascii="Times New Roman" w:hAnsi="Times New Roman" w:cs="Times New Roman"/>
                <w:color w:val="auto"/>
                <w:sz w:val="24"/>
                <w:highlight w:val="none"/>
                <w:lang w:val="en-US" w:eastAsia="zh-CN"/>
              </w:rPr>
              <w:t>2</w:t>
            </w:r>
            <w:r>
              <w:rPr>
                <w:rFonts w:hint="eastAsia"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rPr>
              <w:t>年</w:t>
            </w:r>
            <w:r>
              <w:rPr>
                <w:rFonts w:hint="eastAsia" w:ascii="Times New Roman" w:hAnsi="Times New Roman" w:cs="Times New Roman"/>
                <w:color w:val="auto"/>
                <w:sz w:val="24"/>
                <w:highlight w:val="none"/>
                <w:lang w:val="en-US" w:eastAsia="zh-CN"/>
              </w:rPr>
              <w:t>3</w:t>
            </w:r>
            <w:r>
              <w:rPr>
                <w:rFonts w:hint="default" w:ascii="Times New Roman" w:hAnsi="Times New Roman" w:cs="Times New Roman"/>
                <w:color w:val="auto"/>
                <w:sz w:val="24"/>
                <w:highlight w:val="none"/>
              </w:rPr>
              <w:t>月</w:t>
            </w:r>
            <w:r>
              <w:rPr>
                <w:rFonts w:hint="eastAsia" w:ascii="Times New Roman" w:hAnsi="Times New Roman" w:cs="Times New Roman"/>
                <w:color w:val="auto"/>
                <w:sz w:val="24"/>
                <w:highlight w:val="none"/>
                <w:lang w:val="en-US" w:eastAsia="zh-CN"/>
              </w:rPr>
              <w:t>7</w:t>
            </w:r>
            <w:r>
              <w:rPr>
                <w:rFonts w:hint="default" w:ascii="Times New Roman" w:hAnsi="Times New Roman" w:cs="Times New Roman"/>
                <w:color w:val="auto"/>
                <w:sz w:val="24"/>
                <w:highlight w:val="none"/>
              </w:rPr>
              <w:t>日至20</w:t>
            </w:r>
            <w:r>
              <w:rPr>
                <w:rFonts w:hint="default" w:ascii="Times New Roman" w:hAnsi="Times New Roman" w:cs="Times New Roman"/>
                <w:color w:val="auto"/>
                <w:sz w:val="24"/>
                <w:highlight w:val="none"/>
                <w:lang w:val="en-US" w:eastAsia="zh-CN"/>
              </w:rPr>
              <w:t>2</w:t>
            </w:r>
            <w:r>
              <w:rPr>
                <w:rFonts w:hint="eastAsia"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rPr>
              <w:t>年</w:t>
            </w:r>
            <w:r>
              <w:rPr>
                <w:rFonts w:hint="eastAsia" w:ascii="Times New Roman" w:hAnsi="Times New Roman" w:cs="Times New Roman"/>
                <w:color w:val="auto"/>
                <w:sz w:val="24"/>
                <w:highlight w:val="none"/>
                <w:lang w:val="en-US" w:eastAsia="zh-CN"/>
              </w:rPr>
              <w:t>3</w:t>
            </w:r>
            <w:r>
              <w:rPr>
                <w:rFonts w:hint="default" w:ascii="Times New Roman" w:hAnsi="Times New Roman" w:cs="Times New Roman"/>
                <w:color w:val="auto"/>
                <w:sz w:val="24"/>
                <w:highlight w:val="none"/>
              </w:rPr>
              <w:t>月</w:t>
            </w:r>
            <w:r>
              <w:rPr>
                <w:rFonts w:hint="eastAsia" w:ascii="Times New Roman" w:hAnsi="Times New Roman" w:cs="Times New Roman"/>
                <w:color w:val="auto"/>
                <w:sz w:val="24"/>
                <w:highlight w:val="none"/>
                <w:lang w:val="en-US" w:eastAsia="zh-CN"/>
              </w:rPr>
              <w:t>9</w:t>
            </w:r>
            <w:r>
              <w:rPr>
                <w:rFonts w:hint="default" w:ascii="Times New Roman" w:hAnsi="Times New Roman" w:cs="Times New Roman"/>
                <w:color w:val="auto"/>
                <w:sz w:val="24"/>
                <w:highlight w:val="none"/>
              </w:rPr>
              <w:t>日</w:t>
            </w:r>
            <w:r>
              <w:rPr>
                <w:rFonts w:hint="default" w:ascii="Times New Roman" w:hAnsi="Times New Roman" w:cs="Times New Roman"/>
                <w:color w:val="auto"/>
                <w:sz w:val="24"/>
                <w:highlight w:val="none"/>
                <w:lang w:val="en-US" w:eastAsia="zh-CN"/>
              </w:rPr>
              <w:t>对本项目</w:t>
            </w:r>
            <w:r>
              <w:rPr>
                <w:rFonts w:hint="eastAsia" w:ascii="Times New Roman" w:hAnsi="Times New Roman" w:cs="Times New Roman"/>
                <w:color w:val="auto"/>
                <w:sz w:val="24"/>
                <w:highlight w:val="none"/>
                <w:lang w:val="en-US" w:eastAsia="zh-CN"/>
              </w:rPr>
              <w:t>侧</w:t>
            </w:r>
            <w:r>
              <w:rPr>
                <w:rFonts w:hint="default" w:ascii="Times New Roman" w:hAnsi="Times New Roman" w:cs="Times New Roman"/>
                <w:color w:val="auto"/>
                <w:sz w:val="24"/>
                <w:highlight w:val="none"/>
                <w:lang w:val="en-US" w:eastAsia="zh-CN"/>
              </w:rPr>
              <w:t>风向（</w:t>
            </w:r>
            <w:r>
              <w:rPr>
                <w:rFonts w:hint="eastAsia" w:ascii="Times New Roman" w:hAnsi="Times New Roman" w:cs="Times New Roman"/>
                <w:color w:val="auto"/>
                <w:sz w:val="24"/>
                <w:highlight w:val="none"/>
                <w:lang w:val="en-US" w:eastAsia="zh-CN"/>
              </w:rPr>
              <w:t>G</w:t>
            </w:r>
            <w:r>
              <w:rPr>
                <w:rFonts w:hint="default" w:ascii="Times New Roman" w:hAnsi="Times New Roman" w:cs="Times New Roman"/>
                <w:color w:val="auto"/>
                <w:sz w:val="24"/>
                <w:highlight w:val="none"/>
                <w:lang w:val="en-US" w:eastAsia="zh-CN"/>
              </w:rPr>
              <w:t>1）的检测数据（报告编号：JWJC250306002，详见附件11）</w:t>
            </w:r>
            <w:r>
              <w:rPr>
                <w:rFonts w:hint="default" w:ascii="Times New Roman" w:hAnsi="Times New Roman" w:cs="Times New Roman"/>
                <w:color w:val="auto"/>
                <w:sz w:val="24"/>
                <w:highlight w:val="none"/>
              </w:rPr>
              <w:t>，具体监测结果见表</w:t>
            </w:r>
            <w:r>
              <w:rPr>
                <w:rFonts w:hint="default" w:ascii="Times New Roman" w:hAnsi="Times New Roman" w:cs="Times New Roman"/>
                <w:color w:val="auto"/>
                <w:sz w:val="24"/>
                <w:highlight w:val="none"/>
                <w:lang w:val="en-US" w:eastAsia="zh-CN"/>
              </w:rPr>
              <w:t>3.</w:t>
            </w:r>
            <w:r>
              <w:rPr>
                <w:rFonts w:hint="eastAsia" w:ascii="Times New Roman" w:hAnsi="Times New Roman" w:cs="Times New Roman"/>
                <w:color w:val="auto"/>
                <w:sz w:val="24"/>
                <w:highlight w:val="none"/>
                <w:lang w:val="en-US" w:eastAsia="zh-CN"/>
              </w:rPr>
              <w:t>1</w:t>
            </w:r>
            <w:r>
              <w:rPr>
                <w:rFonts w:hint="default" w:ascii="Times New Roman" w:hAnsi="Times New Roman"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3</w:t>
            </w:r>
            <w:r>
              <w:rPr>
                <w:rFonts w:hint="default" w:ascii="Times New Roman" w:hAnsi="Times New Roman" w:cs="Times New Roman"/>
                <w:color w:val="auto"/>
                <w:sz w:val="24"/>
                <w:highlight w:val="none"/>
                <w:lang w:val="en-US" w:eastAsia="zh-CN"/>
              </w:rPr>
              <w:t>。</w:t>
            </w:r>
          </w:p>
          <w:p w14:paraId="4F7E88C2">
            <w:pPr>
              <w:keepNext w:val="0"/>
              <w:keepLines w:val="0"/>
              <w:widowControl/>
              <w:suppressLineNumbers w:val="0"/>
              <w:ind w:left="0" w:leftChars="0" w:firstLine="0" w:firstLineChars="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表3.</w:t>
            </w:r>
            <w:r>
              <w:rPr>
                <w:rFonts w:hint="eastAsia" w:ascii="Times New Roman" w:hAnsi="Times New Roman" w:eastAsia="宋体" w:cs="Times New Roman"/>
                <w:b/>
                <w:bCs/>
                <w:color w:val="auto"/>
                <w:highlight w:val="none"/>
                <w:lang w:val="en-US" w:eastAsia="zh-CN"/>
              </w:rPr>
              <w:t>1</w:t>
            </w:r>
            <w:r>
              <w:rPr>
                <w:rFonts w:hint="default" w:ascii="Times New Roman" w:hAnsi="Times New Roman" w:eastAsia="宋体" w:cs="Times New Roman"/>
                <w:b/>
                <w:bCs/>
                <w:color w:val="auto"/>
                <w:highlight w:val="none"/>
                <w:lang w:val="en-US" w:eastAsia="zh-CN"/>
              </w:rPr>
              <w:t>-2  TSP现状监测结果</w:t>
            </w:r>
          </w:p>
          <w:p w14:paraId="338C6C2B">
            <w:pPr>
              <w:adjustRightInd w:val="0"/>
              <w:snapToGrid w:val="0"/>
              <w:ind w:left="0" w:leftChars="0" w:firstLine="0" w:firstLineChars="0"/>
              <w:jc w:val="both"/>
              <w:rPr>
                <w:rFonts w:hint="default" w:ascii="Times New Roman" w:hAnsi="Times New Roman" w:cs="Times New Roman"/>
                <w:b/>
                <w:bCs/>
                <w:color w:val="auto"/>
                <w:sz w:val="24"/>
                <w:highlight w:val="none"/>
              </w:rPr>
            </w:pPr>
          </w:p>
          <w:p w14:paraId="20C5DFBA">
            <w:pPr>
              <w:keepNext w:val="0"/>
              <w:keepLines w:val="0"/>
              <w:widowControl/>
              <w:suppressLineNumbers w:val="0"/>
              <w:ind w:left="0" w:leftChars="0" w:firstLine="0" w:firstLineChars="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表3.</w:t>
            </w:r>
            <w:r>
              <w:rPr>
                <w:rFonts w:hint="eastAsia" w:ascii="Times New Roman" w:hAnsi="Times New Roman" w:eastAsia="宋体" w:cs="Times New Roman"/>
                <w:b/>
                <w:bCs/>
                <w:color w:val="auto"/>
                <w:highlight w:val="none"/>
                <w:lang w:val="en-US" w:eastAsia="zh-CN"/>
              </w:rPr>
              <w:t>1</w:t>
            </w:r>
            <w:r>
              <w:rPr>
                <w:rFonts w:hint="default" w:ascii="Times New Roman" w:hAnsi="Times New Roman" w:eastAsia="宋体" w:cs="Times New Roman"/>
                <w:b/>
                <w:bCs/>
                <w:color w:val="auto"/>
                <w:highlight w:val="none"/>
                <w:lang w:val="en-US" w:eastAsia="zh-CN"/>
              </w:rPr>
              <w:t xml:space="preserve">-3  </w:t>
            </w:r>
            <w:r>
              <w:rPr>
                <w:rFonts w:hint="eastAsia" w:ascii="Times New Roman" w:hAnsi="Times New Roman" w:eastAsia="宋体" w:cs="Times New Roman"/>
                <w:b/>
                <w:bCs/>
                <w:color w:val="auto"/>
                <w:highlight w:val="none"/>
                <w:lang w:val="en-US" w:eastAsia="zh-CN"/>
              </w:rPr>
              <w:t>苯并[a]芘</w:t>
            </w:r>
            <w:r>
              <w:rPr>
                <w:rFonts w:hint="default" w:ascii="Times New Roman" w:hAnsi="Times New Roman" w:eastAsia="宋体" w:cs="Times New Roman"/>
                <w:b/>
                <w:bCs/>
                <w:color w:val="auto"/>
                <w:highlight w:val="none"/>
                <w:lang w:val="en-US" w:eastAsia="zh-CN"/>
              </w:rPr>
              <w:t>现状监测结果</w:t>
            </w:r>
          </w:p>
          <w:p w14:paraId="70D61F90">
            <w:pPr>
              <w:adjustRightInd w:val="0"/>
              <w:snapToGrid w:val="0"/>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sz w:val="24"/>
                <w:highlight w:val="none"/>
              </w:rPr>
              <w:t>由上表监测结果可</w:t>
            </w:r>
            <w:r>
              <w:rPr>
                <w:rFonts w:hint="default" w:ascii="Times New Roman" w:hAnsi="Times New Roman" w:eastAsia="宋体" w:cs="Times New Roman"/>
                <w:color w:val="auto"/>
                <w:sz w:val="24"/>
                <w:highlight w:val="none"/>
              </w:rPr>
              <w:t>知，项目区域内的</w:t>
            </w:r>
            <w:r>
              <w:rPr>
                <w:rFonts w:hint="default" w:ascii="Times New Roman" w:hAnsi="Times New Roman" w:eastAsia="宋体" w:cs="Times New Roman"/>
                <w:color w:val="auto"/>
                <w:sz w:val="24"/>
                <w:highlight w:val="none"/>
                <w:lang w:val="en-US" w:eastAsia="zh-CN"/>
              </w:rPr>
              <w:t>TSP、</w:t>
            </w:r>
            <w:r>
              <w:rPr>
                <w:rFonts w:hint="eastAsia" w:ascii="Times New Roman" w:hAnsi="Times New Roman" w:eastAsia="宋体" w:cs="Times New Roman"/>
                <w:color w:val="auto"/>
                <w:sz w:val="24"/>
                <w:highlight w:val="none"/>
                <w:lang w:val="en-US" w:eastAsia="zh-CN"/>
              </w:rPr>
              <w:t>苯并[a]芘</w:t>
            </w:r>
            <w:r>
              <w:rPr>
                <w:rFonts w:hint="default" w:ascii="Times New Roman" w:hAnsi="Times New Roman" w:eastAsia="宋体" w:cs="Times New Roman"/>
                <w:color w:val="auto"/>
                <w:sz w:val="24"/>
                <w:highlight w:val="none"/>
              </w:rPr>
              <w:t>浓度</w:t>
            </w:r>
            <w:r>
              <w:rPr>
                <w:rFonts w:hint="default" w:ascii="Times New Roman" w:hAnsi="Times New Roman" w:cs="Times New Roman"/>
                <w:color w:val="auto"/>
                <w:sz w:val="24"/>
                <w:highlight w:val="none"/>
              </w:rPr>
              <w:t>满足《环境空气质量标准》</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GB3095-2012</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及其修改单中的二级标准</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项目所在区域环境空气质量现状良好。</w:t>
            </w:r>
          </w:p>
          <w:p w14:paraId="2207EC40">
            <w:pPr>
              <w:adjustRightInd w:val="0"/>
              <w:snapToGrid w:val="0"/>
              <w:spacing w:line="360" w:lineRule="auto"/>
              <w:ind w:left="0" w:leftChars="0" w:firstLine="0" w:firstLineChars="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mc:AlternateContent>
                <mc:Choice Requires="wps">
                  <w:drawing>
                    <wp:anchor distT="0" distB="0" distL="114300" distR="114300" simplePos="0" relativeHeight="251665408" behindDoc="0" locked="0" layoutInCell="1" allowOverlap="1">
                      <wp:simplePos x="0" y="0"/>
                      <wp:positionH relativeFrom="column">
                        <wp:posOffset>1243965</wp:posOffset>
                      </wp:positionH>
                      <wp:positionV relativeFrom="paragraph">
                        <wp:posOffset>270510</wp:posOffset>
                      </wp:positionV>
                      <wp:extent cx="344170" cy="26797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344170" cy="267970"/>
                              </a:xfrm>
                              <a:prstGeom prst="rect">
                                <a:avLst/>
                              </a:prstGeom>
                              <a:noFill/>
                              <a:ln w="6350">
                                <a:noFill/>
                              </a:ln>
                              <a:effectLst/>
                            </wps:spPr>
                            <wps:txbx>
                              <w:txbxContent>
                                <w:p w14:paraId="7582834B">
                                  <w:pPr>
                                    <w:rPr>
                                      <w:color w:val="00FF00"/>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95pt;margin-top:21.3pt;height:21.1pt;width:27.1pt;z-index:251665408;mso-width-relative:page;mso-height-relative:page;" filled="f" stroked="f" coordsize="21600,21600" o:gfxdata="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IzHTk7aAAAACQEAAA8AAAAAAAAAAQAgAAAA&#10;IgAAAGRycy9kb3ducmV2LnhtbFBLAQIUABQAAAAIAIdO4kCBf2snQgIAAHUEAAAOAAAAAAAAAAEA&#10;IAAAACkBAABkcnMvZTJvRG9jLnhtbFBLBQYAAAAABgAGAFkBAADdBQAAAAA=&#10;">
                      <v:fill on="f" focussize="0,0"/>
                      <v:stroke on="f" weight="0.5pt"/>
                      <v:imagedata o:title=""/>
                      <o:lock v:ext="edit" aspectratio="f"/>
                      <v:textbox>
                        <w:txbxContent>
                          <w:p w14:paraId="7582834B">
                            <w:pPr>
                              <w:rPr>
                                <w:color w:val="00FF00"/>
                                <w:sz w:val="18"/>
                                <w:szCs w:val="18"/>
                              </w:rPr>
                            </w:pPr>
                          </w:p>
                        </w:txbxContent>
                      </v:textbox>
                    </v:shape>
                  </w:pict>
                </mc:Fallback>
              </mc:AlternateContent>
            </w:r>
          </w:p>
          <w:p w14:paraId="263A61BA">
            <w:pPr>
              <w:keepNext w:val="0"/>
              <w:keepLines w:val="0"/>
              <w:widowControl/>
              <w:suppressLineNumbers w:val="0"/>
              <w:ind w:left="0" w:leftChars="0" w:firstLine="0" w:firstLineChars="0"/>
              <w:jc w:val="center"/>
              <w:rPr>
                <w:rFonts w:hint="default" w:ascii="Times New Roman" w:hAnsi="Times New Roman" w:eastAsia="宋体" w:cs="Times New Roman"/>
                <w:b/>
                <w:bCs/>
                <w:color w:val="auto"/>
                <w:highlight w:val="none"/>
                <w:lang w:val="en-US" w:eastAsia="zh-CN"/>
              </w:rPr>
            </w:pPr>
            <w:r>
              <w:rPr>
                <w:rFonts w:hint="eastAsia" w:cs="Times New Roman"/>
                <w:b/>
                <w:bCs/>
                <w:color w:val="auto"/>
                <w:highlight w:val="none"/>
                <w:lang w:val="en-US" w:eastAsia="zh-CN"/>
              </w:rPr>
              <w:t>图</w:t>
            </w:r>
            <w:r>
              <w:rPr>
                <w:rFonts w:hint="default" w:ascii="Times New Roman" w:hAnsi="Times New Roman" w:eastAsia="宋体" w:cs="Times New Roman"/>
                <w:b/>
                <w:bCs/>
                <w:color w:val="auto"/>
                <w:highlight w:val="none"/>
                <w:lang w:val="en-US" w:eastAsia="zh-CN"/>
              </w:rPr>
              <w:t>3.</w:t>
            </w:r>
            <w:r>
              <w:rPr>
                <w:rFonts w:hint="eastAsia" w:ascii="Times New Roman" w:hAnsi="Times New Roman" w:eastAsia="宋体" w:cs="Times New Roman"/>
                <w:b/>
                <w:bCs/>
                <w:color w:val="auto"/>
                <w:highlight w:val="none"/>
                <w:lang w:val="en-US" w:eastAsia="zh-CN"/>
              </w:rPr>
              <w:t>1</w:t>
            </w:r>
            <w:r>
              <w:rPr>
                <w:rFonts w:hint="default" w:ascii="Times New Roman" w:hAnsi="Times New Roman" w:eastAsia="宋体" w:cs="Times New Roman"/>
                <w:b/>
                <w:bCs/>
                <w:color w:val="auto"/>
                <w:highlight w:val="none"/>
                <w:lang w:val="en-US" w:eastAsia="zh-CN"/>
              </w:rPr>
              <w:t>-</w:t>
            </w:r>
            <w:r>
              <w:rPr>
                <w:rFonts w:hint="eastAsia" w:ascii="Times New Roman" w:hAnsi="Times New Roman" w:eastAsia="宋体" w:cs="Times New Roman"/>
                <w:b/>
                <w:bCs/>
                <w:color w:val="auto"/>
                <w:highlight w:val="none"/>
                <w:lang w:val="en-US" w:eastAsia="zh-CN"/>
              </w:rPr>
              <w:t>2</w:t>
            </w:r>
            <w:r>
              <w:rPr>
                <w:rFonts w:hint="default" w:ascii="Times New Roman" w:hAnsi="Times New Roman" w:eastAsia="宋体" w:cs="Times New Roman"/>
                <w:b/>
                <w:bCs/>
                <w:color w:val="auto"/>
                <w:highlight w:val="none"/>
                <w:lang w:val="en-US" w:eastAsia="zh-CN"/>
              </w:rPr>
              <w:t xml:space="preserve">  监测点位</w:t>
            </w:r>
            <w:r>
              <w:rPr>
                <w:rFonts w:hint="eastAsia" w:ascii="Times New Roman" w:hAnsi="Times New Roman" w:eastAsia="宋体" w:cs="Times New Roman"/>
                <w:b/>
                <w:bCs/>
                <w:color w:val="auto"/>
                <w:highlight w:val="none"/>
                <w:lang w:val="en-US" w:eastAsia="zh-CN"/>
              </w:rPr>
              <w:t>位置</w:t>
            </w:r>
            <w:r>
              <w:rPr>
                <w:rFonts w:hint="default" w:ascii="Times New Roman" w:hAnsi="Times New Roman" w:eastAsia="宋体" w:cs="Times New Roman"/>
                <w:b/>
                <w:bCs/>
                <w:color w:val="auto"/>
                <w:highlight w:val="none"/>
                <w:lang w:val="en-US" w:eastAsia="zh-CN"/>
              </w:rPr>
              <w:t>图</w:t>
            </w:r>
          </w:p>
          <w:p w14:paraId="7017CB39">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③引用资料的可行性分析</w:t>
            </w:r>
          </w:p>
          <w:p w14:paraId="4C98494F">
            <w:pPr>
              <w:pStyle w:val="111"/>
              <w:ind w:firstLine="480"/>
              <w:rPr>
                <w:rFonts w:hint="default" w:ascii="Times New Roman" w:hAnsi="Times New Roman" w:cs="Times New Roman"/>
                <w:bCs/>
                <w:color w:val="auto"/>
                <w:szCs w:val="24"/>
                <w:highlight w:val="none"/>
              </w:rPr>
            </w:pPr>
            <w:r>
              <w:rPr>
                <w:rFonts w:hint="default" w:ascii="Times New Roman" w:hAnsi="Times New Roman" w:cs="Times New Roman"/>
                <w:bCs/>
                <w:color w:val="auto"/>
                <w:szCs w:val="24"/>
                <w:highlight w:val="none"/>
              </w:rPr>
              <w:t>根据《建设项目环境影响报告表编制技术指南</w:t>
            </w:r>
            <w:r>
              <w:rPr>
                <w:rFonts w:hint="eastAsia" w:cs="Times New Roman"/>
                <w:bCs/>
                <w:color w:val="auto"/>
                <w:szCs w:val="24"/>
                <w:highlight w:val="none"/>
                <w:lang w:eastAsia="zh-CN"/>
              </w:rPr>
              <w:t>（</w:t>
            </w:r>
            <w:r>
              <w:rPr>
                <w:rFonts w:hint="default" w:ascii="Times New Roman" w:hAnsi="Times New Roman" w:cs="Times New Roman"/>
                <w:bCs/>
                <w:color w:val="auto"/>
                <w:szCs w:val="24"/>
                <w:highlight w:val="none"/>
              </w:rPr>
              <w:t>污染影响类</w:t>
            </w:r>
            <w:r>
              <w:rPr>
                <w:rFonts w:hint="eastAsia" w:cs="Times New Roman"/>
                <w:bCs/>
                <w:color w:val="auto"/>
                <w:szCs w:val="24"/>
                <w:highlight w:val="none"/>
                <w:lang w:eastAsia="zh-CN"/>
              </w:rPr>
              <w:t>）（</w:t>
            </w:r>
            <w:r>
              <w:rPr>
                <w:rFonts w:hint="default" w:ascii="Times New Roman" w:hAnsi="Times New Roman" w:cs="Times New Roman"/>
                <w:bCs/>
                <w:color w:val="auto"/>
                <w:szCs w:val="24"/>
                <w:highlight w:val="none"/>
              </w:rPr>
              <w:t>试行</w:t>
            </w:r>
            <w:r>
              <w:rPr>
                <w:rFonts w:hint="eastAsia" w:cs="Times New Roman"/>
                <w:bCs/>
                <w:color w:val="auto"/>
                <w:szCs w:val="24"/>
                <w:highlight w:val="none"/>
                <w:lang w:eastAsia="zh-CN"/>
              </w:rPr>
              <w:t>）</w:t>
            </w:r>
            <w:r>
              <w:rPr>
                <w:rFonts w:hint="default" w:ascii="Times New Roman" w:hAnsi="Times New Roman" w:cs="Times New Roman"/>
                <w:bCs/>
                <w:color w:val="auto"/>
                <w:szCs w:val="24"/>
                <w:highlight w:val="none"/>
              </w:rPr>
              <w:t>》</w:t>
            </w:r>
            <w:r>
              <w:rPr>
                <w:rFonts w:hint="eastAsia" w:cs="Times New Roman"/>
                <w:bCs/>
                <w:color w:val="auto"/>
                <w:szCs w:val="24"/>
                <w:highlight w:val="none"/>
                <w:lang w:eastAsia="zh-CN"/>
              </w:rPr>
              <w:t>（</w:t>
            </w:r>
            <w:r>
              <w:rPr>
                <w:rFonts w:hint="default" w:ascii="Times New Roman" w:hAnsi="Times New Roman" w:cs="Times New Roman"/>
                <w:bCs/>
                <w:color w:val="auto"/>
                <w:szCs w:val="24"/>
                <w:highlight w:val="none"/>
              </w:rPr>
              <w:t>环办环评〔2020〕33号</w:t>
            </w:r>
            <w:r>
              <w:rPr>
                <w:rFonts w:hint="eastAsia" w:cs="Times New Roman"/>
                <w:bCs/>
                <w:color w:val="auto"/>
                <w:szCs w:val="24"/>
                <w:highlight w:val="none"/>
                <w:lang w:eastAsia="zh-CN"/>
              </w:rPr>
              <w:t>）</w:t>
            </w:r>
            <w:r>
              <w:rPr>
                <w:rFonts w:hint="default" w:ascii="Times New Roman" w:hAnsi="Times New Roman" w:cs="Times New Roman"/>
                <w:bCs/>
                <w:color w:val="auto"/>
                <w:szCs w:val="24"/>
                <w:highlight w:val="none"/>
              </w:rPr>
              <w:t>的要求：</w:t>
            </w:r>
            <w:r>
              <w:rPr>
                <w:rFonts w:hint="eastAsia" w:ascii="Times New Roman" w:hAnsi="Times New Roman" w:cs="Times New Roman"/>
                <w:bCs/>
                <w:color w:val="auto"/>
                <w:szCs w:val="24"/>
                <w:highlight w:val="none"/>
                <w:lang w:eastAsia="zh-CN"/>
              </w:rPr>
              <w:t>“</w:t>
            </w:r>
            <w:r>
              <w:rPr>
                <w:rFonts w:hint="default" w:ascii="Times New Roman" w:hAnsi="Times New Roman" w:cs="Times New Roman"/>
                <w:bCs/>
                <w:color w:val="auto"/>
                <w:szCs w:val="24"/>
                <w:highlight w:val="none"/>
              </w:rPr>
              <w:t>大气环境区域环境质量现状常规污染物引用与建设项目距离近的有效数据，包括近3年的规划环境影响评价的监测数据，国家、地方环境空气质量监测网数据或生态环境主管部门公开发布的质量数据等，排放国家、地方环境空气质量标准中有标准限值要求的特征污染物时，引用建设项目周边5千米范围内近3年的现有监测数据，无相关数据的选择当季主导风向下风向1个点位补充不少于3天的监测数据</w:t>
            </w:r>
            <w:r>
              <w:rPr>
                <w:rFonts w:hint="eastAsia" w:ascii="Times New Roman" w:hAnsi="Times New Roman" w:cs="Times New Roman"/>
                <w:bCs/>
                <w:color w:val="auto"/>
                <w:szCs w:val="24"/>
                <w:highlight w:val="none"/>
                <w:lang w:eastAsia="zh-CN"/>
              </w:rPr>
              <w:t>”</w:t>
            </w:r>
            <w:r>
              <w:rPr>
                <w:rFonts w:hint="default" w:ascii="Times New Roman" w:hAnsi="Times New Roman" w:cs="Times New Roman"/>
                <w:bCs/>
                <w:color w:val="auto"/>
                <w:szCs w:val="24"/>
                <w:highlight w:val="none"/>
              </w:rPr>
              <w:t>。</w:t>
            </w:r>
          </w:p>
          <w:p w14:paraId="595DF5BD">
            <w:pPr>
              <w:bidi w:val="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bCs/>
                <w:color w:val="auto"/>
                <w:szCs w:val="24"/>
                <w:highlight w:val="none"/>
              </w:rPr>
              <w:t>本评价常规污染因子选取</w:t>
            </w:r>
            <w:r>
              <w:rPr>
                <w:rFonts w:hint="eastAsia" w:ascii="Times New Roman" w:hAnsi="Times New Roman" w:cs="Times New Roman"/>
                <w:bCs/>
                <w:color w:val="auto"/>
                <w:szCs w:val="24"/>
                <w:highlight w:val="none"/>
                <w:lang w:val="en-US" w:eastAsia="zh-CN"/>
              </w:rPr>
              <w:t>罗源县人民政府</w:t>
            </w:r>
            <w:r>
              <w:rPr>
                <w:rFonts w:hint="default" w:ascii="Times New Roman" w:hAnsi="Times New Roman" w:cs="Times New Roman"/>
                <w:bCs/>
                <w:color w:val="auto"/>
                <w:szCs w:val="24"/>
                <w:highlight w:val="none"/>
              </w:rPr>
              <w:t>发布的</w:t>
            </w:r>
            <w:r>
              <w:rPr>
                <w:rFonts w:hint="eastAsia" w:ascii="Times New Roman" w:hAnsi="Times New Roman" w:cs="Times New Roman"/>
                <w:bCs/>
                <w:color w:val="auto"/>
                <w:szCs w:val="24"/>
                <w:highlight w:val="none"/>
                <w:lang w:val="en-US" w:eastAsia="zh-CN"/>
              </w:rPr>
              <w:t>罗源县</w:t>
            </w:r>
            <w:r>
              <w:rPr>
                <w:rFonts w:hint="default" w:ascii="Times New Roman" w:hAnsi="Times New Roman" w:cs="Times New Roman"/>
                <w:bCs/>
                <w:color w:val="auto"/>
                <w:szCs w:val="24"/>
                <w:highlight w:val="none"/>
              </w:rPr>
              <w:t>环境空气质量现状，</w:t>
            </w:r>
            <w:r>
              <w:rPr>
                <w:rFonts w:hint="default" w:ascii="Times New Roman" w:hAnsi="Times New Roman" w:cs="Times New Roman"/>
                <w:color w:val="auto"/>
                <w:sz w:val="24"/>
                <w:highlight w:val="none"/>
              </w:rPr>
              <w:t>本次评价</w:t>
            </w:r>
            <w:r>
              <w:rPr>
                <w:rFonts w:hint="default" w:ascii="Times New Roman" w:hAnsi="Times New Roman" w:eastAsia="宋体" w:cs="Times New Roman"/>
                <w:color w:val="auto"/>
                <w:sz w:val="24"/>
                <w:highlight w:val="none"/>
              </w:rPr>
              <w:t>TSP</w:t>
            </w:r>
            <w:r>
              <w:rPr>
                <w:rFonts w:hint="default" w:ascii="Times New Roman" w:hAnsi="Times New Roman" w:eastAsia="宋体" w:cs="Times New Roman"/>
                <w:color w:val="auto"/>
                <w:sz w:val="24"/>
                <w:highlight w:val="none"/>
                <w:lang w:val="en-US" w:eastAsia="zh-CN"/>
              </w:rPr>
              <w:t>现状监测数据</w:t>
            </w:r>
            <w:r>
              <w:rPr>
                <w:rFonts w:hint="default" w:ascii="Times New Roman" w:hAnsi="Times New Roman" w:eastAsia="宋体" w:cs="Times New Roman"/>
                <w:color w:val="auto"/>
                <w:sz w:val="24"/>
                <w:highlight w:val="none"/>
              </w:rPr>
              <w:t>引用《</w:t>
            </w:r>
            <w:r>
              <w:rPr>
                <w:rFonts w:hint="default" w:ascii="Times New Roman" w:hAnsi="Times New Roman" w:eastAsia="宋体" w:cs="Times New Roman"/>
                <w:color w:val="auto"/>
                <w:sz w:val="24"/>
                <w:highlight w:val="none"/>
                <w:lang w:val="en-US" w:eastAsia="zh-CN"/>
              </w:rPr>
              <w:t>源申年产120万吨钢渣粉新建项目</w:t>
            </w:r>
            <w:r>
              <w:rPr>
                <w:rFonts w:hint="default" w:ascii="Times New Roman" w:hAnsi="Times New Roman" w:eastAsia="宋体" w:cs="Times New Roman"/>
                <w:color w:val="auto"/>
                <w:sz w:val="24"/>
                <w:highlight w:val="none"/>
              </w:rPr>
              <w:t>环境影响报</w:t>
            </w:r>
            <w:r>
              <w:rPr>
                <w:rFonts w:hint="default" w:ascii="Times New Roman" w:hAnsi="Times New Roman" w:cs="Times New Roman"/>
                <w:color w:val="auto"/>
                <w:sz w:val="24"/>
                <w:highlight w:val="none"/>
              </w:rPr>
              <w:t>告表》中监测数据，由福建中科环境检测技术有限公司于202</w:t>
            </w:r>
            <w:r>
              <w:rPr>
                <w:rFonts w:hint="eastAsia" w:ascii="Times New Roman" w:hAnsi="Times New Roman" w:cs="Times New Roman"/>
                <w:color w:val="auto"/>
                <w:sz w:val="24"/>
                <w:highlight w:val="none"/>
                <w:lang w:val="en-US" w:eastAsia="zh-CN"/>
              </w:rPr>
              <w:t>3</w:t>
            </w:r>
            <w:r>
              <w:rPr>
                <w:rFonts w:hint="default" w:ascii="Times New Roman" w:hAnsi="Times New Roman" w:cs="Times New Roman"/>
                <w:color w:val="auto"/>
                <w:sz w:val="24"/>
                <w:highlight w:val="none"/>
              </w:rPr>
              <w:t>年</w:t>
            </w:r>
            <w:r>
              <w:rPr>
                <w:rFonts w:hint="eastAsia" w:ascii="Times New Roman" w:hAnsi="Times New Roman" w:cs="Times New Roman"/>
                <w:color w:val="auto"/>
                <w:sz w:val="24"/>
                <w:highlight w:val="none"/>
                <w:lang w:val="en-US" w:eastAsia="zh-CN"/>
              </w:rPr>
              <w:t>10</w:t>
            </w:r>
            <w:r>
              <w:rPr>
                <w:rFonts w:hint="default" w:ascii="Times New Roman" w:hAnsi="Times New Roman" w:cs="Times New Roman"/>
                <w:color w:val="auto"/>
                <w:sz w:val="24"/>
                <w:highlight w:val="none"/>
              </w:rPr>
              <w:t>月1</w:t>
            </w:r>
            <w:r>
              <w:rPr>
                <w:rFonts w:hint="eastAsia"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rPr>
              <w:t>日至202</w:t>
            </w:r>
            <w:r>
              <w:rPr>
                <w:rFonts w:hint="eastAsia" w:ascii="Times New Roman" w:hAnsi="Times New Roman" w:cs="Times New Roman"/>
                <w:color w:val="auto"/>
                <w:sz w:val="24"/>
                <w:highlight w:val="none"/>
                <w:lang w:val="en-US" w:eastAsia="zh-CN"/>
              </w:rPr>
              <w:t>3</w:t>
            </w:r>
            <w:r>
              <w:rPr>
                <w:rFonts w:hint="default" w:ascii="Times New Roman" w:hAnsi="Times New Roman" w:cs="Times New Roman"/>
                <w:color w:val="auto"/>
                <w:sz w:val="24"/>
                <w:highlight w:val="none"/>
              </w:rPr>
              <w:t>年</w:t>
            </w:r>
            <w:r>
              <w:rPr>
                <w:rFonts w:hint="eastAsia" w:ascii="Times New Roman" w:hAnsi="Times New Roman" w:cs="Times New Roman"/>
                <w:color w:val="auto"/>
                <w:sz w:val="24"/>
                <w:highlight w:val="none"/>
                <w:lang w:val="en-US" w:eastAsia="zh-CN"/>
              </w:rPr>
              <w:t>10</w:t>
            </w:r>
            <w:r>
              <w:rPr>
                <w:rFonts w:hint="default" w:ascii="Times New Roman" w:hAnsi="Times New Roman" w:cs="Times New Roman"/>
                <w:color w:val="auto"/>
                <w:sz w:val="24"/>
                <w:highlight w:val="none"/>
              </w:rPr>
              <w:t>月</w:t>
            </w:r>
            <w:r>
              <w:rPr>
                <w:rFonts w:hint="eastAsia" w:ascii="Times New Roman" w:hAnsi="Times New Roman" w:cs="Times New Roman"/>
                <w:color w:val="auto"/>
                <w:sz w:val="24"/>
                <w:highlight w:val="none"/>
                <w:lang w:val="en-US" w:eastAsia="zh-CN"/>
              </w:rPr>
              <w:t>17</w:t>
            </w:r>
            <w:r>
              <w:rPr>
                <w:rFonts w:hint="default" w:ascii="Times New Roman" w:hAnsi="Times New Roman" w:cs="Times New Roman"/>
                <w:color w:val="auto"/>
                <w:sz w:val="24"/>
                <w:highlight w:val="none"/>
              </w:rPr>
              <w:t>日监测，监测点位（</w:t>
            </w:r>
            <w:r>
              <w:rPr>
                <w:rFonts w:hint="eastAsia" w:ascii="Times New Roman" w:hAnsi="Times New Roman" w:cs="Times New Roman"/>
                <w:color w:val="auto"/>
                <w:sz w:val="24"/>
                <w:highlight w:val="none"/>
                <w:lang w:val="en-US" w:eastAsia="zh-CN"/>
              </w:rPr>
              <w:t>Q</w:t>
            </w:r>
            <w:r>
              <w:rPr>
                <w:rFonts w:hint="default" w:ascii="Times New Roman" w:hAnsi="Times New Roman" w:cs="Times New Roman"/>
                <w:color w:val="auto"/>
                <w:sz w:val="24"/>
                <w:highlight w:val="none"/>
              </w:rPr>
              <w:t>1）位于本项目东</w:t>
            </w:r>
            <w:r>
              <w:rPr>
                <w:rFonts w:hint="eastAsia" w:ascii="Times New Roman" w:hAnsi="Times New Roman" w:cs="Times New Roman"/>
                <w:color w:val="auto"/>
                <w:sz w:val="24"/>
                <w:highlight w:val="none"/>
                <w:lang w:val="en-US" w:eastAsia="zh-CN"/>
              </w:rPr>
              <w:t>北</w:t>
            </w:r>
            <w:r>
              <w:rPr>
                <w:rFonts w:hint="default" w:ascii="Times New Roman" w:hAnsi="Times New Roman" w:cs="Times New Roman"/>
                <w:color w:val="auto"/>
                <w:sz w:val="24"/>
                <w:highlight w:val="none"/>
              </w:rPr>
              <w:t>侧</w:t>
            </w:r>
            <w:r>
              <w:rPr>
                <w:rFonts w:hint="eastAsia" w:ascii="Times New Roman" w:hAnsi="Times New Roman" w:cs="Times New Roman"/>
                <w:color w:val="auto"/>
                <w:sz w:val="24"/>
                <w:highlight w:val="none"/>
                <w:lang w:val="en-US" w:eastAsia="zh-CN"/>
              </w:rPr>
              <w:t>1316</w:t>
            </w:r>
            <w:r>
              <w:rPr>
                <w:rFonts w:hint="default" w:ascii="Times New Roman" w:hAnsi="Times New Roman" w:cs="Times New Roman"/>
                <w:color w:val="auto"/>
                <w:sz w:val="24"/>
                <w:highlight w:val="none"/>
              </w:rPr>
              <w:t>m处，监测日期为近三年，</w:t>
            </w:r>
            <w:r>
              <w:rPr>
                <w:rFonts w:hint="default" w:ascii="Times New Roman" w:hAnsi="Times New Roman" w:cs="Times New Roman"/>
                <w:bCs/>
                <w:color w:val="auto"/>
                <w:szCs w:val="24"/>
                <w:highlight w:val="none"/>
              </w:rPr>
              <w:t>符合《建设项目环境影响报告表编制技术指南</w:t>
            </w:r>
            <w:r>
              <w:rPr>
                <w:rFonts w:hint="eastAsia" w:cs="Times New Roman"/>
                <w:bCs/>
                <w:color w:val="auto"/>
                <w:szCs w:val="24"/>
                <w:highlight w:val="none"/>
                <w:lang w:eastAsia="zh-CN"/>
              </w:rPr>
              <w:t>（</w:t>
            </w:r>
            <w:r>
              <w:rPr>
                <w:rFonts w:hint="default" w:ascii="Times New Roman" w:hAnsi="Times New Roman" w:cs="Times New Roman"/>
                <w:bCs/>
                <w:color w:val="auto"/>
                <w:szCs w:val="24"/>
                <w:highlight w:val="none"/>
              </w:rPr>
              <w:t>污染影响类</w:t>
            </w:r>
            <w:r>
              <w:rPr>
                <w:rFonts w:hint="eastAsia" w:cs="Times New Roman"/>
                <w:bCs/>
                <w:color w:val="auto"/>
                <w:szCs w:val="24"/>
                <w:highlight w:val="none"/>
                <w:lang w:eastAsia="zh-CN"/>
              </w:rPr>
              <w:t>）（</w:t>
            </w:r>
            <w:r>
              <w:rPr>
                <w:rFonts w:hint="default" w:ascii="Times New Roman" w:hAnsi="Times New Roman" w:cs="Times New Roman"/>
                <w:bCs/>
                <w:color w:val="auto"/>
                <w:szCs w:val="24"/>
                <w:highlight w:val="none"/>
              </w:rPr>
              <w:t>试行</w:t>
            </w:r>
            <w:r>
              <w:rPr>
                <w:rFonts w:hint="eastAsia" w:cs="Times New Roman"/>
                <w:bCs/>
                <w:color w:val="auto"/>
                <w:szCs w:val="24"/>
                <w:highlight w:val="none"/>
                <w:lang w:eastAsia="zh-CN"/>
              </w:rPr>
              <w:t>）</w:t>
            </w:r>
            <w:r>
              <w:rPr>
                <w:rFonts w:hint="default" w:ascii="Times New Roman" w:hAnsi="Times New Roman" w:cs="Times New Roman"/>
                <w:bCs/>
                <w:color w:val="auto"/>
                <w:szCs w:val="24"/>
                <w:highlight w:val="none"/>
              </w:rPr>
              <w:t>》</w:t>
            </w:r>
            <w:r>
              <w:rPr>
                <w:rFonts w:hint="eastAsia" w:cs="Times New Roman"/>
                <w:bCs/>
                <w:color w:val="auto"/>
                <w:szCs w:val="24"/>
                <w:highlight w:val="none"/>
                <w:lang w:eastAsia="zh-CN"/>
              </w:rPr>
              <w:t>（</w:t>
            </w:r>
            <w:r>
              <w:rPr>
                <w:rFonts w:hint="default" w:ascii="Times New Roman" w:hAnsi="Times New Roman" w:cs="Times New Roman"/>
                <w:bCs/>
                <w:color w:val="auto"/>
                <w:szCs w:val="24"/>
                <w:highlight w:val="none"/>
              </w:rPr>
              <w:t>环办环评〔2020〕33 号</w:t>
            </w:r>
            <w:r>
              <w:rPr>
                <w:rFonts w:hint="eastAsia" w:cs="Times New Roman"/>
                <w:bCs/>
                <w:color w:val="auto"/>
                <w:szCs w:val="24"/>
                <w:highlight w:val="none"/>
                <w:lang w:eastAsia="zh-CN"/>
              </w:rPr>
              <w:t>）</w:t>
            </w:r>
            <w:r>
              <w:rPr>
                <w:rFonts w:hint="default" w:ascii="Times New Roman" w:hAnsi="Times New Roman" w:cs="Times New Roman"/>
                <w:bCs/>
                <w:color w:val="auto"/>
                <w:szCs w:val="24"/>
                <w:highlight w:val="none"/>
              </w:rPr>
              <w:t>的要求</w:t>
            </w:r>
            <w:r>
              <w:rPr>
                <w:rFonts w:hint="eastAsia" w:ascii="Times New Roman" w:hAnsi="Times New Roman" w:cs="Times New Roman"/>
                <w:color w:val="auto"/>
                <w:sz w:val="24"/>
                <w:highlight w:val="none"/>
                <w:lang w:eastAsia="zh-CN"/>
              </w:rPr>
              <w:t>。</w:t>
            </w:r>
            <w:r>
              <w:rPr>
                <w:rFonts w:hint="eastAsia" w:ascii="Times New Roman" w:hAnsi="Times New Roman" w:eastAsia="宋体" w:cs="Times New Roman"/>
                <w:color w:val="auto"/>
                <w:szCs w:val="21"/>
                <w:highlight w:val="none"/>
                <w:lang w:val="en-US" w:eastAsia="zh-CN"/>
              </w:rPr>
              <w:t>苯并[a]芘</w:t>
            </w:r>
            <w:r>
              <w:rPr>
                <w:rFonts w:hint="default" w:ascii="Times New Roman" w:hAnsi="Times New Roman" w:eastAsia="宋体" w:cs="Times New Roman"/>
                <w:color w:val="auto"/>
                <w:sz w:val="24"/>
                <w:szCs w:val="24"/>
                <w:highlight w:val="none"/>
              </w:rPr>
              <w:t>现状监测数据引用</w:t>
            </w:r>
            <w:r>
              <w:rPr>
                <w:rFonts w:hint="default" w:ascii="Times New Roman" w:hAnsi="Times New Roman" w:cs="Times New Roman"/>
                <w:color w:val="auto"/>
                <w:sz w:val="24"/>
                <w:highlight w:val="none"/>
                <w:lang w:val="en-US" w:eastAsia="zh-CN"/>
              </w:rPr>
              <w:t>福建九五检测技术服务有限公司于</w:t>
            </w:r>
            <w:r>
              <w:rPr>
                <w:rFonts w:hint="default" w:ascii="Times New Roman" w:hAnsi="Times New Roman" w:cs="Times New Roman"/>
                <w:color w:val="auto"/>
                <w:sz w:val="24"/>
                <w:highlight w:val="none"/>
              </w:rPr>
              <w:t>20</w:t>
            </w:r>
            <w:r>
              <w:rPr>
                <w:rFonts w:hint="default" w:ascii="Times New Roman" w:hAnsi="Times New Roman" w:cs="Times New Roman"/>
                <w:color w:val="auto"/>
                <w:sz w:val="24"/>
                <w:highlight w:val="none"/>
                <w:lang w:val="en-US" w:eastAsia="zh-CN"/>
              </w:rPr>
              <w:t>2</w:t>
            </w:r>
            <w:r>
              <w:rPr>
                <w:rFonts w:hint="eastAsia"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rPr>
              <w:t>年</w:t>
            </w:r>
            <w:r>
              <w:rPr>
                <w:rFonts w:hint="eastAsia" w:ascii="Times New Roman" w:hAnsi="Times New Roman" w:cs="Times New Roman"/>
                <w:color w:val="auto"/>
                <w:sz w:val="24"/>
                <w:highlight w:val="none"/>
                <w:lang w:val="en-US" w:eastAsia="zh-CN"/>
              </w:rPr>
              <w:t>3</w:t>
            </w:r>
            <w:r>
              <w:rPr>
                <w:rFonts w:hint="default" w:ascii="Times New Roman" w:hAnsi="Times New Roman" w:cs="Times New Roman"/>
                <w:color w:val="auto"/>
                <w:sz w:val="24"/>
                <w:highlight w:val="none"/>
              </w:rPr>
              <w:t>月</w:t>
            </w:r>
            <w:r>
              <w:rPr>
                <w:rFonts w:hint="eastAsia" w:ascii="Times New Roman" w:hAnsi="Times New Roman" w:cs="Times New Roman"/>
                <w:color w:val="auto"/>
                <w:sz w:val="24"/>
                <w:highlight w:val="none"/>
                <w:lang w:val="en-US" w:eastAsia="zh-CN"/>
              </w:rPr>
              <w:t>7</w:t>
            </w:r>
            <w:r>
              <w:rPr>
                <w:rFonts w:hint="default" w:ascii="Times New Roman" w:hAnsi="Times New Roman" w:cs="Times New Roman"/>
                <w:color w:val="auto"/>
                <w:sz w:val="24"/>
                <w:highlight w:val="none"/>
              </w:rPr>
              <w:t>日至20</w:t>
            </w:r>
            <w:r>
              <w:rPr>
                <w:rFonts w:hint="default" w:ascii="Times New Roman" w:hAnsi="Times New Roman" w:cs="Times New Roman"/>
                <w:color w:val="auto"/>
                <w:sz w:val="24"/>
                <w:highlight w:val="none"/>
                <w:lang w:val="en-US" w:eastAsia="zh-CN"/>
              </w:rPr>
              <w:t>2</w:t>
            </w:r>
            <w:r>
              <w:rPr>
                <w:rFonts w:hint="eastAsia"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rPr>
              <w:t>年</w:t>
            </w:r>
            <w:r>
              <w:rPr>
                <w:rFonts w:hint="eastAsia" w:ascii="Times New Roman" w:hAnsi="Times New Roman" w:cs="Times New Roman"/>
                <w:color w:val="auto"/>
                <w:sz w:val="24"/>
                <w:highlight w:val="none"/>
                <w:lang w:val="en-US" w:eastAsia="zh-CN"/>
              </w:rPr>
              <w:t>3</w:t>
            </w:r>
            <w:r>
              <w:rPr>
                <w:rFonts w:hint="default" w:ascii="Times New Roman" w:hAnsi="Times New Roman" w:cs="Times New Roman"/>
                <w:color w:val="auto"/>
                <w:sz w:val="24"/>
                <w:highlight w:val="none"/>
              </w:rPr>
              <w:t>月</w:t>
            </w:r>
            <w:r>
              <w:rPr>
                <w:rFonts w:hint="eastAsia" w:ascii="Times New Roman" w:hAnsi="Times New Roman" w:cs="Times New Roman"/>
                <w:color w:val="auto"/>
                <w:sz w:val="24"/>
                <w:highlight w:val="none"/>
                <w:lang w:val="en-US" w:eastAsia="zh-CN"/>
              </w:rPr>
              <w:t>9</w:t>
            </w:r>
            <w:r>
              <w:rPr>
                <w:rFonts w:hint="default" w:ascii="Times New Roman" w:hAnsi="Times New Roman" w:cs="Times New Roman"/>
                <w:color w:val="auto"/>
                <w:sz w:val="24"/>
                <w:highlight w:val="none"/>
              </w:rPr>
              <w:t>日</w:t>
            </w:r>
            <w:r>
              <w:rPr>
                <w:rFonts w:hint="default" w:ascii="Times New Roman" w:hAnsi="Times New Roman" w:cs="Times New Roman"/>
                <w:color w:val="auto"/>
                <w:sz w:val="24"/>
                <w:szCs w:val="24"/>
                <w:highlight w:val="none"/>
                <w:lang w:val="en-US" w:eastAsia="zh-CN"/>
              </w:rPr>
              <w:t>对本项目</w:t>
            </w:r>
            <w:r>
              <w:rPr>
                <w:rFonts w:hint="eastAsia" w:cs="Times New Roman"/>
                <w:color w:val="auto"/>
                <w:sz w:val="24"/>
                <w:szCs w:val="24"/>
                <w:highlight w:val="none"/>
                <w:lang w:val="en-US" w:eastAsia="zh-CN"/>
              </w:rPr>
              <w:t>侧</w:t>
            </w:r>
            <w:r>
              <w:rPr>
                <w:rFonts w:hint="default" w:ascii="Times New Roman" w:hAnsi="Times New Roman" w:cs="Times New Roman"/>
                <w:color w:val="auto"/>
                <w:sz w:val="24"/>
                <w:szCs w:val="24"/>
                <w:highlight w:val="none"/>
                <w:lang w:val="en-US" w:eastAsia="zh-CN"/>
              </w:rPr>
              <w:t>风向（</w:t>
            </w:r>
            <w:r>
              <w:rPr>
                <w:rFonts w:hint="eastAsia" w:ascii="Times New Roman" w:hAnsi="Times New Roman" w:cs="Times New Roman"/>
                <w:color w:val="auto"/>
                <w:sz w:val="24"/>
                <w:szCs w:val="24"/>
                <w:highlight w:val="none"/>
                <w:lang w:val="en-US" w:eastAsia="zh-CN"/>
              </w:rPr>
              <w:t>G</w:t>
            </w:r>
            <w:r>
              <w:rPr>
                <w:rFonts w:hint="default" w:ascii="Times New Roman" w:hAnsi="Times New Roman" w:cs="Times New Roman"/>
                <w:color w:val="auto"/>
                <w:sz w:val="24"/>
                <w:szCs w:val="24"/>
                <w:highlight w:val="none"/>
                <w:lang w:val="en-US" w:eastAsia="zh-CN"/>
              </w:rPr>
              <w:t>1）的检测数据</w:t>
            </w:r>
            <w:r>
              <w:rPr>
                <w:rFonts w:hint="eastAsia" w:ascii="Times New Roman" w:hAnsi="Times New Roman" w:cs="Times New Roman"/>
                <w:color w:val="auto"/>
                <w:sz w:val="24"/>
                <w:szCs w:val="24"/>
                <w:highlight w:val="none"/>
                <w:lang w:val="en-US" w:eastAsia="zh-CN"/>
              </w:rPr>
              <w:t>。</w:t>
            </w:r>
          </w:p>
          <w:p w14:paraId="15DFE0C9">
            <w:pPr>
              <w:pStyle w:val="3"/>
              <w:rPr>
                <w:color w:val="auto"/>
                <w:highlight w:val="none"/>
              </w:rPr>
            </w:pPr>
            <w:r>
              <w:rPr>
                <w:color w:val="auto"/>
                <w:highlight w:val="none"/>
              </w:rPr>
              <w:t>3.2地表水环境质量现状</w:t>
            </w:r>
          </w:p>
          <w:p w14:paraId="357EC44D">
            <w:pPr>
              <w:pStyle w:val="4"/>
              <w:rPr>
                <w:color w:val="auto"/>
                <w:highlight w:val="none"/>
              </w:rPr>
            </w:pPr>
            <w:r>
              <w:rPr>
                <w:color w:val="auto"/>
                <w:highlight w:val="none"/>
              </w:rPr>
              <w:t>3.2.1地表水功能区划</w:t>
            </w:r>
          </w:p>
          <w:p w14:paraId="5EAA87A9">
            <w:pPr>
              <w:pStyle w:val="135"/>
              <w:spacing w:line="360" w:lineRule="auto"/>
              <w:ind w:firstLine="480" w:firstLineChars="200"/>
              <w:jc w:val="both"/>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rPr>
              <w:t>项目南部为滞洪区，滞洪区内水向南汇入罗源湾海域，</w:t>
            </w:r>
            <w:r>
              <w:rPr>
                <w:rFonts w:hint="default" w:ascii="Times New Roman" w:hAnsi="Times New Roman" w:eastAsia="宋体" w:cs="Times New Roman"/>
                <w:bCs/>
                <w:color w:val="auto"/>
                <w:sz w:val="24"/>
                <w:highlight w:val="none"/>
              </w:rPr>
              <w:t>根据福建省连江生态环境局颁布的《福建省近岸海域环境功能区划</w:t>
            </w:r>
            <w:r>
              <w:rPr>
                <w:rFonts w:hint="eastAsia"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修编）》</w:t>
            </w:r>
            <w:r>
              <w:rPr>
                <w:rFonts w:hint="eastAsia"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2011</w:t>
            </w:r>
            <w:r>
              <w:rPr>
                <w:rFonts w:hint="eastAsia" w:ascii="Times New Roman" w:hAnsi="Times New Roman" w:eastAsia="宋体" w:cs="Times New Roman"/>
                <w:bCs/>
                <w:color w:val="auto"/>
                <w:sz w:val="24"/>
                <w:highlight w:val="none"/>
                <w:lang w:val="en-US" w:eastAsia="zh-CN"/>
              </w:rPr>
              <w:t>-</w:t>
            </w:r>
            <w:r>
              <w:rPr>
                <w:rFonts w:hint="default" w:ascii="Times New Roman" w:hAnsi="Times New Roman" w:eastAsia="宋体" w:cs="Times New Roman"/>
                <w:bCs/>
                <w:color w:val="auto"/>
                <w:sz w:val="24"/>
                <w:highlight w:val="none"/>
              </w:rPr>
              <w:t>2020年），本项目海域功能区划分为罗源湾北部四类区代码为FJ030-D-Ⅲ。水体主要功能是港口、航运，辅助功能为一般工业用水，水质保护目标为三类标准，执行 GB3097-1997《海水水质标准》中第三类标准。福建省近岸海域环境功能区汇总表</w:t>
            </w:r>
            <w:r>
              <w:rPr>
                <w:rFonts w:hint="eastAsia"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摘录）见表 3.</w:t>
            </w:r>
            <w:r>
              <w:rPr>
                <w:rFonts w:hint="eastAsia" w:ascii="Times New Roman" w:hAnsi="Times New Roman" w:eastAsia="宋体" w:cs="Times New Roman"/>
                <w:bCs/>
                <w:color w:val="auto"/>
                <w:sz w:val="24"/>
                <w:highlight w:val="none"/>
                <w:lang w:val="en-US" w:eastAsia="zh-CN"/>
              </w:rPr>
              <w:t>2</w:t>
            </w:r>
            <w:r>
              <w:rPr>
                <w:rFonts w:hint="default" w:ascii="Times New Roman" w:hAnsi="Times New Roman" w:eastAsia="宋体" w:cs="Times New Roman"/>
                <w:bCs/>
                <w:color w:val="auto"/>
                <w:sz w:val="24"/>
                <w:highlight w:val="none"/>
              </w:rPr>
              <w:t>-1。海水质量标准见表3.</w:t>
            </w:r>
            <w:r>
              <w:rPr>
                <w:rFonts w:hint="eastAsia" w:ascii="Times New Roman" w:hAnsi="Times New Roman" w:eastAsia="宋体" w:cs="Times New Roman"/>
                <w:bCs/>
                <w:color w:val="auto"/>
                <w:sz w:val="24"/>
                <w:highlight w:val="none"/>
                <w:lang w:val="en-US" w:eastAsia="zh-CN"/>
              </w:rPr>
              <w:t>2</w:t>
            </w:r>
            <w:r>
              <w:rPr>
                <w:rFonts w:hint="default" w:ascii="Times New Roman" w:hAnsi="Times New Roman" w:eastAsia="宋体" w:cs="Times New Roman"/>
                <w:bCs/>
                <w:color w:val="auto"/>
                <w:sz w:val="24"/>
                <w:highlight w:val="none"/>
              </w:rPr>
              <w:t>-2。</w:t>
            </w:r>
          </w:p>
          <w:p w14:paraId="13CA8BC1">
            <w:pPr>
              <w:pStyle w:val="136"/>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表3.</w:t>
            </w:r>
            <w:r>
              <w:rPr>
                <w:rFonts w:hint="eastAsia" w:ascii="Times New Roman" w:hAnsi="Times New Roman" w:eastAsia="宋体" w:cs="Times New Roman"/>
                <w:bCs/>
                <w:color w:val="auto"/>
                <w:sz w:val="24"/>
                <w:highlight w:val="none"/>
                <w:lang w:val="en-US" w:eastAsia="zh-CN"/>
              </w:rPr>
              <w:t>2</w:t>
            </w:r>
            <w:r>
              <w:rPr>
                <w:rFonts w:hint="default" w:ascii="Times New Roman" w:hAnsi="Times New Roman" w:eastAsia="宋体" w:cs="Times New Roman"/>
                <w:bCs/>
                <w:color w:val="auto"/>
                <w:sz w:val="24"/>
                <w:highlight w:val="none"/>
              </w:rPr>
              <w:t>-1  福建省近岸海域环境功能区汇总表</w:t>
            </w:r>
            <w:r>
              <w:rPr>
                <w:rFonts w:hint="eastAsia"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摘录）</w:t>
            </w:r>
          </w:p>
          <w:tbl>
            <w:tblPr>
              <w:tblStyle w:val="27"/>
              <w:tblW w:w="823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072"/>
              <w:gridCol w:w="930"/>
              <w:gridCol w:w="855"/>
              <w:gridCol w:w="1605"/>
              <w:gridCol w:w="720"/>
              <w:gridCol w:w="690"/>
              <w:gridCol w:w="724"/>
              <w:gridCol w:w="497"/>
              <w:gridCol w:w="497"/>
            </w:tblGrid>
            <w:tr w14:paraId="6D6582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62" w:hRule="atLeast"/>
                <w:jc w:val="center"/>
              </w:trPr>
              <w:tc>
                <w:tcPr>
                  <w:tcW w:w="647" w:type="dxa"/>
                  <w:vMerge w:val="restart"/>
                  <w:noWrap w:val="0"/>
                  <w:vAlign w:val="center"/>
                </w:tcPr>
                <w:p w14:paraId="45A279F2">
                  <w:pPr>
                    <w:pStyle w:val="87"/>
                    <w:adjustRightInd w:val="0"/>
                    <w:snapToGrid w:val="0"/>
                    <w:spacing w:line="320" w:lineRule="exact"/>
                    <w:jc w:val="center"/>
                    <w:rPr>
                      <w:rFonts w:hint="default" w:ascii="Times New Roman" w:hAnsi="Times New Roman" w:eastAsia="宋体" w:cs="Times New Roman"/>
                      <w:b/>
                      <w:bCs w:val="0"/>
                      <w:color w:val="auto"/>
                      <w:szCs w:val="21"/>
                      <w:highlight w:val="none"/>
                      <w:lang w:eastAsia="zh-CN"/>
                    </w:rPr>
                  </w:pPr>
                  <w:r>
                    <w:rPr>
                      <w:rFonts w:hint="default" w:ascii="Times New Roman" w:hAnsi="Times New Roman" w:eastAsia="宋体" w:cs="Times New Roman"/>
                      <w:b/>
                      <w:bCs w:val="0"/>
                      <w:color w:val="auto"/>
                      <w:szCs w:val="21"/>
                      <w:highlight w:val="none"/>
                      <w:lang w:eastAsia="zh-CN"/>
                    </w:rPr>
                    <w:t>海域名称</w:t>
                  </w:r>
                </w:p>
              </w:tc>
              <w:tc>
                <w:tcPr>
                  <w:tcW w:w="1072" w:type="dxa"/>
                  <w:vMerge w:val="restart"/>
                  <w:noWrap w:val="0"/>
                  <w:vAlign w:val="center"/>
                </w:tcPr>
                <w:p w14:paraId="7FF1A1BF">
                  <w:pPr>
                    <w:pStyle w:val="87"/>
                    <w:adjustRightInd w:val="0"/>
                    <w:snapToGrid w:val="0"/>
                    <w:spacing w:line="320" w:lineRule="exact"/>
                    <w:jc w:val="center"/>
                    <w:rPr>
                      <w:rFonts w:hint="default" w:ascii="Times New Roman" w:hAnsi="Times New Roman" w:eastAsia="宋体" w:cs="Times New Roman"/>
                      <w:b/>
                      <w:bCs w:val="0"/>
                      <w:color w:val="auto"/>
                      <w:szCs w:val="21"/>
                      <w:highlight w:val="none"/>
                      <w:lang w:eastAsia="zh-CN"/>
                    </w:rPr>
                  </w:pPr>
                  <w:r>
                    <w:rPr>
                      <w:rFonts w:hint="default" w:ascii="Times New Roman" w:hAnsi="Times New Roman" w:eastAsia="宋体" w:cs="Times New Roman"/>
                      <w:b/>
                      <w:bCs w:val="0"/>
                      <w:color w:val="auto"/>
                      <w:szCs w:val="21"/>
                      <w:highlight w:val="none"/>
                      <w:lang w:eastAsia="zh-CN"/>
                    </w:rPr>
                    <w:t>标识号</w:t>
                  </w:r>
                </w:p>
              </w:tc>
              <w:tc>
                <w:tcPr>
                  <w:tcW w:w="930" w:type="dxa"/>
                  <w:vMerge w:val="restart"/>
                  <w:noWrap w:val="0"/>
                  <w:vAlign w:val="center"/>
                </w:tcPr>
                <w:p w14:paraId="20CC81D1">
                  <w:pPr>
                    <w:pStyle w:val="87"/>
                    <w:adjustRightInd w:val="0"/>
                    <w:snapToGrid w:val="0"/>
                    <w:spacing w:line="320" w:lineRule="exact"/>
                    <w:jc w:val="center"/>
                    <w:rPr>
                      <w:rFonts w:hint="default" w:ascii="Times New Roman" w:hAnsi="Times New Roman" w:eastAsia="宋体" w:cs="Times New Roman"/>
                      <w:b/>
                      <w:bCs w:val="0"/>
                      <w:color w:val="auto"/>
                      <w:szCs w:val="21"/>
                      <w:highlight w:val="none"/>
                      <w:lang w:eastAsia="zh-CN"/>
                    </w:rPr>
                  </w:pPr>
                  <w:r>
                    <w:rPr>
                      <w:rFonts w:hint="default" w:ascii="Times New Roman" w:hAnsi="Times New Roman" w:eastAsia="宋体" w:cs="Times New Roman"/>
                      <w:b/>
                      <w:bCs w:val="0"/>
                      <w:color w:val="auto"/>
                      <w:szCs w:val="21"/>
                      <w:highlight w:val="none"/>
                      <w:lang w:eastAsia="zh-CN"/>
                    </w:rPr>
                    <w:t>功能区名称</w:t>
                  </w:r>
                </w:p>
              </w:tc>
              <w:tc>
                <w:tcPr>
                  <w:tcW w:w="855" w:type="dxa"/>
                  <w:vMerge w:val="restart"/>
                  <w:noWrap w:val="0"/>
                  <w:vAlign w:val="center"/>
                </w:tcPr>
                <w:p w14:paraId="624CEFAD">
                  <w:pPr>
                    <w:pStyle w:val="87"/>
                    <w:adjustRightInd w:val="0"/>
                    <w:snapToGrid w:val="0"/>
                    <w:spacing w:line="320" w:lineRule="exact"/>
                    <w:jc w:val="center"/>
                    <w:rPr>
                      <w:rFonts w:hint="default" w:ascii="Times New Roman" w:hAnsi="Times New Roman" w:eastAsia="宋体" w:cs="Times New Roman"/>
                      <w:b/>
                      <w:bCs w:val="0"/>
                      <w:color w:val="auto"/>
                      <w:szCs w:val="21"/>
                      <w:highlight w:val="none"/>
                      <w:lang w:eastAsia="zh-CN"/>
                    </w:rPr>
                  </w:pPr>
                  <w:r>
                    <w:rPr>
                      <w:rFonts w:hint="default" w:ascii="Times New Roman" w:hAnsi="Times New Roman" w:eastAsia="宋体" w:cs="Times New Roman"/>
                      <w:b/>
                      <w:bCs w:val="0"/>
                      <w:color w:val="auto"/>
                      <w:szCs w:val="21"/>
                      <w:highlight w:val="none"/>
                      <w:lang w:eastAsia="zh-CN"/>
                    </w:rPr>
                    <w:t>范围</w:t>
                  </w:r>
                </w:p>
              </w:tc>
              <w:tc>
                <w:tcPr>
                  <w:tcW w:w="1605" w:type="dxa"/>
                  <w:vMerge w:val="restart"/>
                  <w:noWrap w:val="0"/>
                  <w:vAlign w:val="center"/>
                </w:tcPr>
                <w:p w14:paraId="5A01E8B9">
                  <w:pPr>
                    <w:pStyle w:val="87"/>
                    <w:adjustRightInd w:val="0"/>
                    <w:snapToGrid w:val="0"/>
                    <w:spacing w:line="320" w:lineRule="exact"/>
                    <w:jc w:val="center"/>
                    <w:rPr>
                      <w:rFonts w:hint="default" w:ascii="Times New Roman" w:hAnsi="Times New Roman" w:eastAsia="宋体" w:cs="Times New Roman"/>
                      <w:b/>
                      <w:bCs w:val="0"/>
                      <w:color w:val="auto"/>
                      <w:szCs w:val="21"/>
                      <w:highlight w:val="none"/>
                      <w:lang w:eastAsia="zh-CN"/>
                    </w:rPr>
                  </w:pPr>
                  <w:r>
                    <w:rPr>
                      <w:rFonts w:hint="default" w:ascii="Times New Roman" w:hAnsi="Times New Roman" w:eastAsia="宋体" w:cs="Times New Roman"/>
                      <w:b/>
                      <w:bCs w:val="0"/>
                      <w:color w:val="auto"/>
                      <w:szCs w:val="21"/>
                      <w:highlight w:val="none"/>
                      <w:lang w:eastAsia="zh-CN"/>
                    </w:rPr>
                    <w:t>中心坐标</w:t>
                  </w:r>
                </w:p>
              </w:tc>
              <w:tc>
                <w:tcPr>
                  <w:tcW w:w="720" w:type="dxa"/>
                  <w:vMerge w:val="restart"/>
                  <w:noWrap w:val="0"/>
                  <w:vAlign w:val="center"/>
                </w:tcPr>
                <w:p w14:paraId="638CE049">
                  <w:pPr>
                    <w:pStyle w:val="87"/>
                    <w:adjustRightInd w:val="0"/>
                    <w:snapToGrid w:val="0"/>
                    <w:spacing w:line="320" w:lineRule="exact"/>
                    <w:jc w:val="center"/>
                    <w:rPr>
                      <w:rFonts w:hint="default" w:ascii="Times New Roman" w:hAnsi="Times New Roman" w:eastAsia="宋体" w:cs="Times New Roman"/>
                      <w:b/>
                      <w:bCs w:val="0"/>
                      <w:color w:val="auto"/>
                      <w:szCs w:val="21"/>
                      <w:highlight w:val="none"/>
                      <w:lang w:eastAsia="zh-CN"/>
                    </w:rPr>
                  </w:pPr>
                  <w:r>
                    <w:rPr>
                      <w:rFonts w:hint="default" w:ascii="Times New Roman" w:hAnsi="Times New Roman" w:eastAsia="宋体" w:cs="Times New Roman"/>
                      <w:b/>
                      <w:bCs w:val="0"/>
                      <w:color w:val="auto"/>
                      <w:szCs w:val="21"/>
                      <w:highlight w:val="none"/>
                      <w:lang w:eastAsia="zh-CN"/>
                    </w:rPr>
                    <w:t>面积</w:t>
                  </w:r>
                  <w:r>
                    <w:rPr>
                      <w:rFonts w:hint="eastAsia" w:ascii="Times New Roman" w:hAnsi="Times New Roman" w:eastAsia="宋体" w:cs="Times New Roman"/>
                      <w:b/>
                      <w:bCs w:val="0"/>
                      <w:color w:val="auto"/>
                      <w:szCs w:val="21"/>
                      <w:highlight w:val="none"/>
                      <w:lang w:val="en-US" w:eastAsia="zh-CN"/>
                    </w:rPr>
                    <w:t>km</w:t>
                  </w:r>
                  <w:r>
                    <w:rPr>
                      <w:rFonts w:hint="eastAsia" w:ascii="Times New Roman" w:hAnsi="Times New Roman" w:eastAsia="宋体" w:cs="Times New Roman"/>
                      <w:b/>
                      <w:bCs w:val="0"/>
                      <w:color w:val="auto"/>
                      <w:szCs w:val="21"/>
                      <w:highlight w:val="none"/>
                      <w:vertAlign w:val="superscript"/>
                      <w:lang w:val="en-US" w:eastAsia="zh-CN"/>
                    </w:rPr>
                    <w:t>2</w:t>
                  </w:r>
                </w:p>
              </w:tc>
              <w:tc>
                <w:tcPr>
                  <w:tcW w:w="1414" w:type="dxa"/>
                  <w:gridSpan w:val="2"/>
                  <w:noWrap w:val="0"/>
                  <w:vAlign w:val="center"/>
                </w:tcPr>
                <w:p w14:paraId="702BB2A3">
                  <w:pPr>
                    <w:pStyle w:val="87"/>
                    <w:adjustRightInd w:val="0"/>
                    <w:snapToGrid w:val="0"/>
                    <w:spacing w:line="320" w:lineRule="exact"/>
                    <w:jc w:val="center"/>
                    <w:rPr>
                      <w:rFonts w:hint="default" w:ascii="Times New Roman" w:hAnsi="Times New Roman" w:eastAsia="宋体" w:cs="Times New Roman"/>
                      <w:b/>
                      <w:bCs w:val="0"/>
                      <w:color w:val="auto"/>
                      <w:szCs w:val="21"/>
                      <w:highlight w:val="none"/>
                      <w:lang w:eastAsia="zh-CN"/>
                    </w:rPr>
                  </w:pPr>
                  <w:r>
                    <w:rPr>
                      <w:rFonts w:hint="default" w:ascii="Times New Roman" w:hAnsi="Times New Roman" w:eastAsia="宋体" w:cs="Times New Roman"/>
                      <w:b/>
                      <w:bCs w:val="0"/>
                      <w:color w:val="auto"/>
                      <w:szCs w:val="21"/>
                      <w:highlight w:val="none"/>
                      <w:lang w:eastAsia="zh-CN"/>
                    </w:rPr>
                    <w:t>近岸海域环境功能区</w:t>
                  </w:r>
                </w:p>
              </w:tc>
              <w:tc>
                <w:tcPr>
                  <w:tcW w:w="994" w:type="dxa"/>
                  <w:gridSpan w:val="2"/>
                  <w:noWrap w:val="0"/>
                  <w:vAlign w:val="center"/>
                </w:tcPr>
                <w:p w14:paraId="5726B9F4">
                  <w:pPr>
                    <w:pStyle w:val="87"/>
                    <w:adjustRightInd w:val="0"/>
                    <w:snapToGrid w:val="0"/>
                    <w:spacing w:line="320" w:lineRule="exact"/>
                    <w:jc w:val="center"/>
                    <w:rPr>
                      <w:rFonts w:hint="default" w:ascii="Times New Roman" w:hAnsi="Times New Roman" w:eastAsia="宋体" w:cs="Times New Roman"/>
                      <w:b/>
                      <w:bCs w:val="0"/>
                      <w:color w:val="auto"/>
                      <w:szCs w:val="21"/>
                      <w:highlight w:val="none"/>
                      <w:lang w:eastAsia="zh-CN"/>
                    </w:rPr>
                  </w:pPr>
                  <w:r>
                    <w:rPr>
                      <w:rFonts w:hint="default" w:ascii="Times New Roman" w:hAnsi="Times New Roman" w:eastAsia="宋体" w:cs="Times New Roman"/>
                      <w:b/>
                      <w:bCs w:val="0"/>
                      <w:color w:val="auto"/>
                      <w:szCs w:val="21"/>
                      <w:highlight w:val="none"/>
                      <w:lang w:eastAsia="zh-CN"/>
                    </w:rPr>
                    <w:t>水质保护目标</w:t>
                  </w:r>
                </w:p>
              </w:tc>
            </w:tr>
            <w:tr w14:paraId="1E0639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647" w:type="dxa"/>
                  <w:vMerge w:val="continue"/>
                  <w:noWrap w:val="0"/>
                  <w:vAlign w:val="center"/>
                </w:tcPr>
                <w:p w14:paraId="60079999">
                  <w:pPr>
                    <w:pStyle w:val="87"/>
                    <w:adjustRightInd w:val="0"/>
                    <w:snapToGrid w:val="0"/>
                    <w:spacing w:line="320" w:lineRule="exact"/>
                    <w:jc w:val="center"/>
                    <w:rPr>
                      <w:rFonts w:hint="default" w:ascii="Times New Roman" w:hAnsi="Times New Roman" w:eastAsia="宋体" w:cs="Times New Roman"/>
                      <w:b/>
                      <w:bCs w:val="0"/>
                      <w:color w:val="auto"/>
                      <w:szCs w:val="21"/>
                      <w:highlight w:val="none"/>
                      <w:lang w:eastAsia="zh-CN"/>
                    </w:rPr>
                  </w:pPr>
                </w:p>
              </w:tc>
              <w:tc>
                <w:tcPr>
                  <w:tcW w:w="1072" w:type="dxa"/>
                  <w:vMerge w:val="continue"/>
                  <w:noWrap w:val="0"/>
                  <w:vAlign w:val="center"/>
                </w:tcPr>
                <w:p w14:paraId="239E613F">
                  <w:pPr>
                    <w:pStyle w:val="87"/>
                    <w:adjustRightInd w:val="0"/>
                    <w:snapToGrid w:val="0"/>
                    <w:spacing w:line="320" w:lineRule="exact"/>
                    <w:jc w:val="center"/>
                    <w:rPr>
                      <w:rFonts w:hint="default" w:ascii="Times New Roman" w:hAnsi="Times New Roman" w:eastAsia="宋体" w:cs="Times New Roman"/>
                      <w:b/>
                      <w:bCs w:val="0"/>
                      <w:color w:val="auto"/>
                      <w:szCs w:val="21"/>
                      <w:highlight w:val="none"/>
                      <w:lang w:eastAsia="zh-CN"/>
                    </w:rPr>
                  </w:pPr>
                </w:p>
              </w:tc>
              <w:tc>
                <w:tcPr>
                  <w:tcW w:w="930" w:type="dxa"/>
                  <w:vMerge w:val="continue"/>
                  <w:noWrap w:val="0"/>
                  <w:vAlign w:val="center"/>
                </w:tcPr>
                <w:p w14:paraId="4AC78F62">
                  <w:pPr>
                    <w:pStyle w:val="87"/>
                    <w:adjustRightInd w:val="0"/>
                    <w:snapToGrid w:val="0"/>
                    <w:spacing w:line="320" w:lineRule="exact"/>
                    <w:jc w:val="center"/>
                    <w:rPr>
                      <w:rFonts w:hint="default" w:ascii="Times New Roman" w:hAnsi="Times New Roman" w:eastAsia="宋体" w:cs="Times New Roman"/>
                      <w:b/>
                      <w:bCs w:val="0"/>
                      <w:color w:val="auto"/>
                      <w:szCs w:val="21"/>
                      <w:highlight w:val="none"/>
                      <w:lang w:eastAsia="zh-CN"/>
                    </w:rPr>
                  </w:pPr>
                </w:p>
              </w:tc>
              <w:tc>
                <w:tcPr>
                  <w:tcW w:w="855" w:type="dxa"/>
                  <w:vMerge w:val="continue"/>
                  <w:noWrap w:val="0"/>
                  <w:vAlign w:val="center"/>
                </w:tcPr>
                <w:p w14:paraId="01AB794E">
                  <w:pPr>
                    <w:pStyle w:val="87"/>
                    <w:adjustRightInd w:val="0"/>
                    <w:snapToGrid w:val="0"/>
                    <w:spacing w:line="320" w:lineRule="exact"/>
                    <w:jc w:val="center"/>
                    <w:rPr>
                      <w:rFonts w:hint="default" w:ascii="Times New Roman" w:hAnsi="Times New Roman" w:eastAsia="宋体" w:cs="Times New Roman"/>
                      <w:b/>
                      <w:bCs w:val="0"/>
                      <w:color w:val="auto"/>
                      <w:szCs w:val="21"/>
                      <w:highlight w:val="none"/>
                      <w:lang w:eastAsia="zh-CN"/>
                    </w:rPr>
                  </w:pPr>
                </w:p>
              </w:tc>
              <w:tc>
                <w:tcPr>
                  <w:tcW w:w="1605" w:type="dxa"/>
                  <w:vMerge w:val="continue"/>
                  <w:noWrap w:val="0"/>
                  <w:vAlign w:val="center"/>
                </w:tcPr>
                <w:p w14:paraId="6FBAE025">
                  <w:pPr>
                    <w:pStyle w:val="87"/>
                    <w:adjustRightInd w:val="0"/>
                    <w:snapToGrid w:val="0"/>
                    <w:spacing w:line="320" w:lineRule="exact"/>
                    <w:jc w:val="center"/>
                    <w:rPr>
                      <w:rFonts w:hint="default" w:ascii="Times New Roman" w:hAnsi="Times New Roman" w:eastAsia="宋体" w:cs="Times New Roman"/>
                      <w:b/>
                      <w:bCs w:val="0"/>
                      <w:color w:val="auto"/>
                      <w:szCs w:val="21"/>
                      <w:highlight w:val="none"/>
                      <w:lang w:eastAsia="zh-CN"/>
                    </w:rPr>
                  </w:pPr>
                </w:p>
              </w:tc>
              <w:tc>
                <w:tcPr>
                  <w:tcW w:w="720" w:type="dxa"/>
                  <w:vMerge w:val="continue"/>
                  <w:noWrap w:val="0"/>
                  <w:vAlign w:val="center"/>
                </w:tcPr>
                <w:p w14:paraId="5CD5A53A">
                  <w:pPr>
                    <w:pStyle w:val="87"/>
                    <w:adjustRightInd w:val="0"/>
                    <w:snapToGrid w:val="0"/>
                    <w:spacing w:line="320" w:lineRule="exact"/>
                    <w:jc w:val="center"/>
                    <w:rPr>
                      <w:rFonts w:hint="default" w:ascii="Times New Roman" w:hAnsi="Times New Roman" w:eastAsia="宋体" w:cs="Times New Roman"/>
                      <w:b/>
                      <w:bCs w:val="0"/>
                      <w:color w:val="auto"/>
                      <w:szCs w:val="21"/>
                      <w:highlight w:val="none"/>
                      <w:lang w:eastAsia="zh-CN"/>
                    </w:rPr>
                  </w:pPr>
                </w:p>
              </w:tc>
              <w:tc>
                <w:tcPr>
                  <w:tcW w:w="690" w:type="dxa"/>
                  <w:noWrap w:val="0"/>
                  <w:vAlign w:val="center"/>
                </w:tcPr>
                <w:p w14:paraId="094ED5C1">
                  <w:pPr>
                    <w:pStyle w:val="87"/>
                    <w:adjustRightInd w:val="0"/>
                    <w:snapToGrid w:val="0"/>
                    <w:spacing w:line="320" w:lineRule="exact"/>
                    <w:jc w:val="center"/>
                    <w:rPr>
                      <w:rFonts w:hint="default" w:ascii="Times New Roman" w:hAnsi="Times New Roman" w:eastAsia="宋体" w:cs="Times New Roman"/>
                      <w:b/>
                      <w:bCs w:val="0"/>
                      <w:color w:val="auto"/>
                      <w:szCs w:val="21"/>
                      <w:highlight w:val="none"/>
                      <w:lang w:eastAsia="zh-CN"/>
                    </w:rPr>
                  </w:pPr>
                  <w:r>
                    <w:rPr>
                      <w:rFonts w:hint="default" w:ascii="Times New Roman" w:hAnsi="Times New Roman" w:eastAsia="宋体" w:cs="Times New Roman"/>
                      <w:b/>
                      <w:bCs w:val="0"/>
                      <w:color w:val="auto"/>
                      <w:szCs w:val="21"/>
                      <w:highlight w:val="none"/>
                      <w:lang w:eastAsia="zh-CN"/>
                    </w:rPr>
                    <w:t>主导功能</w:t>
                  </w:r>
                </w:p>
              </w:tc>
              <w:tc>
                <w:tcPr>
                  <w:tcW w:w="724" w:type="dxa"/>
                  <w:noWrap w:val="0"/>
                  <w:vAlign w:val="center"/>
                </w:tcPr>
                <w:p w14:paraId="1738BA3D">
                  <w:pPr>
                    <w:pStyle w:val="87"/>
                    <w:adjustRightInd w:val="0"/>
                    <w:snapToGrid w:val="0"/>
                    <w:spacing w:line="320" w:lineRule="exact"/>
                    <w:jc w:val="center"/>
                    <w:rPr>
                      <w:rFonts w:hint="default" w:ascii="Times New Roman" w:hAnsi="Times New Roman" w:eastAsia="宋体" w:cs="Times New Roman"/>
                      <w:b/>
                      <w:bCs w:val="0"/>
                      <w:color w:val="auto"/>
                      <w:szCs w:val="21"/>
                      <w:highlight w:val="none"/>
                      <w:lang w:eastAsia="zh-CN"/>
                    </w:rPr>
                  </w:pPr>
                  <w:r>
                    <w:rPr>
                      <w:rFonts w:hint="default" w:ascii="Times New Roman" w:hAnsi="Times New Roman" w:eastAsia="宋体" w:cs="Times New Roman"/>
                      <w:b/>
                      <w:bCs w:val="0"/>
                      <w:color w:val="auto"/>
                      <w:szCs w:val="21"/>
                      <w:highlight w:val="none"/>
                      <w:lang w:eastAsia="zh-CN"/>
                    </w:rPr>
                    <w:t>辅助功能</w:t>
                  </w:r>
                </w:p>
              </w:tc>
              <w:tc>
                <w:tcPr>
                  <w:tcW w:w="497" w:type="dxa"/>
                  <w:noWrap w:val="0"/>
                  <w:vAlign w:val="center"/>
                </w:tcPr>
                <w:p w14:paraId="07FCFC5E">
                  <w:pPr>
                    <w:pStyle w:val="87"/>
                    <w:adjustRightInd w:val="0"/>
                    <w:snapToGrid w:val="0"/>
                    <w:spacing w:line="320" w:lineRule="exact"/>
                    <w:jc w:val="center"/>
                    <w:rPr>
                      <w:rFonts w:hint="default" w:ascii="Times New Roman" w:hAnsi="Times New Roman" w:eastAsia="宋体" w:cs="Times New Roman"/>
                      <w:b/>
                      <w:bCs w:val="0"/>
                      <w:color w:val="auto"/>
                      <w:szCs w:val="21"/>
                      <w:highlight w:val="none"/>
                      <w:lang w:eastAsia="zh-CN"/>
                    </w:rPr>
                  </w:pPr>
                  <w:r>
                    <w:rPr>
                      <w:rFonts w:hint="default" w:ascii="Times New Roman" w:hAnsi="Times New Roman" w:eastAsia="宋体" w:cs="Times New Roman"/>
                      <w:b/>
                      <w:bCs w:val="0"/>
                      <w:color w:val="auto"/>
                      <w:szCs w:val="21"/>
                      <w:highlight w:val="none"/>
                      <w:lang w:eastAsia="zh-CN"/>
                    </w:rPr>
                    <w:t>近期</w:t>
                  </w:r>
                </w:p>
              </w:tc>
              <w:tc>
                <w:tcPr>
                  <w:tcW w:w="497" w:type="dxa"/>
                  <w:noWrap w:val="0"/>
                  <w:vAlign w:val="center"/>
                </w:tcPr>
                <w:p w14:paraId="216F488D">
                  <w:pPr>
                    <w:pStyle w:val="87"/>
                    <w:adjustRightInd w:val="0"/>
                    <w:snapToGrid w:val="0"/>
                    <w:spacing w:line="320" w:lineRule="exact"/>
                    <w:jc w:val="center"/>
                    <w:rPr>
                      <w:rFonts w:hint="default" w:ascii="Times New Roman" w:hAnsi="Times New Roman" w:eastAsia="宋体" w:cs="Times New Roman"/>
                      <w:b/>
                      <w:bCs w:val="0"/>
                      <w:color w:val="auto"/>
                      <w:szCs w:val="21"/>
                      <w:highlight w:val="none"/>
                      <w:lang w:eastAsia="zh-CN"/>
                    </w:rPr>
                  </w:pPr>
                  <w:r>
                    <w:rPr>
                      <w:rFonts w:hint="default" w:ascii="Times New Roman" w:hAnsi="Times New Roman" w:eastAsia="宋体" w:cs="Times New Roman"/>
                      <w:b/>
                      <w:bCs w:val="0"/>
                      <w:color w:val="auto"/>
                      <w:szCs w:val="21"/>
                      <w:highlight w:val="none"/>
                      <w:lang w:eastAsia="zh-CN"/>
                    </w:rPr>
                    <w:t>远期</w:t>
                  </w:r>
                </w:p>
              </w:tc>
            </w:tr>
            <w:tr w14:paraId="29141F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08" w:hRule="atLeast"/>
                <w:jc w:val="center"/>
              </w:trPr>
              <w:tc>
                <w:tcPr>
                  <w:tcW w:w="647" w:type="dxa"/>
                  <w:noWrap w:val="0"/>
                  <w:vAlign w:val="center"/>
                </w:tcPr>
                <w:p w14:paraId="62A431A6">
                  <w:pPr>
                    <w:pStyle w:val="87"/>
                    <w:adjustRightInd w:val="0"/>
                    <w:snapToGrid w:val="0"/>
                    <w:spacing w:line="320" w:lineRule="exact"/>
                    <w:jc w:val="center"/>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罗源湾东北部海域</w:t>
                  </w:r>
                </w:p>
              </w:tc>
              <w:tc>
                <w:tcPr>
                  <w:tcW w:w="1072" w:type="dxa"/>
                  <w:noWrap w:val="0"/>
                  <w:vAlign w:val="center"/>
                </w:tcPr>
                <w:p w14:paraId="59AE7F02">
                  <w:pPr>
                    <w:pStyle w:val="87"/>
                    <w:adjustRightInd w:val="0"/>
                    <w:snapToGrid w:val="0"/>
                    <w:spacing w:line="320" w:lineRule="exact"/>
                    <w:jc w:val="center"/>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FJ030-D-Ⅲ</w:t>
                  </w:r>
                </w:p>
              </w:tc>
              <w:tc>
                <w:tcPr>
                  <w:tcW w:w="930" w:type="dxa"/>
                  <w:noWrap w:val="0"/>
                  <w:vAlign w:val="center"/>
                </w:tcPr>
                <w:p w14:paraId="03D6BC14">
                  <w:pPr>
                    <w:pStyle w:val="87"/>
                    <w:adjustRightInd w:val="0"/>
                    <w:snapToGrid w:val="0"/>
                    <w:spacing w:line="320" w:lineRule="exact"/>
                    <w:jc w:val="center"/>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罗源湾北部四类区</w:t>
                  </w:r>
                </w:p>
              </w:tc>
              <w:tc>
                <w:tcPr>
                  <w:tcW w:w="855" w:type="dxa"/>
                  <w:noWrap w:val="0"/>
                  <w:vAlign w:val="center"/>
                </w:tcPr>
                <w:p w14:paraId="1F076E08">
                  <w:pPr>
                    <w:pStyle w:val="87"/>
                    <w:adjustRightInd w:val="0"/>
                    <w:snapToGrid w:val="0"/>
                    <w:spacing w:line="320" w:lineRule="exact"/>
                    <w:jc w:val="center"/>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罗源湾东南部海域</w:t>
                  </w:r>
                </w:p>
              </w:tc>
              <w:tc>
                <w:tcPr>
                  <w:tcW w:w="1605" w:type="dxa"/>
                  <w:noWrap w:val="0"/>
                  <w:vAlign w:val="center"/>
                </w:tcPr>
                <w:p w14:paraId="0A8CF87E">
                  <w:pPr>
                    <w:pStyle w:val="87"/>
                    <w:adjustRightInd w:val="0"/>
                    <w:snapToGrid w:val="0"/>
                    <w:spacing w:line="320" w:lineRule="exact"/>
                    <w:jc w:val="center"/>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26°26’49.92”N,119°42’43.2”E</w:t>
                  </w:r>
                </w:p>
              </w:tc>
              <w:tc>
                <w:tcPr>
                  <w:tcW w:w="720" w:type="dxa"/>
                  <w:noWrap w:val="0"/>
                  <w:vAlign w:val="center"/>
                </w:tcPr>
                <w:p w14:paraId="61D5A713">
                  <w:pPr>
                    <w:pStyle w:val="87"/>
                    <w:adjustRightInd w:val="0"/>
                    <w:snapToGrid w:val="0"/>
                    <w:spacing w:line="320" w:lineRule="exact"/>
                    <w:jc w:val="center"/>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38.19</w:t>
                  </w:r>
                </w:p>
              </w:tc>
              <w:tc>
                <w:tcPr>
                  <w:tcW w:w="690" w:type="dxa"/>
                  <w:noWrap w:val="0"/>
                  <w:vAlign w:val="center"/>
                </w:tcPr>
                <w:p w14:paraId="4DD5D088">
                  <w:pPr>
                    <w:pStyle w:val="87"/>
                    <w:adjustRightInd w:val="0"/>
                    <w:snapToGrid w:val="0"/>
                    <w:spacing w:line="320" w:lineRule="exact"/>
                    <w:jc w:val="center"/>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港口、航运</w:t>
                  </w:r>
                </w:p>
              </w:tc>
              <w:tc>
                <w:tcPr>
                  <w:tcW w:w="724" w:type="dxa"/>
                  <w:noWrap w:val="0"/>
                  <w:vAlign w:val="center"/>
                </w:tcPr>
                <w:p w14:paraId="6EC9E32B">
                  <w:pPr>
                    <w:pStyle w:val="87"/>
                    <w:adjustRightInd w:val="0"/>
                    <w:snapToGrid w:val="0"/>
                    <w:spacing w:line="320" w:lineRule="exact"/>
                    <w:jc w:val="center"/>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一般工业用水</w:t>
                  </w:r>
                </w:p>
              </w:tc>
              <w:tc>
                <w:tcPr>
                  <w:tcW w:w="497" w:type="dxa"/>
                  <w:noWrap w:val="0"/>
                  <w:vAlign w:val="center"/>
                </w:tcPr>
                <w:p w14:paraId="6BAA8F0E">
                  <w:pPr>
                    <w:pStyle w:val="87"/>
                    <w:adjustRightInd w:val="0"/>
                    <w:snapToGrid w:val="0"/>
                    <w:spacing w:line="320" w:lineRule="exact"/>
                    <w:jc w:val="center"/>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三</w:t>
                  </w:r>
                </w:p>
              </w:tc>
              <w:tc>
                <w:tcPr>
                  <w:tcW w:w="497" w:type="dxa"/>
                  <w:noWrap w:val="0"/>
                  <w:vAlign w:val="center"/>
                </w:tcPr>
                <w:p w14:paraId="5355923B">
                  <w:pPr>
                    <w:pStyle w:val="87"/>
                    <w:adjustRightInd w:val="0"/>
                    <w:snapToGrid w:val="0"/>
                    <w:spacing w:line="320" w:lineRule="exact"/>
                    <w:jc w:val="center"/>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三</w:t>
                  </w:r>
                </w:p>
              </w:tc>
            </w:tr>
          </w:tbl>
          <w:p w14:paraId="258ED8BF">
            <w:pPr>
              <w:pStyle w:val="136"/>
              <w:rPr>
                <w:rFonts w:hint="default" w:ascii="Times New Roman" w:hAnsi="Times New Roman" w:eastAsia="宋体" w:cs="Times New Roman"/>
                <w:bCs/>
                <w:color w:val="auto"/>
                <w:sz w:val="24"/>
                <w:highlight w:val="none"/>
              </w:rPr>
            </w:pPr>
          </w:p>
          <w:p w14:paraId="634F1628">
            <w:pPr>
              <w:pStyle w:val="136"/>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表3.</w:t>
            </w:r>
            <w:r>
              <w:rPr>
                <w:rFonts w:hint="eastAsia" w:ascii="Times New Roman" w:hAnsi="Times New Roman" w:eastAsia="宋体" w:cs="Times New Roman"/>
                <w:bCs/>
                <w:color w:val="auto"/>
                <w:sz w:val="24"/>
                <w:highlight w:val="none"/>
                <w:lang w:val="en-US" w:eastAsia="zh-CN"/>
              </w:rPr>
              <w:t>2</w:t>
            </w:r>
            <w:r>
              <w:rPr>
                <w:rFonts w:hint="default" w:ascii="Times New Roman" w:hAnsi="Times New Roman" w:eastAsia="宋体" w:cs="Times New Roman"/>
                <w:bCs/>
                <w:color w:val="auto"/>
                <w:sz w:val="24"/>
                <w:highlight w:val="none"/>
              </w:rPr>
              <w:t>-2  《海水水质标准》 （GB3097-1997）</w:t>
            </w:r>
          </w:p>
          <w:tbl>
            <w:tblPr>
              <w:tblStyle w:val="28"/>
              <w:tblW w:w="81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7"/>
              <w:gridCol w:w="2390"/>
              <w:gridCol w:w="835"/>
              <w:gridCol w:w="4246"/>
            </w:tblGrid>
            <w:tr w14:paraId="614CEB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667" w:type="dxa"/>
                  <w:tcBorders>
                    <w:tl2br w:val="nil"/>
                    <w:tr2bl w:val="nil"/>
                  </w:tcBorders>
                  <w:noWrap w:val="0"/>
                  <w:vAlign w:val="center"/>
                </w:tcPr>
                <w:p w14:paraId="5CDDFBE3">
                  <w:pPr>
                    <w:pStyle w:val="87"/>
                    <w:adjustRightInd w:val="0"/>
                    <w:snapToGrid w:val="0"/>
                    <w:spacing w:line="320" w:lineRule="exact"/>
                    <w:jc w:val="center"/>
                    <w:rPr>
                      <w:rFonts w:hint="default" w:ascii="Times New Roman" w:hAnsi="Times New Roman" w:eastAsia="宋体" w:cs="Times New Roman"/>
                      <w:b/>
                      <w:bCs w:val="0"/>
                      <w:color w:val="auto"/>
                      <w:szCs w:val="21"/>
                      <w:highlight w:val="none"/>
                      <w:lang w:eastAsia="zh-CN"/>
                    </w:rPr>
                  </w:pPr>
                  <w:r>
                    <w:rPr>
                      <w:rFonts w:hint="default" w:ascii="Times New Roman" w:hAnsi="Times New Roman" w:eastAsia="宋体" w:cs="Times New Roman"/>
                      <w:b/>
                      <w:bCs w:val="0"/>
                      <w:color w:val="auto"/>
                      <w:szCs w:val="21"/>
                      <w:highlight w:val="none"/>
                      <w:lang w:eastAsia="zh-CN"/>
                    </w:rPr>
                    <w:t>序号</w:t>
                  </w:r>
                </w:p>
              </w:tc>
              <w:tc>
                <w:tcPr>
                  <w:tcW w:w="2390" w:type="dxa"/>
                  <w:tcBorders>
                    <w:tl2br w:val="nil"/>
                    <w:tr2bl w:val="nil"/>
                  </w:tcBorders>
                  <w:noWrap w:val="0"/>
                  <w:vAlign w:val="center"/>
                </w:tcPr>
                <w:p w14:paraId="3C183D17">
                  <w:pPr>
                    <w:pStyle w:val="87"/>
                    <w:adjustRightInd w:val="0"/>
                    <w:snapToGrid w:val="0"/>
                    <w:spacing w:line="320" w:lineRule="exact"/>
                    <w:jc w:val="center"/>
                    <w:rPr>
                      <w:rFonts w:hint="default" w:ascii="Times New Roman" w:hAnsi="Times New Roman" w:eastAsia="宋体" w:cs="Times New Roman"/>
                      <w:b/>
                      <w:bCs w:val="0"/>
                      <w:color w:val="auto"/>
                      <w:szCs w:val="21"/>
                      <w:highlight w:val="none"/>
                      <w:lang w:eastAsia="zh-CN"/>
                    </w:rPr>
                  </w:pPr>
                  <w:r>
                    <w:rPr>
                      <w:rFonts w:hint="default" w:ascii="Times New Roman" w:hAnsi="Times New Roman" w:eastAsia="宋体" w:cs="Times New Roman"/>
                      <w:b/>
                      <w:bCs w:val="0"/>
                      <w:color w:val="auto"/>
                      <w:szCs w:val="21"/>
                      <w:highlight w:val="none"/>
                      <w:lang w:eastAsia="zh-CN"/>
                    </w:rPr>
                    <w:t>项目</w:t>
                  </w:r>
                </w:p>
              </w:tc>
              <w:tc>
                <w:tcPr>
                  <w:tcW w:w="835" w:type="dxa"/>
                  <w:tcBorders>
                    <w:tl2br w:val="nil"/>
                    <w:tr2bl w:val="nil"/>
                  </w:tcBorders>
                  <w:noWrap w:val="0"/>
                  <w:vAlign w:val="center"/>
                </w:tcPr>
                <w:p w14:paraId="2B1BD2C4">
                  <w:pPr>
                    <w:pStyle w:val="87"/>
                    <w:adjustRightInd w:val="0"/>
                    <w:snapToGrid w:val="0"/>
                    <w:spacing w:line="320" w:lineRule="exact"/>
                    <w:jc w:val="center"/>
                    <w:rPr>
                      <w:rFonts w:hint="default" w:ascii="Times New Roman" w:hAnsi="Times New Roman" w:eastAsia="宋体" w:cs="Times New Roman"/>
                      <w:b/>
                      <w:bCs w:val="0"/>
                      <w:color w:val="auto"/>
                      <w:szCs w:val="21"/>
                      <w:highlight w:val="none"/>
                      <w:lang w:eastAsia="zh-CN"/>
                    </w:rPr>
                  </w:pPr>
                  <w:r>
                    <w:rPr>
                      <w:rFonts w:hint="default" w:ascii="Times New Roman" w:hAnsi="Times New Roman" w:eastAsia="宋体" w:cs="Times New Roman"/>
                      <w:b/>
                      <w:bCs w:val="0"/>
                      <w:color w:val="auto"/>
                      <w:szCs w:val="21"/>
                      <w:highlight w:val="none"/>
                      <w:lang w:eastAsia="zh-CN"/>
                    </w:rPr>
                    <w:t>单位</w:t>
                  </w:r>
                </w:p>
              </w:tc>
              <w:tc>
                <w:tcPr>
                  <w:tcW w:w="4246" w:type="dxa"/>
                  <w:tcBorders>
                    <w:tl2br w:val="nil"/>
                    <w:tr2bl w:val="nil"/>
                  </w:tcBorders>
                  <w:noWrap w:val="0"/>
                  <w:vAlign w:val="center"/>
                </w:tcPr>
                <w:p w14:paraId="3B3CF6CB">
                  <w:pPr>
                    <w:pStyle w:val="87"/>
                    <w:adjustRightInd w:val="0"/>
                    <w:snapToGrid w:val="0"/>
                    <w:spacing w:line="320" w:lineRule="exact"/>
                    <w:jc w:val="center"/>
                    <w:rPr>
                      <w:rFonts w:hint="default" w:ascii="Times New Roman" w:hAnsi="Times New Roman" w:eastAsia="宋体" w:cs="Times New Roman"/>
                      <w:b/>
                      <w:bCs w:val="0"/>
                      <w:color w:val="auto"/>
                      <w:szCs w:val="21"/>
                      <w:highlight w:val="none"/>
                      <w:lang w:eastAsia="zh-CN"/>
                    </w:rPr>
                  </w:pPr>
                  <w:r>
                    <w:rPr>
                      <w:rFonts w:hint="default" w:ascii="Times New Roman" w:hAnsi="Times New Roman" w:eastAsia="宋体" w:cs="Times New Roman"/>
                      <w:b/>
                      <w:bCs w:val="0"/>
                      <w:color w:val="auto"/>
                      <w:szCs w:val="21"/>
                      <w:highlight w:val="none"/>
                      <w:lang w:eastAsia="zh-CN"/>
                    </w:rPr>
                    <w:t>第三类</w:t>
                  </w:r>
                </w:p>
              </w:tc>
            </w:tr>
            <w:tr w14:paraId="4F06A1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667" w:type="dxa"/>
                  <w:tcBorders>
                    <w:tl2br w:val="nil"/>
                    <w:tr2bl w:val="nil"/>
                  </w:tcBorders>
                  <w:noWrap w:val="0"/>
                  <w:vAlign w:val="center"/>
                </w:tcPr>
                <w:p w14:paraId="0B48B2A6">
                  <w:pPr>
                    <w:pStyle w:val="87"/>
                    <w:adjustRightInd w:val="0"/>
                    <w:snapToGrid w:val="0"/>
                    <w:spacing w:line="320" w:lineRule="exact"/>
                    <w:jc w:val="center"/>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1</w:t>
                  </w:r>
                </w:p>
              </w:tc>
              <w:tc>
                <w:tcPr>
                  <w:tcW w:w="2390" w:type="dxa"/>
                  <w:tcBorders>
                    <w:tl2br w:val="nil"/>
                    <w:tr2bl w:val="nil"/>
                  </w:tcBorders>
                  <w:noWrap w:val="0"/>
                  <w:vAlign w:val="center"/>
                </w:tcPr>
                <w:p w14:paraId="3AE1F94E">
                  <w:pPr>
                    <w:pStyle w:val="87"/>
                    <w:adjustRightInd w:val="0"/>
                    <w:snapToGrid w:val="0"/>
                    <w:spacing w:line="320" w:lineRule="exact"/>
                    <w:jc w:val="center"/>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水温</w:t>
                  </w:r>
                </w:p>
              </w:tc>
              <w:tc>
                <w:tcPr>
                  <w:tcW w:w="835" w:type="dxa"/>
                  <w:tcBorders>
                    <w:tl2br w:val="nil"/>
                    <w:tr2bl w:val="nil"/>
                  </w:tcBorders>
                  <w:noWrap w:val="0"/>
                  <w:vAlign w:val="center"/>
                </w:tcPr>
                <w:p w14:paraId="2C098B50">
                  <w:pPr>
                    <w:pStyle w:val="87"/>
                    <w:adjustRightInd w:val="0"/>
                    <w:snapToGrid w:val="0"/>
                    <w:spacing w:line="320" w:lineRule="exact"/>
                    <w:jc w:val="center"/>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w:t>
                  </w:r>
                </w:p>
              </w:tc>
              <w:tc>
                <w:tcPr>
                  <w:tcW w:w="4246" w:type="dxa"/>
                  <w:tcBorders>
                    <w:tl2br w:val="nil"/>
                    <w:tr2bl w:val="nil"/>
                  </w:tcBorders>
                  <w:noWrap w:val="0"/>
                  <w:vAlign w:val="center"/>
                </w:tcPr>
                <w:p w14:paraId="3700F490">
                  <w:pPr>
                    <w:pStyle w:val="87"/>
                    <w:adjustRightInd w:val="0"/>
                    <w:snapToGrid w:val="0"/>
                    <w:spacing w:line="320" w:lineRule="exact"/>
                    <w:jc w:val="center"/>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人为造成的海水温升不超过当时当地4℃</w:t>
                  </w:r>
                </w:p>
              </w:tc>
            </w:tr>
            <w:tr w14:paraId="330B38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667" w:type="dxa"/>
                  <w:tcBorders>
                    <w:tl2br w:val="nil"/>
                    <w:tr2bl w:val="nil"/>
                  </w:tcBorders>
                  <w:noWrap w:val="0"/>
                  <w:vAlign w:val="center"/>
                </w:tcPr>
                <w:p w14:paraId="50C31C96">
                  <w:pPr>
                    <w:pStyle w:val="87"/>
                    <w:adjustRightInd w:val="0"/>
                    <w:snapToGrid w:val="0"/>
                    <w:spacing w:line="320" w:lineRule="exact"/>
                    <w:jc w:val="center"/>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2</w:t>
                  </w:r>
                </w:p>
              </w:tc>
              <w:tc>
                <w:tcPr>
                  <w:tcW w:w="2390" w:type="dxa"/>
                  <w:tcBorders>
                    <w:tl2br w:val="nil"/>
                    <w:tr2bl w:val="nil"/>
                  </w:tcBorders>
                  <w:noWrap w:val="0"/>
                  <w:vAlign w:val="center"/>
                </w:tcPr>
                <w:p w14:paraId="1E49C920">
                  <w:pPr>
                    <w:pStyle w:val="87"/>
                    <w:adjustRightInd w:val="0"/>
                    <w:snapToGrid w:val="0"/>
                    <w:spacing w:line="320" w:lineRule="exact"/>
                    <w:jc w:val="center"/>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pH</w:t>
                  </w:r>
                </w:p>
              </w:tc>
              <w:tc>
                <w:tcPr>
                  <w:tcW w:w="835" w:type="dxa"/>
                  <w:tcBorders>
                    <w:tl2br w:val="nil"/>
                    <w:tr2bl w:val="nil"/>
                  </w:tcBorders>
                  <w:noWrap w:val="0"/>
                  <w:vAlign w:val="center"/>
                </w:tcPr>
                <w:p w14:paraId="6F8B5FFE">
                  <w:pPr>
                    <w:pStyle w:val="87"/>
                    <w:adjustRightInd w:val="0"/>
                    <w:snapToGrid w:val="0"/>
                    <w:spacing w:line="320" w:lineRule="exact"/>
                    <w:jc w:val="center"/>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无量纲</w:t>
                  </w:r>
                </w:p>
              </w:tc>
              <w:tc>
                <w:tcPr>
                  <w:tcW w:w="4246" w:type="dxa"/>
                  <w:tcBorders>
                    <w:tl2br w:val="nil"/>
                    <w:tr2bl w:val="nil"/>
                  </w:tcBorders>
                  <w:noWrap w:val="0"/>
                  <w:vAlign w:val="center"/>
                </w:tcPr>
                <w:p w14:paraId="451ADB2F">
                  <w:pPr>
                    <w:pStyle w:val="87"/>
                    <w:adjustRightInd w:val="0"/>
                    <w:snapToGrid w:val="0"/>
                    <w:spacing w:line="320" w:lineRule="exact"/>
                    <w:jc w:val="center"/>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6.8-8.8，同时不超过该海域正常变动范围的0.5pH单位</w:t>
                  </w:r>
                </w:p>
              </w:tc>
            </w:tr>
            <w:tr w14:paraId="32F7ED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667" w:type="dxa"/>
                  <w:tcBorders>
                    <w:tl2br w:val="nil"/>
                    <w:tr2bl w:val="nil"/>
                  </w:tcBorders>
                  <w:noWrap w:val="0"/>
                  <w:vAlign w:val="center"/>
                </w:tcPr>
                <w:p w14:paraId="73803AD9">
                  <w:pPr>
                    <w:pStyle w:val="87"/>
                    <w:adjustRightInd w:val="0"/>
                    <w:snapToGrid w:val="0"/>
                    <w:spacing w:line="320" w:lineRule="exact"/>
                    <w:jc w:val="center"/>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3</w:t>
                  </w:r>
                </w:p>
              </w:tc>
              <w:tc>
                <w:tcPr>
                  <w:tcW w:w="2390" w:type="dxa"/>
                  <w:tcBorders>
                    <w:tl2br w:val="nil"/>
                    <w:tr2bl w:val="nil"/>
                  </w:tcBorders>
                  <w:noWrap w:val="0"/>
                  <w:vAlign w:val="center"/>
                </w:tcPr>
                <w:p w14:paraId="1477765B">
                  <w:pPr>
                    <w:pStyle w:val="87"/>
                    <w:adjustRightInd w:val="0"/>
                    <w:snapToGrid w:val="0"/>
                    <w:spacing w:line="320" w:lineRule="exact"/>
                    <w:jc w:val="center"/>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化学需氧量≤</w:t>
                  </w:r>
                </w:p>
              </w:tc>
              <w:tc>
                <w:tcPr>
                  <w:tcW w:w="835" w:type="dxa"/>
                  <w:vMerge w:val="restart"/>
                  <w:tcBorders>
                    <w:tl2br w:val="nil"/>
                    <w:tr2bl w:val="nil"/>
                  </w:tcBorders>
                  <w:noWrap w:val="0"/>
                  <w:vAlign w:val="center"/>
                </w:tcPr>
                <w:p w14:paraId="6E6725BE">
                  <w:pPr>
                    <w:pStyle w:val="87"/>
                    <w:adjustRightInd w:val="0"/>
                    <w:snapToGrid w:val="0"/>
                    <w:spacing w:line="320" w:lineRule="exact"/>
                    <w:jc w:val="center"/>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mg/L</w:t>
                  </w:r>
                </w:p>
              </w:tc>
              <w:tc>
                <w:tcPr>
                  <w:tcW w:w="4246" w:type="dxa"/>
                  <w:tcBorders>
                    <w:tl2br w:val="nil"/>
                    <w:tr2bl w:val="nil"/>
                  </w:tcBorders>
                  <w:noWrap w:val="0"/>
                  <w:vAlign w:val="center"/>
                </w:tcPr>
                <w:p w14:paraId="73B5BC14">
                  <w:pPr>
                    <w:pStyle w:val="87"/>
                    <w:adjustRightInd w:val="0"/>
                    <w:snapToGrid w:val="0"/>
                    <w:spacing w:line="320" w:lineRule="exact"/>
                    <w:jc w:val="center"/>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4</w:t>
                  </w:r>
                </w:p>
              </w:tc>
            </w:tr>
            <w:tr w14:paraId="0BF31D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667" w:type="dxa"/>
                  <w:tcBorders>
                    <w:tl2br w:val="nil"/>
                    <w:tr2bl w:val="nil"/>
                  </w:tcBorders>
                  <w:noWrap w:val="0"/>
                  <w:vAlign w:val="center"/>
                </w:tcPr>
                <w:p w14:paraId="6CC102AC">
                  <w:pPr>
                    <w:pStyle w:val="87"/>
                    <w:adjustRightInd w:val="0"/>
                    <w:snapToGrid w:val="0"/>
                    <w:spacing w:line="320" w:lineRule="exact"/>
                    <w:jc w:val="center"/>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4</w:t>
                  </w:r>
                </w:p>
              </w:tc>
              <w:tc>
                <w:tcPr>
                  <w:tcW w:w="2390" w:type="dxa"/>
                  <w:tcBorders>
                    <w:tl2br w:val="nil"/>
                    <w:tr2bl w:val="nil"/>
                  </w:tcBorders>
                  <w:noWrap w:val="0"/>
                  <w:vAlign w:val="center"/>
                </w:tcPr>
                <w:p w14:paraId="4798509C">
                  <w:pPr>
                    <w:pStyle w:val="87"/>
                    <w:adjustRightInd w:val="0"/>
                    <w:snapToGrid w:val="0"/>
                    <w:spacing w:line="320" w:lineRule="exact"/>
                    <w:jc w:val="center"/>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生化需氧量≤</w:t>
                  </w:r>
                </w:p>
              </w:tc>
              <w:tc>
                <w:tcPr>
                  <w:tcW w:w="835" w:type="dxa"/>
                  <w:vMerge w:val="continue"/>
                  <w:tcBorders>
                    <w:tl2br w:val="nil"/>
                    <w:tr2bl w:val="nil"/>
                  </w:tcBorders>
                  <w:noWrap w:val="0"/>
                  <w:vAlign w:val="center"/>
                </w:tcPr>
                <w:p w14:paraId="1E59657C">
                  <w:pPr>
                    <w:pStyle w:val="87"/>
                    <w:adjustRightInd w:val="0"/>
                    <w:snapToGrid w:val="0"/>
                    <w:spacing w:line="320" w:lineRule="exact"/>
                    <w:jc w:val="center"/>
                    <w:rPr>
                      <w:rFonts w:hint="default" w:ascii="Times New Roman" w:hAnsi="Times New Roman" w:eastAsia="宋体" w:cs="Times New Roman"/>
                      <w:bCs/>
                      <w:color w:val="auto"/>
                      <w:szCs w:val="21"/>
                      <w:highlight w:val="none"/>
                      <w:lang w:eastAsia="zh-CN"/>
                    </w:rPr>
                  </w:pPr>
                </w:p>
              </w:tc>
              <w:tc>
                <w:tcPr>
                  <w:tcW w:w="4246" w:type="dxa"/>
                  <w:tcBorders>
                    <w:tl2br w:val="nil"/>
                    <w:tr2bl w:val="nil"/>
                  </w:tcBorders>
                  <w:noWrap w:val="0"/>
                  <w:vAlign w:val="center"/>
                </w:tcPr>
                <w:p w14:paraId="69DF1F46">
                  <w:pPr>
                    <w:pStyle w:val="87"/>
                    <w:adjustRightInd w:val="0"/>
                    <w:snapToGrid w:val="0"/>
                    <w:spacing w:line="320" w:lineRule="exact"/>
                    <w:jc w:val="center"/>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4</w:t>
                  </w:r>
                </w:p>
              </w:tc>
            </w:tr>
            <w:tr w14:paraId="4AD48F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667" w:type="dxa"/>
                  <w:tcBorders>
                    <w:tl2br w:val="nil"/>
                    <w:tr2bl w:val="nil"/>
                  </w:tcBorders>
                  <w:noWrap w:val="0"/>
                  <w:vAlign w:val="center"/>
                </w:tcPr>
                <w:p w14:paraId="0358E4C8">
                  <w:pPr>
                    <w:pStyle w:val="87"/>
                    <w:adjustRightInd w:val="0"/>
                    <w:snapToGrid w:val="0"/>
                    <w:spacing w:line="320" w:lineRule="exact"/>
                    <w:jc w:val="center"/>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5</w:t>
                  </w:r>
                </w:p>
              </w:tc>
              <w:tc>
                <w:tcPr>
                  <w:tcW w:w="2390" w:type="dxa"/>
                  <w:tcBorders>
                    <w:tl2br w:val="nil"/>
                    <w:tr2bl w:val="nil"/>
                  </w:tcBorders>
                  <w:noWrap w:val="0"/>
                  <w:vAlign w:val="center"/>
                </w:tcPr>
                <w:p w14:paraId="7F0E2634">
                  <w:pPr>
                    <w:pStyle w:val="87"/>
                    <w:adjustRightInd w:val="0"/>
                    <w:snapToGrid w:val="0"/>
                    <w:spacing w:line="320" w:lineRule="exact"/>
                    <w:jc w:val="center"/>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溶解氧&gt;</w:t>
                  </w:r>
                </w:p>
              </w:tc>
              <w:tc>
                <w:tcPr>
                  <w:tcW w:w="835" w:type="dxa"/>
                  <w:vMerge w:val="continue"/>
                  <w:tcBorders>
                    <w:tl2br w:val="nil"/>
                    <w:tr2bl w:val="nil"/>
                  </w:tcBorders>
                  <w:noWrap w:val="0"/>
                  <w:vAlign w:val="center"/>
                </w:tcPr>
                <w:p w14:paraId="7E0A5B6F">
                  <w:pPr>
                    <w:pStyle w:val="87"/>
                    <w:adjustRightInd w:val="0"/>
                    <w:snapToGrid w:val="0"/>
                    <w:spacing w:line="320" w:lineRule="exact"/>
                    <w:jc w:val="center"/>
                    <w:rPr>
                      <w:rFonts w:hint="default" w:ascii="Times New Roman" w:hAnsi="Times New Roman" w:eastAsia="宋体" w:cs="Times New Roman"/>
                      <w:bCs/>
                      <w:color w:val="auto"/>
                      <w:szCs w:val="21"/>
                      <w:highlight w:val="none"/>
                      <w:lang w:eastAsia="zh-CN"/>
                    </w:rPr>
                  </w:pPr>
                </w:p>
              </w:tc>
              <w:tc>
                <w:tcPr>
                  <w:tcW w:w="4246" w:type="dxa"/>
                  <w:tcBorders>
                    <w:tl2br w:val="nil"/>
                    <w:tr2bl w:val="nil"/>
                  </w:tcBorders>
                  <w:noWrap w:val="0"/>
                  <w:vAlign w:val="center"/>
                </w:tcPr>
                <w:p w14:paraId="2182294E">
                  <w:pPr>
                    <w:pStyle w:val="87"/>
                    <w:adjustRightInd w:val="0"/>
                    <w:snapToGrid w:val="0"/>
                    <w:spacing w:line="320" w:lineRule="exact"/>
                    <w:jc w:val="center"/>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4</w:t>
                  </w:r>
                </w:p>
              </w:tc>
            </w:tr>
            <w:tr w14:paraId="756C7B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667" w:type="dxa"/>
                  <w:tcBorders>
                    <w:tl2br w:val="nil"/>
                    <w:tr2bl w:val="nil"/>
                  </w:tcBorders>
                  <w:noWrap w:val="0"/>
                  <w:vAlign w:val="center"/>
                </w:tcPr>
                <w:p w14:paraId="16B5F643">
                  <w:pPr>
                    <w:pStyle w:val="87"/>
                    <w:adjustRightInd w:val="0"/>
                    <w:snapToGrid w:val="0"/>
                    <w:spacing w:line="320" w:lineRule="exact"/>
                    <w:jc w:val="center"/>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6</w:t>
                  </w:r>
                </w:p>
              </w:tc>
              <w:tc>
                <w:tcPr>
                  <w:tcW w:w="2390" w:type="dxa"/>
                  <w:tcBorders>
                    <w:tl2br w:val="nil"/>
                    <w:tr2bl w:val="nil"/>
                  </w:tcBorders>
                  <w:noWrap w:val="0"/>
                  <w:vAlign w:val="center"/>
                </w:tcPr>
                <w:p w14:paraId="4C31D3CE">
                  <w:pPr>
                    <w:pStyle w:val="87"/>
                    <w:adjustRightInd w:val="0"/>
                    <w:snapToGrid w:val="0"/>
                    <w:spacing w:line="320" w:lineRule="exact"/>
                    <w:jc w:val="center"/>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无机氮≤（以N计）</w:t>
                  </w:r>
                </w:p>
              </w:tc>
              <w:tc>
                <w:tcPr>
                  <w:tcW w:w="835" w:type="dxa"/>
                  <w:vMerge w:val="continue"/>
                  <w:tcBorders>
                    <w:tl2br w:val="nil"/>
                    <w:tr2bl w:val="nil"/>
                  </w:tcBorders>
                  <w:noWrap w:val="0"/>
                  <w:vAlign w:val="center"/>
                </w:tcPr>
                <w:p w14:paraId="59AC4611">
                  <w:pPr>
                    <w:pStyle w:val="87"/>
                    <w:adjustRightInd w:val="0"/>
                    <w:snapToGrid w:val="0"/>
                    <w:spacing w:line="320" w:lineRule="exact"/>
                    <w:jc w:val="center"/>
                    <w:rPr>
                      <w:rFonts w:hint="default" w:ascii="Times New Roman" w:hAnsi="Times New Roman" w:eastAsia="宋体" w:cs="Times New Roman"/>
                      <w:bCs/>
                      <w:color w:val="auto"/>
                      <w:szCs w:val="21"/>
                      <w:highlight w:val="none"/>
                      <w:lang w:eastAsia="zh-CN"/>
                    </w:rPr>
                  </w:pPr>
                </w:p>
              </w:tc>
              <w:tc>
                <w:tcPr>
                  <w:tcW w:w="4246" w:type="dxa"/>
                  <w:tcBorders>
                    <w:tl2br w:val="nil"/>
                    <w:tr2bl w:val="nil"/>
                  </w:tcBorders>
                  <w:noWrap w:val="0"/>
                  <w:vAlign w:val="center"/>
                </w:tcPr>
                <w:p w14:paraId="342D1544">
                  <w:pPr>
                    <w:pStyle w:val="87"/>
                    <w:adjustRightInd w:val="0"/>
                    <w:snapToGrid w:val="0"/>
                    <w:spacing w:line="320" w:lineRule="exact"/>
                    <w:jc w:val="center"/>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0.4</w:t>
                  </w:r>
                </w:p>
              </w:tc>
            </w:tr>
            <w:tr w14:paraId="3FB396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667" w:type="dxa"/>
                  <w:tcBorders>
                    <w:tl2br w:val="nil"/>
                    <w:tr2bl w:val="nil"/>
                  </w:tcBorders>
                  <w:noWrap w:val="0"/>
                  <w:vAlign w:val="center"/>
                </w:tcPr>
                <w:p w14:paraId="779A3706">
                  <w:pPr>
                    <w:pStyle w:val="87"/>
                    <w:adjustRightInd w:val="0"/>
                    <w:snapToGrid w:val="0"/>
                    <w:spacing w:line="320" w:lineRule="exact"/>
                    <w:jc w:val="center"/>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7</w:t>
                  </w:r>
                </w:p>
              </w:tc>
              <w:tc>
                <w:tcPr>
                  <w:tcW w:w="2390" w:type="dxa"/>
                  <w:tcBorders>
                    <w:tl2br w:val="nil"/>
                    <w:tr2bl w:val="nil"/>
                  </w:tcBorders>
                  <w:noWrap w:val="0"/>
                  <w:vAlign w:val="center"/>
                </w:tcPr>
                <w:p w14:paraId="627F6070">
                  <w:pPr>
                    <w:pStyle w:val="87"/>
                    <w:adjustRightInd w:val="0"/>
                    <w:snapToGrid w:val="0"/>
                    <w:spacing w:line="320" w:lineRule="exact"/>
                    <w:jc w:val="center"/>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活性磷酸盐≤（以P计）</w:t>
                  </w:r>
                </w:p>
              </w:tc>
              <w:tc>
                <w:tcPr>
                  <w:tcW w:w="835" w:type="dxa"/>
                  <w:vMerge w:val="continue"/>
                  <w:tcBorders>
                    <w:tl2br w:val="nil"/>
                    <w:tr2bl w:val="nil"/>
                  </w:tcBorders>
                  <w:noWrap w:val="0"/>
                  <w:vAlign w:val="center"/>
                </w:tcPr>
                <w:p w14:paraId="5E82D57C">
                  <w:pPr>
                    <w:pStyle w:val="87"/>
                    <w:adjustRightInd w:val="0"/>
                    <w:snapToGrid w:val="0"/>
                    <w:spacing w:line="320" w:lineRule="exact"/>
                    <w:jc w:val="center"/>
                    <w:rPr>
                      <w:rFonts w:hint="default" w:ascii="Times New Roman" w:hAnsi="Times New Roman" w:eastAsia="宋体" w:cs="Times New Roman"/>
                      <w:bCs/>
                      <w:color w:val="auto"/>
                      <w:szCs w:val="21"/>
                      <w:highlight w:val="none"/>
                      <w:lang w:eastAsia="zh-CN"/>
                    </w:rPr>
                  </w:pPr>
                </w:p>
              </w:tc>
              <w:tc>
                <w:tcPr>
                  <w:tcW w:w="4246" w:type="dxa"/>
                  <w:tcBorders>
                    <w:tl2br w:val="nil"/>
                    <w:tr2bl w:val="nil"/>
                  </w:tcBorders>
                  <w:noWrap w:val="0"/>
                  <w:vAlign w:val="center"/>
                </w:tcPr>
                <w:p w14:paraId="216FA44A">
                  <w:pPr>
                    <w:pStyle w:val="87"/>
                    <w:adjustRightInd w:val="0"/>
                    <w:snapToGrid w:val="0"/>
                    <w:spacing w:line="320" w:lineRule="exact"/>
                    <w:jc w:val="center"/>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0.030</w:t>
                  </w:r>
                </w:p>
              </w:tc>
            </w:tr>
            <w:tr w14:paraId="18AB4F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667" w:type="dxa"/>
                  <w:tcBorders>
                    <w:tl2br w:val="nil"/>
                    <w:tr2bl w:val="nil"/>
                  </w:tcBorders>
                  <w:noWrap w:val="0"/>
                  <w:vAlign w:val="center"/>
                </w:tcPr>
                <w:p w14:paraId="7DDD7DB7">
                  <w:pPr>
                    <w:pStyle w:val="87"/>
                    <w:adjustRightInd w:val="0"/>
                    <w:snapToGrid w:val="0"/>
                    <w:spacing w:line="320" w:lineRule="exact"/>
                    <w:jc w:val="center"/>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8</w:t>
                  </w:r>
                </w:p>
              </w:tc>
              <w:tc>
                <w:tcPr>
                  <w:tcW w:w="2390" w:type="dxa"/>
                  <w:tcBorders>
                    <w:tl2br w:val="nil"/>
                    <w:tr2bl w:val="nil"/>
                  </w:tcBorders>
                  <w:noWrap w:val="0"/>
                  <w:vAlign w:val="center"/>
                </w:tcPr>
                <w:p w14:paraId="428C5CCD">
                  <w:pPr>
                    <w:pStyle w:val="87"/>
                    <w:adjustRightInd w:val="0"/>
                    <w:snapToGrid w:val="0"/>
                    <w:spacing w:line="320" w:lineRule="exact"/>
                    <w:jc w:val="center"/>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石油类≤</w:t>
                  </w:r>
                </w:p>
              </w:tc>
              <w:tc>
                <w:tcPr>
                  <w:tcW w:w="835" w:type="dxa"/>
                  <w:vMerge w:val="continue"/>
                  <w:tcBorders>
                    <w:tl2br w:val="nil"/>
                    <w:tr2bl w:val="nil"/>
                  </w:tcBorders>
                  <w:noWrap w:val="0"/>
                  <w:vAlign w:val="center"/>
                </w:tcPr>
                <w:p w14:paraId="48363AFF">
                  <w:pPr>
                    <w:pStyle w:val="87"/>
                    <w:adjustRightInd w:val="0"/>
                    <w:snapToGrid w:val="0"/>
                    <w:spacing w:line="320" w:lineRule="exact"/>
                    <w:jc w:val="center"/>
                    <w:rPr>
                      <w:rFonts w:hint="default" w:ascii="Times New Roman" w:hAnsi="Times New Roman" w:eastAsia="宋体" w:cs="Times New Roman"/>
                      <w:bCs/>
                      <w:color w:val="auto"/>
                      <w:szCs w:val="21"/>
                      <w:highlight w:val="none"/>
                      <w:lang w:eastAsia="zh-CN"/>
                    </w:rPr>
                  </w:pPr>
                </w:p>
              </w:tc>
              <w:tc>
                <w:tcPr>
                  <w:tcW w:w="4246" w:type="dxa"/>
                  <w:tcBorders>
                    <w:tl2br w:val="nil"/>
                    <w:tr2bl w:val="nil"/>
                  </w:tcBorders>
                  <w:noWrap w:val="0"/>
                  <w:vAlign w:val="center"/>
                </w:tcPr>
                <w:p w14:paraId="1B5C76CC">
                  <w:pPr>
                    <w:pStyle w:val="87"/>
                    <w:adjustRightInd w:val="0"/>
                    <w:snapToGrid w:val="0"/>
                    <w:spacing w:line="320" w:lineRule="exact"/>
                    <w:jc w:val="center"/>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0.30</w:t>
                  </w:r>
                </w:p>
              </w:tc>
            </w:tr>
            <w:tr w14:paraId="06B992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667" w:type="dxa"/>
                  <w:tcBorders>
                    <w:tl2br w:val="nil"/>
                    <w:tr2bl w:val="nil"/>
                  </w:tcBorders>
                  <w:noWrap w:val="0"/>
                  <w:vAlign w:val="center"/>
                </w:tcPr>
                <w:p w14:paraId="6A115871">
                  <w:pPr>
                    <w:pStyle w:val="87"/>
                    <w:adjustRightInd w:val="0"/>
                    <w:snapToGrid w:val="0"/>
                    <w:spacing w:line="320" w:lineRule="exact"/>
                    <w:jc w:val="center"/>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9</w:t>
                  </w:r>
                </w:p>
              </w:tc>
              <w:tc>
                <w:tcPr>
                  <w:tcW w:w="2390" w:type="dxa"/>
                  <w:tcBorders>
                    <w:tl2br w:val="nil"/>
                    <w:tr2bl w:val="nil"/>
                  </w:tcBorders>
                  <w:noWrap w:val="0"/>
                  <w:vAlign w:val="center"/>
                </w:tcPr>
                <w:p w14:paraId="570B311B">
                  <w:pPr>
                    <w:pStyle w:val="87"/>
                    <w:adjustRightInd w:val="0"/>
                    <w:snapToGrid w:val="0"/>
                    <w:spacing w:line="320" w:lineRule="exact"/>
                    <w:jc w:val="center"/>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汞≤</w:t>
                  </w:r>
                </w:p>
              </w:tc>
              <w:tc>
                <w:tcPr>
                  <w:tcW w:w="835" w:type="dxa"/>
                  <w:vMerge w:val="continue"/>
                  <w:tcBorders>
                    <w:tl2br w:val="nil"/>
                    <w:tr2bl w:val="nil"/>
                  </w:tcBorders>
                  <w:noWrap w:val="0"/>
                  <w:vAlign w:val="center"/>
                </w:tcPr>
                <w:p w14:paraId="05908A73">
                  <w:pPr>
                    <w:pStyle w:val="87"/>
                    <w:adjustRightInd w:val="0"/>
                    <w:snapToGrid w:val="0"/>
                    <w:spacing w:line="320" w:lineRule="exact"/>
                    <w:jc w:val="center"/>
                    <w:rPr>
                      <w:rFonts w:hint="default" w:ascii="Times New Roman" w:hAnsi="Times New Roman" w:eastAsia="宋体" w:cs="Times New Roman"/>
                      <w:bCs/>
                      <w:color w:val="auto"/>
                      <w:szCs w:val="21"/>
                      <w:highlight w:val="none"/>
                      <w:lang w:eastAsia="zh-CN"/>
                    </w:rPr>
                  </w:pPr>
                </w:p>
              </w:tc>
              <w:tc>
                <w:tcPr>
                  <w:tcW w:w="4246" w:type="dxa"/>
                  <w:tcBorders>
                    <w:tl2br w:val="nil"/>
                    <w:tr2bl w:val="nil"/>
                  </w:tcBorders>
                  <w:noWrap w:val="0"/>
                  <w:vAlign w:val="center"/>
                </w:tcPr>
                <w:p w14:paraId="0C93FC4E">
                  <w:pPr>
                    <w:pStyle w:val="87"/>
                    <w:adjustRightInd w:val="0"/>
                    <w:snapToGrid w:val="0"/>
                    <w:spacing w:line="320" w:lineRule="exact"/>
                    <w:jc w:val="center"/>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0.0002</w:t>
                  </w:r>
                </w:p>
              </w:tc>
            </w:tr>
            <w:tr w14:paraId="747332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667" w:type="dxa"/>
                  <w:tcBorders>
                    <w:tl2br w:val="nil"/>
                    <w:tr2bl w:val="nil"/>
                  </w:tcBorders>
                  <w:noWrap w:val="0"/>
                  <w:vAlign w:val="center"/>
                </w:tcPr>
                <w:p w14:paraId="70E2341C">
                  <w:pPr>
                    <w:pStyle w:val="87"/>
                    <w:adjustRightInd w:val="0"/>
                    <w:snapToGrid w:val="0"/>
                    <w:spacing w:line="320" w:lineRule="exact"/>
                    <w:jc w:val="center"/>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10</w:t>
                  </w:r>
                </w:p>
              </w:tc>
              <w:tc>
                <w:tcPr>
                  <w:tcW w:w="2390" w:type="dxa"/>
                  <w:tcBorders>
                    <w:tl2br w:val="nil"/>
                    <w:tr2bl w:val="nil"/>
                  </w:tcBorders>
                  <w:noWrap w:val="0"/>
                  <w:vAlign w:val="center"/>
                </w:tcPr>
                <w:p w14:paraId="294F1FC7">
                  <w:pPr>
                    <w:pStyle w:val="87"/>
                    <w:adjustRightInd w:val="0"/>
                    <w:snapToGrid w:val="0"/>
                    <w:spacing w:line="320" w:lineRule="exact"/>
                    <w:jc w:val="center"/>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铜≤</w:t>
                  </w:r>
                </w:p>
              </w:tc>
              <w:tc>
                <w:tcPr>
                  <w:tcW w:w="835" w:type="dxa"/>
                  <w:vMerge w:val="continue"/>
                  <w:tcBorders>
                    <w:tl2br w:val="nil"/>
                    <w:tr2bl w:val="nil"/>
                  </w:tcBorders>
                  <w:noWrap w:val="0"/>
                  <w:vAlign w:val="center"/>
                </w:tcPr>
                <w:p w14:paraId="774B92E1">
                  <w:pPr>
                    <w:pStyle w:val="87"/>
                    <w:adjustRightInd w:val="0"/>
                    <w:snapToGrid w:val="0"/>
                    <w:spacing w:line="320" w:lineRule="exact"/>
                    <w:jc w:val="center"/>
                    <w:rPr>
                      <w:rFonts w:hint="default" w:ascii="Times New Roman" w:hAnsi="Times New Roman" w:eastAsia="宋体" w:cs="Times New Roman"/>
                      <w:bCs/>
                      <w:color w:val="auto"/>
                      <w:szCs w:val="21"/>
                      <w:highlight w:val="none"/>
                      <w:lang w:eastAsia="zh-CN"/>
                    </w:rPr>
                  </w:pPr>
                </w:p>
              </w:tc>
              <w:tc>
                <w:tcPr>
                  <w:tcW w:w="4246" w:type="dxa"/>
                  <w:tcBorders>
                    <w:tl2br w:val="nil"/>
                    <w:tr2bl w:val="nil"/>
                  </w:tcBorders>
                  <w:noWrap w:val="0"/>
                  <w:vAlign w:val="center"/>
                </w:tcPr>
                <w:p w14:paraId="2E2C5B61">
                  <w:pPr>
                    <w:pStyle w:val="87"/>
                    <w:adjustRightInd w:val="0"/>
                    <w:snapToGrid w:val="0"/>
                    <w:spacing w:line="320" w:lineRule="exact"/>
                    <w:jc w:val="center"/>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0.050</w:t>
                  </w:r>
                </w:p>
              </w:tc>
            </w:tr>
            <w:tr w14:paraId="339611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667" w:type="dxa"/>
                  <w:tcBorders>
                    <w:tl2br w:val="nil"/>
                    <w:tr2bl w:val="nil"/>
                  </w:tcBorders>
                  <w:noWrap w:val="0"/>
                  <w:vAlign w:val="center"/>
                </w:tcPr>
                <w:p w14:paraId="1037FB34">
                  <w:pPr>
                    <w:pStyle w:val="87"/>
                    <w:adjustRightInd w:val="0"/>
                    <w:snapToGrid w:val="0"/>
                    <w:spacing w:line="320" w:lineRule="exact"/>
                    <w:jc w:val="center"/>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11</w:t>
                  </w:r>
                </w:p>
              </w:tc>
              <w:tc>
                <w:tcPr>
                  <w:tcW w:w="2390" w:type="dxa"/>
                  <w:tcBorders>
                    <w:tl2br w:val="nil"/>
                    <w:tr2bl w:val="nil"/>
                  </w:tcBorders>
                  <w:noWrap w:val="0"/>
                  <w:vAlign w:val="center"/>
                </w:tcPr>
                <w:p w14:paraId="166DAAB6">
                  <w:pPr>
                    <w:pStyle w:val="87"/>
                    <w:adjustRightInd w:val="0"/>
                    <w:snapToGrid w:val="0"/>
                    <w:spacing w:line="320" w:lineRule="exact"/>
                    <w:jc w:val="center"/>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铅≤</w:t>
                  </w:r>
                </w:p>
              </w:tc>
              <w:tc>
                <w:tcPr>
                  <w:tcW w:w="835" w:type="dxa"/>
                  <w:vMerge w:val="continue"/>
                  <w:tcBorders>
                    <w:tl2br w:val="nil"/>
                    <w:tr2bl w:val="nil"/>
                  </w:tcBorders>
                  <w:noWrap w:val="0"/>
                  <w:vAlign w:val="center"/>
                </w:tcPr>
                <w:p w14:paraId="5721B333">
                  <w:pPr>
                    <w:pStyle w:val="87"/>
                    <w:adjustRightInd w:val="0"/>
                    <w:snapToGrid w:val="0"/>
                    <w:spacing w:line="320" w:lineRule="exact"/>
                    <w:jc w:val="center"/>
                    <w:rPr>
                      <w:rFonts w:hint="default" w:ascii="Times New Roman" w:hAnsi="Times New Roman" w:eastAsia="宋体" w:cs="Times New Roman"/>
                      <w:bCs/>
                      <w:color w:val="auto"/>
                      <w:szCs w:val="21"/>
                      <w:highlight w:val="none"/>
                      <w:lang w:eastAsia="zh-CN"/>
                    </w:rPr>
                  </w:pPr>
                </w:p>
              </w:tc>
              <w:tc>
                <w:tcPr>
                  <w:tcW w:w="4246" w:type="dxa"/>
                  <w:tcBorders>
                    <w:tl2br w:val="nil"/>
                    <w:tr2bl w:val="nil"/>
                  </w:tcBorders>
                  <w:noWrap w:val="0"/>
                  <w:vAlign w:val="center"/>
                </w:tcPr>
                <w:p w14:paraId="113D3C2C">
                  <w:pPr>
                    <w:pStyle w:val="87"/>
                    <w:adjustRightInd w:val="0"/>
                    <w:snapToGrid w:val="0"/>
                    <w:spacing w:line="320" w:lineRule="exact"/>
                    <w:jc w:val="center"/>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0.010</w:t>
                  </w:r>
                </w:p>
              </w:tc>
            </w:tr>
            <w:tr w14:paraId="73B69B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667" w:type="dxa"/>
                  <w:tcBorders>
                    <w:tl2br w:val="nil"/>
                    <w:tr2bl w:val="nil"/>
                  </w:tcBorders>
                  <w:noWrap w:val="0"/>
                  <w:vAlign w:val="center"/>
                </w:tcPr>
                <w:p w14:paraId="3AF6B2C2">
                  <w:pPr>
                    <w:pStyle w:val="87"/>
                    <w:adjustRightInd w:val="0"/>
                    <w:snapToGrid w:val="0"/>
                    <w:spacing w:line="320" w:lineRule="exact"/>
                    <w:jc w:val="center"/>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12</w:t>
                  </w:r>
                </w:p>
              </w:tc>
              <w:tc>
                <w:tcPr>
                  <w:tcW w:w="2390" w:type="dxa"/>
                  <w:tcBorders>
                    <w:tl2br w:val="nil"/>
                    <w:tr2bl w:val="nil"/>
                  </w:tcBorders>
                  <w:noWrap w:val="0"/>
                  <w:vAlign w:val="center"/>
                </w:tcPr>
                <w:p w14:paraId="0B73D67B">
                  <w:pPr>
                    <w:pStyle w:val="87"/>
                    <w:adjustRightInd w:val="0"/>
                    <w:snapToGrid w:val="0"/>
                    <w:spacing w:line="320" w:lineRule="exact"/>
                    <w:jc w:val="center"/>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锌≤</w:t>
                  </w:r>
                </w:p>
              </w:tc>
              <w:tc>
                <w:tcPr>
                  <w:tcW w:w="835" w:type="dxa"/>
                  <w:vMerge w:val="continue"/>
                  <w:tcBorders>
                    <w:tl2br w:val="nil"/>
                    <w:tr2bl w:val="nil"/>
                  </w:tcBorders>
                  <w:noWrap w:val="0"/>
                  <w:vAlign w:val="center"/>
                </w:tcPr>
                <w:p w14:paraId="03B9BB48">
                  <w:pPr>
                    <w:pStyle w:val="87"/>
                    <w:adjustRightInd w:val="0"/>
                    <w:snapToGrid w:val="0"/>
                    <w:spacing w:line="320" w:lineRule="exact"/>
                    <w:jc w:val="center"/>
                    <w:rPr>
                      <w:rFonts w:hint="default" w:ascii="Times New Roman" w:hAnsi="Times New Roman" w:eastAsia="宋体" w:cs="Times New Roman"/>
                      <w:bCs/>
                      <w:color w:val="auto"/>
                      <w:szCs w:val="21"/>
                      <w:highlight w:val="none"/>
                      <w:lang w:eastAsia="zh-CN"/>
                    </w:rPr>
                  </w:pPr>
                </w:p>
              </w:tc>
              <w:tc>
                <w:tcPr>
                  <w:tcW w:w="4246" w:type="dxa"/>
                  <w:tcBorders>
                    <w:tl2br w:val="nil"/>
                    <w:tr2bl w:val="nil"/>
                  </w:tcBorders>
                  <w:noWrap w:val="0"/>
                  <w:vAlign w:val="center"/>
                </w:tcPr>
                <w:p w14:paraId="21FB0B77">
                  <w:pPr>
                    <w:pStyle w:val="87"/>
                    <w:adjustRightInd w:val="0"/>
                    <w:snapToGrid w:val="0"/>
                    <w:spacing w:line="320" w:lineRule="exact"/>
                    <w:jc w:val="center"/>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0.10</w:t>
                  </w:r>
                </w:p>
              </w:tc>
            </w:tr>
            <w:tr w14:paraId="3867CE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667" w:type="dxa"/>
                  <w:tcBorders>
                    <w:tl2br w:val="nil"/>
                    <w:tr2bl w:val="nil"/>
                  </w:tcBorders>
                  <w:noWrap w:val="0"/>
                  <w:vAlign w:val="center"/>
                </w:tcPr>
                <w:p w14:paraId="045C1AAE">
                  <w:pPr>
                    <w:pStyle w:val="87"/>
                    <w:adjustRightInd w:val="0"/>
                    <w:snapToGrid w:val="0"/>
                    <w:spacing w:line="320" w:lineRule="exact"/>
                    <w:jc w:val="center"/>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13</w:t>
                  </w:r>
                </w:p>
              </w:tc>
              <w:tc>
                <w:tcPr>
                  <w:tcW w:w="2390" w:type="dxa"/>
                  <w:tcBorders>
                    <w:tl2br w:val="nil"/>
                    <w:tr2bl w:val="nil"/>
                  </w:tcBorders>
                  <w:noWrap w:val="0"/>
                  <w:vAlign w:val="center"/>
                </w:tcPr>
                <w:p w14:paraId="7FCA8A75">
                  <w:pPr>
                    <w:pStyle w:val="87"/>
                    <w:adjustRightInd w:val="0"/>
                    <w:snapToGrid w:val="0"/>
                    <w:spacing w:line="320" w:lineRule="exact"/>
                    <w:jc w:val="center"/>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总铬≤</w:t>
                  </w:r>
                </w:p>
              </w:tc>
              <w:tc>
                <w:tcPr>
                  <w:tcW w:w="835" w:type="dxa"/>
                  <w:vMerge w:val="continue"/>
                  <w:tcBorders>
                    <w:tl2br w:val="nil"/>
                    <w:tr2bl w:val="nil"/>
                  </w:tcBorders>
                  <w:noWrap w:val="0"/>
                  <w:vAlign w:val="center"/>
                </w:tcPr>
                <w:p w14:paraId="5264E57E">
                  <w:pPr>
                    <w:pStyle w:val="87"/>
                    <w:adjustRightInd w:val="0"/>
                    <w:snapToGrid w:val="0"/>
                    <w:spacing w:line="320" w:lineRule="exact"/>
                    <w:jc w:val="center"/>
                    <w:rPr>
                      <w:rFonts w:hint="default" w:ascii="Times New Roman" w:hAnsi="Times New Roman" w:eastAsia="宋体" w:cs="Times New Roman"/>
                      <w:bCs/>
                      <w:color w:val="auto"/>
                      <w:szCs w:val="21"/>
                      <w:highlight w:val="none"/>
                      <w:lang w:eastAsia="zh-CN"/>
                    </w:rPr>
                  </w:pPr>
                </w:p>
              </w:tc>
              <w:tc>
                <w:tcPr>
                  <w:tcW w:w="4246" w:type="dxa"/>
                  <w:tcBorders>
                    <w:tl2br w:val="nil"/>
                    <w:tr2bl w:val="nil"/>
                  </w:tcBorders>
                  <w:noWrap w:val="0"/>
                  <w:vAlign w:val="center"/>
                </w:tcPr>
                <w:p w14:paraId="4515A4EA">
                  <w:pPr>
                    <w:pStyle w:val="87"/>
                    <w:adjustRightInd w:val="0"/>
                    <w:snapToGrid w:val="0"/>
                    <w:spacing w:line="320" w:lineRule="exact"/>
                    <w:jc w:val="center"/>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0.20</w:t>
                  </w:r>
                </w:p>
              </w:tc>
            </w:tr>
            <w:tr w14:paraId="1C2832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667" w:type="dxa"/>
                  <w:tcBorders>
                    <w:tl2br w:val="nil"/>
                    <w:tr2bl w:val="nil"/>
                  </w:tcBorders>
                  <w:noWrap w:val="0"/>
                  <w:vAlign w:val="center"/>
                </w:tcPr>
                <w:p w14:paraId="29F0137D">
                  <w:pPr>
                    <w:pStyle w:val="87"/>
                    <w:adjustRightInd w:val="0"/>
                    <w:snapToGrid w:val="0"/>
                    <w:spacing w:line="320" w:lineRule="exact"/>
                    <w:jc w:val="center"/>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14</w:t>
                  </w:r>
                </w:p>
              </w:tc>
              <w:tc>
                <w:tcPr>
                  <w:tcW w:w="2390" w:type="dxa"/>
                  <w:tcBorders>
                    <w:tl2br w:val="nil"/>
                    <w:tr2bl w:val="nil"/>
                  </w:tcBorders>
                  <w:noWrap w:val="0"/>
                  <w:vAlign w:val="center"/>
                </w:tcPr>
                <w:p w14:paraId="78668388">
                  <w:pPr>
                    <w:pStyle w:val="87"/>
                    <w:adjustRightInd w:val="0"/>
                    <w:snapToGrid w:val="0"/>
                    <w:spacing w:line="320" w:lineRule="exact"/>
                    <w:jc w:val="center"/>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镉≤</w:t>
                  </w:r>
                </w:p>
              </w:tc>
              <w:tc>
                <w:tcPr>
                  <w:tcW w:w="835" w:type="dxa"/>
                  <w:vMerge w:val="continue"/>
                  <w:tcBorders>
                    <w:tl2br w:val="nil"/>
                    <w:tr2bl w:val="nil"/>
                  </w:tcBorders>
                  <w:noWrap w:val="0"/>
                  <w:vAlign w:val="center"/>
                </w:tcPr>
                <w:p w14:paraId="335BEA54">
                  <w:pPr>
                    <w:pStyle w:val="87"/>
                    <w:adjustRightInd w:val="0"/>
                    <w:snapToGrid w:val="0"/>
                    <w:spacing w:line="320" w:lineRule="exact"/>
                    <w:jc w:val="center"/>
                    <w:rPr>
                      <w:rFonts w:hint="default" w:ascii="Times New Roman" w:hAnsi="Times New Roman" w:eastAsia="宋体" w:cs="Times New Roman"/>
                      <w:bCs/>
                      <w:color w:val="auto"/>
                      <w:szCs w:val="21"/>
                      <w:highlight w:val="none"/>
                      <w:lang w:eastAsia="zh-CN"/>
                    </w:rPr>
                  </w:pPr>
                </w:p>
              </w:tc>
              <w:tc>
                <w:tcPr>
                  <w:tcW w:w="4246" w:type="dxa"/>
                  <w:tcBorders>
                    <w:tl2br w:val="nil"/>
                    <w:tr2bl w:val="nil"/>
                  </w:tcBorders>
                  <w:noWrap w:val="0"/>
                  <w:vAlign w:val="center"/>
                </w:tcPr>
                <w:p w14:paraId="4950D365">
                  <w:pPr>
                    <w:pStyle w:val="87"/>
                    <w:adjustRightInd w:val="0"/>
                    <w:snapToGrid w:val="0"/>
                    <w:spacing w:line="320" w:lineRule="exact"/>
                    <w:jc w:val="center"/>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0.010</w:t>
                  </w:r>
                </w:p>
              </w:tc>
            </w:tr>
            <w:tr w14:paraId="70FC73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667" w:type="dxa"/>
                  <w:tcBorders>
                    <w:tl2br w:val="nil"/>
                    <w:tr2bl w:val="nil"/>
                  </w:tcBorders>
                  <w:noWrap w:val="0"/>
                  <w:vAlign w:val="center"/>
                </w:tcPr>
                <w:p w14:paraId="3B596C68">
                  <w:pPr>
                    <w:pStyle w:val="87"/>
                    <w:adjustRightInd w:val="0"/>
                    <w:snapToGrid w:val="0"/>
                    <w:spacing w:line="320" w:lineRule="exact"/>
                    <w:jc w:val="center"/>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15</w:t>
                  </w:r>
                </w:p>
              </w:tc>
              <w:tc>
                <w:tcPr>
                  <w:tcW w:w="2390" w:type="dxa"/>
                  <w:tcBorders>
                    <w:tl2br w:val="nil"/>
                    <w:tr2bl w:val="nil"/>
                  </w:tcBorders>
                  <w:noWrap w:val="0"/>
                  <w:vAlign w:val="center"/>
                </w:tcPr>
                <w:p w14:paraId="1BC46182">
                  <w:pPr>
                    <w:pStyle w:val="87"/>
                    <w:adjustRightInd w:val="0"/>
                    <w:snapToGrid w:val="0"/>
                    <w:spacing w:line="320" w:lineRule="exact"/>
                    <w:jc w:val="center"/>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砷≤</w:t>
                  </w:r>
                </w:p>
              </w:tc>
              <w:tc>
                <w:tcPr>
                  <w:tcW w:w="835" w:type="dxa"/>
                  <w:vMerge w:val="continue"/>
                  <w:tcBorders>
                    <w:tl2br w:val="nil"/>
                    <w:tr2bl w:val="nil"/>
                  </w:tcBorders>
                  <w:noWrap w:val="0"/>
                  <w:vAlign w:val="center"/>
                </w:tcPr>
                <w:p w14:paraId="4166F8BF">
                  <w:pPr>
                    <w:pStyle w:val="87"/>
                    <w:adjustRightInd w:val="0"/>
                    <w:snapToGrid w:val="0"/>
                    <w:spacing w:line="320" w:lineRule="exact"/>
                    <w:jc w:val="center"/>
                    <w:rPr>
                      <w:rFonts w:hint="default" w:ascii="Times New Roman" w:hAnsi="Times New Roman" w:eastAsia="宋体" w:cs="Times New Roman"/>
                      <w:bCs/>
                      <w:color w:val="auto"/>
                      <w:szCs w:val="21"/>
                      <w:highlight w:val="none"/>
                      <w:lang w:eastAsia="zh-CN"/>
                    </w:rPr>
                  </w:pPr>
                </w:p>
              </w:tc>
              <w:tc>
                <w:tcPr>
                  <w:tcW w:w="4246" w:type="dxa"/>
                  <w:tcBorders>
                    <w:tl2br w:val="nil"/>
                    <w:tr2bl w:val="nil"/>
                  </w:tcBorders>
                  <w:noWrap w:val="0"/>
                  <w:vAlign w:val="center"/>
                </w:tcPr>
                <w:p w14:paraId="005D6A14">
                  <w:pPr>
                    <w:pStyle w:val="87"/>
                    <w:adjustRightInd w:val="0"/>
                    <w:snapToGrid w:val="0"/>
                    <w:spacing w:line="320" w:lineRule="exact"/>
                    <w:jc w:val="center"/>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0.050</w:t>
                  </w:r>
                </w:p>
              </w:tc>
            </w:tr>
            <w:tr w14:paraId="3CBB88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667" w:type="dxa"/>
                  <w:tcBorders>
                    <w:tl2br w:val="nil"/>
                    <w:tr2bl w:val="nil"/>
                  </w:tcBorders>
                  <w:noWrap w:val="0"/>
                  <w:vAlign w:val="center"/>
                </w:tcPr>
                <w:p w14:paraId="609AA918">
                  <w:pPr>
                    <w:pStyle w:val="87"/>
                    <w:adjustRightInd w:val="0"/>
                    <w:snapToGrid w:val="0"/>
                    <w:spacing w:line="320" w:lineRule="exact"/>
                    <w:jc w:val="center"/>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16</w:t>
                  </w:r>
                </w:p>
              </w:tc>
              <w:tc>
                <w:tcPr>
                  <w:tcW w:w="2390" w:type="dxa"/>
                  <w:tcBorders>
                    <w:tl2br w:val="nil"/>
                    <w:tr2bl w:val="nil"/>
                  </w:tcBorders>
                  <w:noWrap w:val="0"/>
                  <w:vAlign w:val="center"/>
                </w:tcPr>
                <w:p w14:paraId="076C3BD6">
                  <w:pPr>
                    <w:pStyle w:val="87"/>
                    <w:adjustRightInd w:val="0"/>
                    <w:snapToGrid w:val="0"/>
                    <w:spacing w:line="320" w:lineRule="exact"/>
                    <w:jc w:val="center"/>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硫化物≤</w:t>
                  </w:r>
                </w:p>
              </w:tc>
              <w:tc>
                <w:tcPr>
                  <w:tcW w:w="835" w:type="dxa"/>
                  <w:vMerge w:val="continue"/>
                  <w:tcBorders>
                    <w:tl2br w:val="nil"/>
                    <w:tr2bl w:val="nil"/>
                  </w:tcBorders>
                  <w:noWrap w:val="0"/>
                  <w:vAlign w:val="center"/>
                </w:tcPr>
                <w:p w14:paraId="3678FC08">
                  <w:pPr>
                    <w:pStyle w:val="87"/>
                    <w:adjustRightInd w:val="0"/>
                    <w:snapToGrid w:val="0"/>
                    <w:spacing w:line="320" w:lineRule="exact"/>
                    <w:jc w:val="center"/>
                    <w:rPr>
                      <w:rFonts w:hint="default" w:ascii="Times New Roman" w:hAnsi="Times New Roman" w:eastAsia="宋体" w:cs="Times New Roman"/>
                      <w:bCs/>
                      <w:color w:val="auto"/>
                      <w:szCs w:val="21"/>
                      <w:highlight w:val="none"/>
                      <w:lang w:eastAsia="zh-CN"/>
                    </w:rPr>
                  </w:pPr>
                </w:p>
              </w:tc>
              <w:tc>
                <w:tcPr>
                  <w:tcW w:w="4246" w:type="dxa"/>
                  <w:tcBorders>
                    <w:tl2br w:val="nil"/>
                    <w:tr2bl w:val="nil"/>
                  </w:tcBorders>
                  <w:noWrap w:val="0"/>
                  <w:vAlign w:val="center"/>
                </w:tcPr>
                <w:p w14:paraId="66C2E2FC">
                  <w:pPr>
                    <w:pStyle w:val="87"/>
                    <w:adjustRightInd w:val="0"/>
                    <w:snapToGrid w:val="0"/>
                    <w:spacing w:line="320" w:lineRule="exact"/>
                    <w:jc w:val="center"/>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0.10</w:t>
                  </w:r>
                </w:p>
              </w:tc>
            </w:tr>
          </w:tbl>
          <w:p w14:paraId="08631D75">
            <w:pPr>
              <w:pStyle w:val="4"/>
              <w:rPr>
                <w:color w:val="auto"/>
                <w:highlight w:val="none"/>
              </w:rPr>
            </w:pPr>
            <w:r>
              <w:rPr>
                <w:color w:val="auto"/>
                <w:highlight w:val="none"/>
              </w:rPr>
              <w:t>3.2.2地表水环境质量现状</w:t>
            </w:r>
          </w:p>
          <w:p w14:paraId="43CC8527">
            <w:pPr>
              <w:ind w:firstLine="480"/>
              <w:rPr>
                <w:rFonts w:hint="eastAsia"/>
                <w:bCs/>
                <w:color w:val="auto"/>
                <w:highlight w:val="none"/>
              </w:rPr>
            </w:pPr>
            <w:r>
              <w:rPr>
                <w:color w:val="auto"/>
                <w:highlight w:val="none"/>
              </w:rPr>
              <w:t>根据</w:t>
            </w:r>
            <w:r>
              <w:rPr>
                <w:rFonts w:hint="eastAsia"/>
                <w:color w:val="auto"/>
                <w:highlight w:val="none"/>
              </w:rPr>
              <w:t>福建省生态环境厅发布的《</w:t>
            </w:r>
            <w:r>
              <w:rPr>
                <w:color w:val="auto"/>
                <w:highlight w:val="none"/>
              </w:rPr>
              <w:t>202</w:t>
            </w:r>
            <w:r>
              <w:rPr>
                <w:rFonts w:hint="eastAsia"/>
                <w:color w:val="auto"/>
                <w:highlight w:val="none"/>
                <w:lang w:val="en-US" w:eastAsia="zh-CN"/>
              </w:rPr>
              <w:t>4</w:t>
            </w:r>
            <w:r>
              <w:rPr>
                <w:color w:val="auto"/>
                <w:highlight w:val="none"/>
              </w:rPr>
              <w:t>年秋季福建省近岸海域235个点位监测数据</w:t>
            </w:r>
            <w:r>
              <w:rPr>
                <w:rFonts w:hint="eastAsia"/>
                <w:color w:val="auto"/>
                <w:highlight w:val="none"/>
              </w:rPr>
              <w:t>》可知，海域监测点位中FJD01021点位位于本项目附近海域。具体调查站位坐标见表</w:t>
            </w:r>
            <w:r>
              <w:rPr>
                <w:color w:val="auto"/>
                <w:highlight w:val="none"/>
              </w:rPr>
              <w:t>3.2-</w:t>
            </w:r>
            <w:r>
              <w:rPr>
                <w:rFonts w:hint="eastAsia"/>
                <w:color w:val="auto"/>
                <w:highlight w:val="none"/>
              </w:rPr>
              <w:t>2和见图3.2-2。具体监测数据见下表</w:t>
            </w:r>
            <w:r>
              <w:rPr>
                <w:color w:val="auto"/>
                <w:highlight w:val="none"/>
              </w:rPr>
              <w:t>3.2-</w:t>
            </w:r>
            <w:r>
              <w:rPr>
                <w:rFonts w:hint="eastAsia"/>
                <w:color w:val="auto"/>
                <w:highlight w:val="none"/>
              </w:rPr>
              <w:t>3。</w:t>
            </w:r>
          </w:p>
          <w:p w14:paraId="1CBE732F">
            <w:pPr>
              <w:ind w:firstLine="0" w:firstLineChars="0"/>
              <w:jc w:val="center"/>
              <w:rPr>
                <w:rFonts w:hint="eastAsia"/>
                <w:color w:val="auto"/>
                <w:highlight w:val="none"/>
              </w:rPr>
            </w:pPr>
            <w:r>
              <w:rPr>
                <w:color w:val="auto"/>
                <w:highlight w:val="none"/>
              </w:rPr>
              <w:drawing>
                <wp:inline distT="0" distB="0" distL="114300" distR="114300">
                  <wp:extent cx="5133975" cy="3406775"/>
                  <wp:effectExtent l="0" t="0" r="9525" b="3175"/>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pic:cNvPicPr>
                        </pic:nvPicPr>
                        <pic:blipFill>
                          <a:blip r:embed="rId24"/>
                          <a:stretch>
                            <a:fillRect/>
                          </a:stretch>
                        </pic:blipFill>
                        <pic:spPr>
                          <a:xfrm>
                            <a:off x="0" y="0"/>
                            <a:ext cx="5133975" cy="3406775"/>
                          </a:xfrm>
                          <a:prstGeom prst="rect">
                            <a:avLst/>
                          </a:prstGeom>
                          <a:noFill/>
                          <a:ln>
                            <a:noFill/>
                          </a:ln>
                        </pic:spPr>
                      </pic:pic>
                    </a:graphicData>
                  </a:graphic>
                </wp:inline>
              </w:drawing>
            </w:r>
          </w:p>
          <w:p w14:paraId="5E454933">
            <w:pPr>
              <w:ind w:firstLine="0" w:firstLineChars="0"/>
              <w:jc w:val="center"/>
              <w:rPr>
                <w:rFonts w:hint="eastAsia"/>
                <w:b/>
                <w:bCs/>
                <w:color w:val="auto"/>
                <w:highlight w:val="none"/>
              </w:rPr>
            </w:pPr>
            <w:r>
              <w:rPr>
                <w:b/>
                <w:color w:val="auto"/>
                <w:kern w:val="0"/>
                <w:highlight w:val="none"/>
              </w:rPr>
              <w:t>表3.2-</w:t>
            </w:r>
            <w:r>
              <w:rPr>
                <w:rFonts w:hint="eastAsia"/>
                <w:b/>
                <w:color w:val="auto"/>
                <w:kern w:val="0"/>
                <w:highlight w:val="none"/>
              </w:rPr>
              <w:t>1</w:t>
            </w:r>
            <w:r>
              <w:rPr>
                <w:b/>
                <w:color w:val="auto"/>
                <w:kern w:val="0"/>
                <w:highlight w:val="none"/>
              </w:rPr>
              <w:t xml:space="preserve">  </w:t>
            </w:r>
            <w:r>
              <w:rPr>
                <w:rFonts w:hint="eastAsia"/>
                <w:b/>
                <w:color w:val="auto"/>
                <w:highlight w:val="none"/>
              </w:rPr>
              <w:t>福建省生态环境厅</w:t>
            </w:r>
            <w:r>
              <w:rPr>
                <w:b/>
                <w:color w:val="auto"/>
                <w:highlight w:val="none"/>
              </w:rPr>
              <w:t>网站截图</w:t>
            </w:r>
          </w:p>
          <w:p w14:paraId="43C11F17">
            <w:pPr>
              <w:ind w:firstLine="0" w:firstLineChars="0"/>
              <w:jc w:val="center"/>
              <w:rPr>
                <w:rFonts w:hint="eastAsia" w:eastAsia="宋体"/>
                <w:b/>
                <w:bCs/>
                <w:color w:val="auto"/>
                <w:highlight w:val="none"/>
                <w:lang w:eastAsia="zh-CN"/>
              </w:rPr>
            </w:pPr>
            <w:r>
              <w:rPr>
                <w:rFonts w:hint="eastAsia" w:eastAsia="宋体"/>
                <w:b/>
                <w:bCs/>
                <w:color w:val="auto"/>
                <w:highlight w:val="none"/>
                <w:lang w:eastAsia="zh-CN"/>
              </w:rPr>
              <w:drawing>
                <wp:inline distT="0" distB="0" distL="114300" distR="114300">
                  <wp:extent cx="5165725" cy="3699510"/>
                  <wp:effectExtent l="0" t="0" r="15875" b="15240"/>
                  <wp:docPr id="15" name="图片 144" descr="2022年秋季福建省近岸海域监测点位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4" descr="2022年秋季福建省近岸海域监测点位位置图"/>
                          <pic:cNvPicPr>
                            <a:picLocks noChangeAspect="1"/>
                          </pic:cNvPicPr>
                        </pic:nvPicPr>
                        <pic:blipFill>
                          <a:blip r:embed="rId25"/>
                          <a:stretch>
                            <a:fillRect/>
                          </a:stretch>
                        </pic:blipFill>
                        <pic:spPr>
                          <a:xfrm>
                            <a:off x="0" y="0"/>
                            <a:ext cx="5165725" cy="3699510"/>
                          </a:xfrm>
                          <a:prstGeom prst="rect">
                            <a:avLst/>
                          </a:prstGeom>
                          <a:noFill/>
                          <a:ln>
                            <a:noFill/>
                          </a:ln>
                        </pic:spPr>
                      </pic:pic>
                    </a:graphicData>
                  </a:graphic>
                </wp:inline>
              </w:drawing>
            </w:r>
          </w:p>
          <w:p w14:paraId="18558D7C">
            <w:pPr>
              <w:ind w:firstLine="0" w:firstLineChars="0"/>
              <w:jc w:val="center"/>
              <w:rPr>
                <w:b/>
                <w:color w:val="auto"/>
                <w:kern w:val="0"/>
                <w:highlight w:val="none"/>
              </w:rPr>
            </w:pPr>
            <w:r>
              <w:rPr>
                <w:rFonts w:hint="eastAsia"/>
                <w:b/>
                <w:color w:val="auto"/>
                <w:kern w:val="0"/>
                <w:highlight w:val="none"/>
              </w:rPr>
              <w:t>图</w:t>
            </w:r>
            <w:r>
              <w:rPr>
                <w:b/>
                <w:color w:val="auto"/>
                <w:kern w:val="0"/>
                <w:highlight w:val="none"/>
              </w:rPr>
              <w:t>3.2-</w:t>
            </w:r>
            <w:r>
              <w:rPr>
                <w:rFonts w:hint="eastAsia"/>
                <w:b/>
                <w:color w:val="auto"/>
                <w:kern w:val="0"/>
                <w:highlight w:val="none"/>
              </w:rPr>
              <w:t>2</w:t>
            </w:r>
            <w:r>
              <w:rPr>
                <w:b/>
                <w:color w:val="auto"/>
                <w:kern w:val="0"/>
                <w:highlight w:val="none"/>
              </w:rPr>
              <w:t xml:space="preserve">  202</w:t>
            </w:r>
            <w:r>
              <w:rPr>
                <w:rFonts w:hint="eastAsia"/>
                <w:b/>
                <w:color w:val="auto"/>
                <w:kern w:val="0"/>
                <w:highlight w:val="none"/>
                <w:lang w:val="en-US" w:eastAsia="zh-CN"/>
              </w:rPr>
              <w:t>4</w:t>
            </w:r>
            <w:r>
              <w:rPr>
                <w:rFonts w:hint="eastAsia"/>
                <w:b/>
                <w:color w:val="auto"/>
                <w:kern w:val="0"/>
                <w:highlight w:val="none"/>
              </w:rPr>
              <w:t>年秋季</w:t>
            </w:r>
            <w:r>
              <w:rPr>
                <w:b/>
                <w:color w:val="auto"/>
                <w:kern w:val="0"/>
                <w:highlight w:val="none"/>
              </w:rPr>
              <w:t>福建省近岸海域监测</w:t>
            </w:r>
            <w:r>
              <w:rPr>
                <w:rFonts w:hint="eastAsia"/>
                <w:b/>
                <w:color w:val="auto"/>
                <w:kern w:val="0"/>
                <w:highlight w:val="none"/>
              </w:rPr>
              <w:t>点位位置图</w:t>
            </w:r>
          </w:p>
          <w:p w14:paraId="2A9139AF">
            <w:pPr>
              <w:ind w:firstLine="0" w:firstLineChars="0"/>
              <w:jc w:val="center"/>
              <w:rPr>
                <w:b/>
                <w:color w:val="auto"/>
                <w:kern w:val="0"/>
                <w:highlight w:val="none"/>
              </w:rPr>
            </w:pPr>
          </w:p>
          <w:p w14:paraId="1DCDDA27">
            <w:pPr>
              <w:ind w:firstLine="0" w:firstLineChars="0"/>
              <w:jc w:val="center"/>
              <w:rPr>
                <w:rFonts w:hint="eastAsia"/>
                <w:b/>
                <w:color w:val="auto"/>
                <w:kern w:val="0"/>
                <w:highlight w:val="none"/>
              </w:rPr>
            </w:pPr>
            <w:r>
              <w:rPr>
                <w:b/>
                <w:color w:val="auto"/>
                <w:kern w:val="0"/>
                <w:highlight w:val="none"/>
              </w:rPr>
              <w:t>表3.2-</w:t>
            </w:r>
            <w:r>
              <w:rPr>
                <w:rFonts w:hint="eastAsia"/>
                <w:b/>
                <w:color w:val="auto"/>
                <w:kern w:val="0"/>
                <w:highlight w:val="none"/>
                <w:lang w:val="en-US" w:eastAsia="zh-CN"/>
              </w:rPr>
              <w:t>3</w:t>
            </w:r>
            <w:r>
              <w:rPr>
                <w:b/>
                <w:color w:val="auto"/>
                <w:kern w:val="0"/>
                <w:highlight w:val="none"/>
              </w:rPr>
              <w:t xml:space="preserve">  202</w:t>
            </w:r>
            <w:r>
              <w:rPr>
                <w:rFonts w:hint="eastAsia"/>
                <w:b/>
                <w:color w:val="auto"/>
                <w:kern w:val="0"/>
                <w:highlight w:val="none"/>
                <w:lang w:val="en-US" w:eastAsia="zh-CN"/>
              </w:rPr>
              <w:t>4</w:t>
            </w:r>
            <w:r>
              <w:rPr>
                <w:rFonts w:hint="eastAsia"/>
                <w:b/>
                <w:color w:val="auto"/>
                <w:kern w:val="0"/>
                <w:highlight w:val="none"/>
              </w:rPr>
              <w:t>年秋季</w:t>
            </w:r>
            <w:r>
              <w:rPr>
                <w:b/>
                <w:color w:val="auto"/>
                <w:kern w:val="0"/>
                <w:highlight w:val="none"/>
              </w:rPr>
              <w:t>近岸海域</w:t>
            </w:r>
            <w:r>
              <w:rPr>
                <w:rFonts w:hint="eastAsia"/>
                <w:b/>
                <w:color w:val="auto"/>
                <w:kern w:val="0"/>
                <w:highlight w:val="none"/>
              </w:rPr>
              <w:t>监测点位</w:t>
            </w:r>
            <w:r>
              <w:rPr>
                <w:b/>
                <w:color w:val="auto"/>
                <w:kern w:val="0"/>
                <w:highlight w:val="none"/>
              </w:rPr>
              <w:t>坐标表</w:t>
            </w:r>
          </w:p>
          <w:tbl>
            <w:tblPr>
              <w:tblStyle w:val="27"/>
              <w:tblW w:w="8180" w:type="dxa"/>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2045"/>
              <w:gridCol w:w="2045"/>
              <w:gridCol w:w="2045"/>
              <w:gridCol w:w="2045"/>
            </w:tblGrid>
            <w:tr w14:paraId="0EED25E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31" w:hRule="atLeast"/>
                <w:jc w:val="center"/>
              </w:trPr>
              <w:tc>
                <w:tcPr>
                  <w:tcW w:w="2045" w:type="dxa"/>
                  <w:noWrap w:val="0"/>
                  <w:vAlign w:val="top"/>
                </w:tcPr>
                <w:p w14:paraId="63F98A5A">
                  <w:pPr>
                    <w:pStyle w:val="87"/>
                    <w:adjustRightInd w:val="0"/>
                    <w:snapToGrid w:val="0"/>
                    <w:spacing w:line="320" w:lineRule="exact"/>
                    <w:jc w:val="center"/>
                    <w:rPr>
                      <w:rFonts w:ascii="Times New Roman" w:hAnsi="Times New Roman" w:cs="Times New Roman"/>
                      <w:b/>
                      <w:color w:val="auto"/>
                      <w:szCs w:val="21"/>
                      <w:highlight w:val="none"/>
                      <w:lang w:eastAsia="zh-CN"/>
                    </w:rPr>
                  </w:pPr>
                  <w:r>
                    <w:rPr>
                      <w:rFonts w:ascii="Times New Roman" w:hAnsi="Times New Roman" w:cs="Times New Roman"/>
                      <w:b/>
                      <w:color w:val="auto"/>
                      <w:szCs w:val="21"/>
                      <w:highlight w:val="none"/>
                      <w:lang w:eastAsia="zh-CN"/>
                    </w:rPr>
                    <w:t>站位</w:t>
                  </w:r>
                </w:p>
              </w:tc>
              <w:tc>
                <w:tcPr>
                  <w:tcW w:w="2045" w:type="dxa"/>
                  <w:noWrap w:val="0"/>
                  <w:vAlign w:val="top"/>
                </w:tcPr>
                <w:p w14:paraId="618F025F">
                  <w:pPr>
                    <w:pStyle w:val="87"/>
                    <w:adjustRightInd w:val="0"/>
                    <w:snapToGrid w:val="0"/>
                    <w:spacing w:line="320" w:lineRule="exact"/>
                    <w:jc w:val="center"/>
                    <w:rPr>
                      <w:rFonts w:ascii="Times New Roman" w:hAnsi="Times New Roman" w:cs="Times New Roman"/>
                      <w:b/>
                      <w:color w:val="auto"/>
                      <w:szCs w:val="21"/>
                      <w:highlight w:val="none"/>
                      <w:lang w:eastAsia="zh-CN"/>
                    </w:rPr>
                  </w:pPr>
                  <w:r>
                    <w:rPr>
                      <w:rFonts w:ascii="Times New Roman" w:hAnsi="Times New Roman" w:cs="Times New Roman"/>
                      <w:b/>
                      <w:color w:val="auto"/>
                      <w:szCs w:val="21"/>
                      <w:highlight w:val="none"/>
                      <w:lang w:eastAsia="zh-CN"/>
                    </w:rPr>
                    <w:t>经度（E）</w:t>
                  </w:r>
                </w:p>
              </w:tc>
              <w:tc>
                <w:tcPr>
                  <w:tcW w:w="2045" w:type="dxa"/>
                  <w:noWrap w:val="0"/>
                  <w:vAlign w:val="top"/>
                </w:tcPr>
                <w:p w14:paraId="13BB2E3A">
                  <w:pPr>
                    <w:pStyle w:val="87"/>
                    <w:adjustRightInd w:val="0"/>
                    <w:snapToGrid w:val="0"/>
                    <w:spacing w:line="320" w:lineRule="exact"/>
                    <w:jc w:val="center"/>
                    <w:rPr>
                      <w:rFonts w:ascii="Times New Roman" w:hAnsi="Times New Roman" w:cs="Times New Roman"/>
                      <w:b/>
                      <w:color w:val="auto"/>
                      <w:szCs w:val="21"/>
                      <w:highlight w:val="none"/>
                      <w:lang w:eastAsia="zh-CN"/>
                    </w:rPr>
                  </w:pPr>
                  <w:r>
                    <w:rPr>
                      <w:rFonts w:ascii="Times New Roman" w:hAnsi="Times New Roman" w:cs="Times New Roman"/>
                      <w:b/>
                      <w:color w:val="auto"/>
                      <w:szCs w:val="21"/>
                      <w:highlight w:val="none"/>
                      <w:lang w:eastAsia="zh-CN"/>
                    </w:rPr>
                    <w:t>纬度（N）</w:t>
                  </w:r>
                </w:p>
              </w:tc>
              <w:tc>
                <w:tcPr>
                  <w:tcW w:w="2045" w:type="dxa"/>
                  <w:noWrap w:val="0"/>
                  <w:vAlign w:val="top"/>
                </w:tcPr>
                <w:p w14:paraId="56453432">
                  <w:pPr>
                    <w:pStyle w:val="87"/>
                    <w:adjustRightInd w:val="0"/>
                    <w:snapToGrid w:val="0"/>
                    <w:spacing w:line="320" w:lineRule="exact"/>
                    <w:jc w:val="center"/>
                    <w:rPr>
                      <w:rFonts w:ascii="Times New Roman" w:hAnsi="Times New Roman" w:cs="Times New Roman"/>
                      <w:b/>
                      <w:color w:val="auto"/>
                      <w:szCs w:val="21"/>
                      <w:highlight w:val="none"/>
                      <w:lang w:eastAsia="zh-CN"/>
                    </w:rPr>
                  </w:pPr>
                  <w:r>
                    <w:rPr>
                      <w:rFonts w:ascii="Times New Roman" w:hAnsi="Times New Roman" w:cs="Times New Roman"/>
                      <w:b/>
                      <w:color w:val="auto"/>
                      <w:szCs w:val="21"/>
                      <w:highlight w:val="none"/>
                      <w:lang w:eastAsia="zh-CN"/>
                    </w:rPr>
                    <w:t>调查内容</w:t>
                  </w:r>
                </w:p>
              </w:tc>
            </w:tr>
            <w:tr w14:paraId="269DB56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1" w:hRule="atLeast"/>
                <w:jc w:val="center"/>
              </w:trPr>
              <w:tc>
                <w:tcPr>
                  <w:tcW w:w="2045" w:type="dxa"/>
                  <w:noWrap w:val="0"/>
                  <w:vAlign w:val="center"/>
                </w:tcPr>
                <w:p w14:paraId="20C62635">
                  <w:pPr>
                    <w:pStyle w:val="87"/>
                    <w:adjustRightInd w:val="0"/>
                    <w:snapToGrid w:val="0"/>
                    <w:spacing w:line="320" w:lineRule="exact"/>
                    <w:jc w:val="center"/>
                    <w:rPr>
                      <w:rFonts w:ascii="Times New Roman" w:hAnsi="Times New Roman" w:cs="Times New Roman"/>
                      <w:bCs/>
                      <w:color w:val="auto"/>
                      <w:szCs w:val="21"/>
                      <w:highlight w:val="none"/>
                      <w:lang w:eastAsia="zh-CN"/>
                    </w:rPr>
                  </w:pPr>
                  <w:r>
                    <w:rPr>
                      <w:rFonts w:hint="eastAsia" w:ascii="Times New Roman" w:hAnsi="Times New Roman" w:cs="Times New Roman"/>
                      <w:bCs/>
                      <w:color w:val="auto"/>
                      <w:szCs w:val="21"/>
                      <w:highlight w:val="none"/>
                      <w:lang w:eastAsia="zh-CN"/>
                    </w:rPr>
                    <w:t>FJD01021</w:t>
                  </w:r>
                </w:p>
              </w:tc>
              <w:tc>
                <w:tcPr>
                  <w:tcW w:w="2045" w:type="dxa"/>
                  <w:noWrap w:val="0"/>
                  <w:vAlign w:val="center"/>
                </w:tcPr>
                <w:p w14:paraId="17C9A1E8">
                  <w:pPr>
                    <w:pStyle w:val="87"/>
                    <w:adjustRightInd w:val="0"/>
                    <w:snapToGrid w:val="0"/>
                    <w:spacing w:line="320" w:lineRule="exact"/>
                    <w:jc w:val="center"/>
                    <w:rPr>
                      <w:rFonts w:ascii="Times New Roman" w:hAnsi="Times New Roman" w:cs="Times New Roman"/>
                      <w:bCs/>
                      <w:color w:val="auto"/>
                      <w:szCs w:val="21"/>
                      <w:highlight w:val="none"/>
                      <w:lang w:eastAsia="zh-CN"/>
                    </w:rPr>
                  </w:pPr>
                  <w:r>
                    <w:rPr>
                      <w:rFonts w:hint="eastAsia" w:ascii="Times New Roman" w:hAnsi="Times New Roman" w:cs="Times New Roman"/>
                      <w:bCs/>
                      <w:color w:val="auto"/>
                      <w:szCs w:val="21"/>
                      <w:highlight w:val="none"/>
                      <w:lang w:eastAsia="zh-CN"/>
                    </w:rPr>
                    <w:t>119.6461</w:t>
                  </w:r>
                  <w:r>
                    <w:rPr>
                      <w:rFonts w:ascii="Times New Roman" w:hAnsi="Times New Roman" w:cs="Times New Roman"/>
                      <w:bCs/>
                      <w:color w:val="auto"/>
                      <w:szCs w:val="21"/>
                      <w:highlight w:val="none"/>
                      <w:lang w:eastAsia="zh-CN"/>
                    </w:rPr>
                    <w:t>°</w:t>
                  </w:r>
                </w:p>
              </w:tc>
              <w:tc>
                <w:tcPr>
                  <w:tcW w:w="2045" w:type="dxa"/>
                  <w:noWrap w:val="0"/>
                  <w:vAlign w:val="center"/>
                </w:tcPr>
                <w:p w14:paraId="51C28335">
                  <w:pPr>
                    <w:pStyle w:val="87"/>
                    <w:adjustRightInd w:val="0"/>
                    <w:snapToGrid w:val="0"/>
                    <w:spacing w:line="320" w:lineRule="exact"/>
                    <w:jc w:val="center"/>
                    <w:rPr>
                      <w:rFonts w:ascii="Times New Roman" w:hAnsi="Times New Roman" w:cs="Times New Roman"/>
                      <w:bCs/>
                      <w:color w:val="auto"/>
                      <w:szCs w:val="21"/>
                      <w:highlight w:val="none"/>
                      <w:lang w:eastAsia="zh-CN"/>
                    </w:rPr>
                  </w:pPr>
                  <w:r>
                    <w:rPr>
                      <w:rFonts w:hint="eastAsia" w:ascii="Times New Roman" w:hAnsi="Times New Roman" w:cs="Times New Roman"/>
                      <w:bCs/>
                      <w:color w:val="auto"/>
                      <w:szCs w:val="21"/>
                      <w:highlight w:val="none"/>
                      <w:lang w:eastAsia="zh-CN"/>
                    </w:rPr>
                    <w:t>26.4711</w:t>
                  </w:r>
                  <w:r>
                    <w:rPr>
                      <w:rFonts w:ascii="Times New Roman" w:hAnsi="Times New Roman" w:cs="Times New Roman"/>
                      <w:bCs/>
                      <w:color w:val="auto"/>
                      <w:szCs w:val="21"/>
                      <w:highlight w:val="none"/>
                      <w:lang w:eastAsia="zh-CN"/>
                    </w:rPr>
                    <w:t>°</w:t>
                  </w:r>
                </w:p>
              </w:tc>
              <w:tc>
                <w:tcPr>
                  <w:tcW w:w="2045" w:type="dxa"/>
                  <w:noWrap w:val="0"/>
                  <w:vAlign w:val="center"/>
                </w:tcPr>
                <w:p w14:paraId="1C8CA386">
                  <w:pPr>
                    <w:pStyle w:val="87"/>
                    <w:adjustRightInd w:val="0"/>
                    <w:snapToGrid w:val="0"/>
                    <w:spacing w:line="320" w:lineRule="exact"/>
                    <w:jc w:val="center"/>
                    <w:rPr>
                      <w:rFonts w:ascii="Times New Roman" w:hAnsi="Times New Roman" w:cs="Times New Roman"/>
                      <w:bCs/>
                      <w:color w:val="auto"/>
                      <w:szCs w:val="21"/>
                      <w:highlight w:val="none"/>
                      <w:lang w:eastAsia="zh-CN"/>
                    </w:rPr>
                  </w:pPr>
                  <w:r>
                    <w:rPr>
                      <w:rFonts w:ascii="Times New Roman" w:hAnsi="Times New Roman" w:cs="Times New Roman"/>
                      <w:bCs/>
                      <w:color w:val="auto"/>
                      <w:szCs w:val="21"/>
                      <w:highlight w:val="none"/>
                      <w:lang w:eastAsia="zh-CN"/>
                    </w:rPr>
                    <w:t>水质</w:t>
                  </w:r>
                </w:p>
              </w:tc>
            </w:tr>
          </w:tbl>
          <w:p w14:paraId="1C0A9EA7">
            <w:pPr>
              <w:ind w:firstLine="0" w:firstLineChars="0"/>
              <w:rPr>
                <w:b/>
                <w:color w:val="auto"/>
                <w:kern w:val="0"/>
                <w:highlight w:val="none"/>
              </w:rPr>
            </w:pPr>
          </w:p>
          <w:p w14:paraId="42DC3F7F">
            <w:pPr>
              <w:ind w:firstLine="0" w:firstLineChars="0"/>
              <w:jc w:val="center"/>
              <w:rPr>
                <w:rFonts w:hint="eastAsia"/>
                <w:b/>
                <w:color w:val="auto"/>
                <w:kern w:val="0"/>
                <w:highlight w:val="none"/>
              </w:rPr>
            </w:pPr>
            <w:r>
              <w:rPr>
                <w:b/>
                <w:color w:val="auto"/>
                <w:kern w:val="0"/>
                <w:highlight w:val="none"/>
              </w:rPr>
              <w:t>表3.2-3  调查海域（202</w:t>
            </w:r>
            <w:r>
              <w:rPr>
                <w:rFonts w:hint="eastAsia"/>
                <w:b/>
                <w:color w:val="auto"/>
                <w:kern w:val="0"/>
                <w:highlight w:val="none"/>
                <w:lang w:val="en-US" w:eastAsia="zh-CN"/>
              </w:rPr>
              <w:t>4</w:t>
            </w:r>
            <w:r>
              <w:rPr>
                <w:b/>
                <w:color w:val="auto"/>
                <w:kern w:val="0"/>
                <w:highlight w:val="none"/>
              </w:rPr>
              <w:t>年</w:t>
            </w:r>
            <w:r>
              <w:rPr>
                <w:rFonts w:hint="eastAsia"/>
                <w:b/>
                <w:color w:val="auto"/>
                <w:kern w:val="0"/>
                <w:highlight w:val="none"/>
              </w:rPr>
              <w:t>秋季</w:t>
            </w:r>
            <w:r>
              <w:rPr>
                <w:b/>
                <w:color w:val="auto"/>
                <w:kern w:val="0"/>
                <w:highlight w:val="none"/>
              </w:rPr>
              <w:t>）水质调查结果</w:t>
            </w:r>
          </w:p>
          <w:tbl>
            <w:tblPr>
              <w:tblStyle w:val="27"/>
              <w:tblW w:w="8195"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537"/>
              <w:gridCol w:w="1079"/>
              <w:gridCol w:w="1077"/>
              <w:gridCol w:w="961"/>
              <w:gridCol w:w="995"/>
              <w:gridCol w:w="1273"/>
              <w:gridCol w:w="1273"/>
            </w:tblGrid>
            <w:tr w14:paraId="2DBE55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71" w:hRule="atLeast"/>
                <w:jc w:val="center"/>
              </w:trPr>
              <w:tc>
                <w:tcPr>
                  <w:tcW w:w="1537" w:type="dxa"/>
                  <w:tcBorders>
                    <w:tl2br w:val="single" w:color="000000" w:sz="4" w:space="0"/>
                  </w:tcBorders>
                  <w:noWrap w:val="0"/>
                  <w:vAlign w:val="center"/>
                </w:tcPr>
                <w:p w14:paraId="04B1853E">
                  <w:pPr>
                    <w:pStyle w:val="87"/>
                    <w:adjustRightInd w:val="0"/>
                    <w:snapToGrid w:val="0"/>
                    <w:spacing w:line="320" w:lineRule="exact"/>
                    <w:jc w:val="center"/>
                    <w:rPr>
                      <w:rFonts w:ascii="Times New Roman" w:hAnsi="Times New Roman" w:cs="Times New Roman"/>
                      <w:b/>
                      <w:color w:val="auto"/>
                      <w:szCs w:val="21"/>
                      <w:highlight w:val="none"/>
                      <w:lang w:eastAsia="zh-CN"/>
                    </w:rPr>
                  </w:pPr>
                  <w:r>
                    <w:rPr>
                      <w:rFonts w:hint="eastAsia" w:ascii="Times New Roman" w:hAnsi="Times New Roman" w:cs="Times New Roman"/>
                      <w:b/>
                      <w:color w:val="auto"/>
                      <w:szCs w:val="21"/>
                      <w:highlight w:val="none"/>
                      <w:lang w:eastAsia="zh-CN"/>
                    </w:rPr>
                    <w:t xml:space="preserve">       </w:t>
                  </w:r>
                  <w:r>
                    <w:rPr>
                      <w:rFonts w:ascii="Times New Roman" w:hAnsi="Times New Roman" w:cs="Times New Roman"/>
                      <w:b/>
                      <w:color w:val="auto"/>
                      <w:szCs w:val="21"/>
                      <w:highlight w:val="none"/>
                      <w:lang w:eastAsia="zh-CN"/>
                    </w:rPr>
                    <w:t>项目</w:t>
                  </w:r>
                </w:p>
                <w:p w14:paraId="21E7465C">
                  <w:pPr>
                    <w:pStyle w:val="87"/>
                    <w:adjustRightInd w:val="0"/>
                    <w:snapToGrid w:val="0"/>
                    <w:spacing w:line="320" w:lineRule="exact"/>
                    <w:ind w:firstLine="211" w:firstLineChars="100"/>
                    <w:rPr>
                      <w:rFonts w:ascii="Times New Roman" w:hAnsi="Times New Roman" w:cs="Times New Roman"/>
                      <w:b/>
                      <w:color w:val="auto"/>
                      <w:szCs w:val="21"/>
                      <w:highlight w:val="none"/>
                      <w:lang w:eastAsia="zh-CN"/>
                    </w:rPr>
                  </w:pPr>
                  <w:r>
                    <w:rPr>
                      <w:rFonts w:ascii="Times New Roman" w:hAnsi="Times New Roman" w:cs="Times New Roman"/>
                      <w:b/>
                      <w:color w:val="auto"/>
                      <w:szCs w:val="21"/>
                      <w:highlight w:val="none"/>
                      <w:lang w:eastAsia="zh-CN"/>
                    </w:rPr>
                    <w:t>站位</w:t>
                  </w:r>
                </w:p>
              </w:tc>
              <w:tc>
                <w:tcPr>
                  <w:tcW w:w="1079" w:type="dxa"/>
                  <w:noWrap w:val="0"/>
                  <w:vAlign w:val="center"/>
                </w:tcPr>
                <w:p w14:paraId="3BFF83EC">
                  <w:pPr>
                    <w:pStyle w:val="87"/>
                    <w:adjustRightInd w:val="0"/>
                    <w:snapToGrid w:val="0"/>
                    <w:spacing w:line="320" w:lineRule="exact"/>
                    <w:jc w:val="center"/>
                    <w:rPr>
                      <w:rFonts w:ascii="Times New Roman" w:hAnsi="Times New Roman" w:cs="Times New Roman"/>
                      <w:b/>
                      <w:color w:val="auto"/>
                      <w:szCs w:val="21"/>
                      <w:highlight w:val="none"/>
                      <w:lang w:eastAsia="zh-CN"/>
                    </w:rPr>
                  </w:pPr>
                  <w:r>
                    <w:rPr>
                      <w:rFonts w:ascii="Times New Roman" w:hAnsi="Times New Roman" w:cs="Times New Roman"/>
                      <w:b/>
                      <w:color w:val="auto"/>
                      <w:szCs w:val="21"/>
                      <w:highlight w:val="none"/>
                      <w:lang w:eastAsia="zh-CN"/>
                    </w:rPr>
                    <w:t>pH值</w:t>
                  </w:r>
                </w:p>
              </w:tc>
              <w:tc>
                <w:tcPr>
                  <w:tcW w:w="1077" w:type="dxa"/>
                  <w:noWrap w:val="0"/>
                  <w:vAlign w:val="center"/>
                </w:tcPr>
                <w:p w14:paraId="18398044">
                  <w:pPr>
                    <w:pStyle w:val="87"/>
                    <w:adjustRightInd w:val="0"/>
                    <w:snapToGrid w:val="0"/>
                    <w:spacing w:line="320" w:lineRule="exact"/>
                    <w:jc w:val="center"/>
                    <w:rPr>
                      <w:rFonts w:ascii="Times New Roman" w:hAnsi="Times New Roman" w:cs="Times New Roman"/>
                      <w:b/>
                      <w:color w:val="auto"/>
                      <w:szCs w:val="21"/>
                      <w:highlight w:val="none"/>
                      <w:lang w:eastAsia="zh-CN"/>
                    </w:rPr>
                  </w:pPr>
                  <w:r>
                    <w:rPr>
                      <w:rFonts w:ascii="Times New Roman" w:hAnsi="Times New Roman" w:cs="Times New Roman"/>
                      <w:b/>
                      <w:color w:val="auto"/>
                      <w:szCs w:val="21"/>
                      <w:highlight w:val="none"/>
                      <w:lang w:eastAsia="zh-CN"/>
                    </w:rPr>
                    <w:t>溶解氧</w:t>
                  </w:r>
                </w:p>
                <w:p w14:paraId="72F3A725">
                  <w:pPr>
                    <w:pStyle w:val="87"/>
                    <w:adjustRightInd w:val="0"/>
                    <w:snapToGrid w:val="0"/>
                    <w:spacing w:line="320" w:lineRule="exact"/>
                    <w:jc w:val="center"/>
                    <w:rPr>
                      <w:rFonts w:ascii="Times New Roman" w:hAnsi="Times New Roman" w:cs="Times New Roman"/>
                      <w:b/>
                      <w:color w:val="auto"/>
                      <w:szCs w:val="21"/>
                      <w:highlight w:val="none"/>
                      <w:lang w:eastAsia="zh-CN"/>
                    </w:rPr>
                  </w:pPr>
                  <w:r>
                    <w:rPr>
                      <w:rFonts w:ascii="Times New Roman" w:hAnsi="Times New Roman" w:cs="Times New Roman"/>
                      <w:b/>
                      <w:color w:val="auto"/>
                      <w:szCs w:val="21"/>
                      <w:highlight w:val="none"/>
                      <w:lang w:eastAsia="zh-CN"/>
                    </w:rPr>
                    <w:t>mg/L</w:t>
                  </w:r>
                </w:p>
              </w:tc>
              <w:tc>
                <w:tcPr>
                  <w:tcW w:w="961" w:type="dxa"/>
                  <w:noWrap w:val="0"/>
                  <w:vAlign w:val="top"/>
                </w:tcPr>
                <w:p w14:paraId="5E2E5BA7">
                  <w:pPr>
                    <w:pStyle w:val="87"/>
                    <w:adjustRightInd w:val="0"/>
                    <w:snapToGrid w:val="0"/>
                    <w:spacing w:line="320" w:lineRule="exact"/>
                    <w:jc w:val="center"/>
                    <w:rPr>
                      <w:rFonts w:ascii="Times New Roman" w:hAnsi="Times New Roman" w:cs="Times New Roman"/>
                      <w:b/>
                      <w:color w:val="auto"/>
                      <w:szCs w:val="21"/>
                      <w:highlight w:val="none"/>
                      <w:lang w:eastAsia="zh-CN"/>
                    </w:rPr>
                  </w:pPr>
                  <w:r>
                    <w:rPr>
                      <w:rFonts w:ascii="Times New Roman" w:hAnsi="Times New Roman" w:cs="Times New Roman"/>
                      <w:b/>
                      <w:color w:val="auto"/>
                      <w:szCs w:val="21"/>
                      <w:highlight w:val="none"/>
                      <w:lang w:eastAsia="zh-CN"/>
                    </w:rPr>
                    <w:t>活性磷酸盐 mg/L</w:t>
                  </w:r>
                </w:p>
              </w:tc>
              <w:tc>
                <w:tcPr>
                  <w:tcW w:w="995" w:type="dxa"/>
                  <w:noWrap w:val="0"/>
                  <w:vAlign w:val="center"/>
                </w:tcPr>
                <w:p w14:paraId="1F70428E">
                  <w:pPr>
                    <w:pStyle w:val="87"/>
                    <w:adjustRightInd w:val="0"/>
                    <w:snapToGrid w:val="0"/>
                    <w:spacing w:line="320" w:lineRule="exact"/>
                    <w:jc w:val="center"/>
                    <w:rPr>
                      <w:rFonts w:ascii="Times New Roman" w:hAnsi="Times New Roman" w:cs="Times New Roman"/>
                      <w:b/>
                      <w:color w:val="auto"/>
                      <w:szCs w:val="21"/>
                      <w:highlight w:val="none"/>
                      <w:lang w:eastAsia="zh-CN"/>
                    </w:rPr>
                  </w:pPr>
                  <w:r>
                    <w:rPr>
                      <w:rFonts w:ascii="Times New Roman" w:hAnsi="Times New Roman" w:cs="Times New Roman"/>
                      <w:b/>
                      <w:color w:val="auto"/>
                      <w:szCs w:val="21"/>
                      <w:highlight w:val="none"/>
                      <w:lang w:eastAsia="zh-CN"/>
                    </w:rPr>
                    <w:t>化学需氧量 mg/L</w:t>
                  </w:r>
                </w:p>
              </w:tc>
              <w:tc>
                <w:tcPr>
                  <w:tcW w:w="1273" w:type="dxa"/>
                  <w:noWrap w:val="0"/>
                  <w:vAlign w:val="center"/>
                </w:tcPr>
                <w:p w14:paraId="48A758B2">
                  <w:pPr>
                    <w:pStyle w:val="87"/>
                    <w:adjustRightInd w:val="0"/>
                    <w:snapToGrid w:val="0"/>
                    <w:spacing w:line="320" w:lineRule="exact"/>
                    <w:jc w:val="center"/>
                    <w:rPr>
                      <w:rFonts w:ascii="Times New Roman" w:hAnsi="Times New Roman" w:cs="Times New Roman"/>
                      <w:b/>
                      <w:color w:val="auto"/>
                      <w:szCs w:val="21"/>
                      <w:highlight w:val="none"/>
                      <w:lang w:eastAsia="zh-CN"/>
                    </w:rPr>
                  </w:pPr>
                  <w:r>
                    <w:rPr>
                      <w:rFonts w:ascii="Times New Roman" w:hAnsi="Times New Roman" w:cs="Times New Roman"/>
                      <w:b/>
                      <w:color w:val="auto"/>
                      <w:szCs w:val="21"/>
                      <w:highlight w:val="none"/>
                      <w:lang w:eastAsia="zh-CN"/>
                    </w:rPr>
                    <w:t>石油类</w:t>
                  </w:r>
                </w:p>
                <w:p w14:paraId="2D2B5215">
                  <w:pPr>
                    <w:pStyle w:val="87"/>
                    <w:adjustRightInd w:val="0"/>
                    <w:snapToGrid w:val="0"/>
                    <w:spacing w:line="320" w:lineRule="exact"/>
                    <w:jc w:val="center"/>
                    <w:rPr>
                      <w:rFonts w:ascii="Times New Roman" w:hAnsi="Times New Roman" w:cs="Times New Roman"/>
                      <w:b/>
                      <w:color w:val="auto"/>
                      <w:szCs w:val="21"/>
                      <w:highlight w:val="none"/>
                      <w:lang w:eastAsia="zh-CN"/>
                    </w:rPr>
                  </w:pPr>
                  <w:r>
                    <w:rPr>
                      <w:rFonts w:ascii="Times New Roman" w:hAnsi="Times New Roman" w:cs="Times New Roman"/>
                      <w:b/>
                      <w:color w:val="auto"/>
                      <w:szCs w:val="21"/>
                      <w:highlight w:val="none"/>
                      <w:lang w:eastAsia="zh-CN"/>
                    </w:rPr>
                    <w:t>mg/L</w:t>
                  </w:r>
                </w:p>
              </w:tc>
              <w:tc>
                <w:tcPr>
                  <w:tcW w:w="1273" w:type="dxa"/>
                  <w:noWrap w:val="0"/>
                  <w:vAlign w:val="center"/>
                </w:tcPr>
                <w:p w14:paraId="01EABE4F">
                  <w:pPr>
                    <w:pStyle w:val="87"/>
                    <w:adjustRightInd w:val="0"/>
                    <w:snapToGrid w:val="0"/>
                    <w:spacing w:line="320" w:lineRule="exact"/>
                    <w:jc w:val="center"/>
                    <w:rPr>
                      <w:rFonts w:ascii="Times New Roman" w:hAnsi="Times New Roman" w:cs="Times New Roman"/>
                      <w:b/>
                      <w:color w:val="auto"/>
                      <w:szCs w:val="21"/>
                      <w:highlight w:val="none"/>
                      <w:lang w:eastAsia="zh-CN"/>
                    </w:rPr>
                  </w:pPr>
                  <w:r>
                    <w:rPr>
                      <w:rFonts w:ascii="Times New Roman" w:hAnsi="Times New Roman" w:cs="Times New Roman"/>
                      <w:b/>
                      <w:color w:val="auto"/>
                      <w:szCs w:val="21"/>
                      <w:highlight w:val="none"/>
                      <w:lang w:eastAsia="zh-CN"/>
                    </w:rPr>
                    <w:t>无机氮 mg/L</w:t>
                  </w:r>
                </w:p>
              </w:tc>
            </w:tr>
            <w:tr w14:paraId="5F141C3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1537" w:type="dxa"/>
                  <w:noWrap w:val="0"/>
                  <w:vAlign w:val="center"/>
                </w:tcPr>
                <w:p w14:paraId="24B67F55">
                  <w:pPr>
                    <w:pStyle w:val="87"/>
                    <w:adjustRightInd w:val="0"/>
                    <w:snapToGrid w:val="0"/>
                    <w:spacing w:line="320" w:lineRule="exact"/>
                    <w:jc w:val="center"/>
                    <w:rPr>
                      <w:rFonts w:ascii="Times New Roman" w:hAnsi="Times New Roman" w:cs="Times New Roman"/>
                      <w:bCs/>
                      <w:color w:val="auto"/>
                      <w:szCs w:val="21"/>
                      <w:highlight w:val="none"/>
                      <w:lang w:eastAsia="zh-CN"/>
                    </w:rPr>
                  </w:pPr>
                  <w:r>
                    <w:rPr>
                      <w:rFonts w:hint="eastAsia" w:ascii="Times New Roman" w:hAnsi="Times New Roman" w:cs="Times New Roman"/>
                      <w:bCs/>
                      <w:color w:val="auto"/>
                      <w:szCs w:val="21"/>
                      <w:highlight w:val="none"/>
                      <w:lang w:eastAsia="zh-CN"/>
                    </w:rPr>
                    <w:t>FJD01021</w:t>
                  </w:r>
                </w:p>
              </w:tc>
              <w:tc>
                <w:tcPr>
                  <w:tcW w:w="1079" w:type="dxa"/>
                  <w:noWrap w:val="0"/>
                  <w:vAlign w:val="center"/>
                </w:tcPr>
                <w:p w14:paraId="7CBA8B48">
                  <w:pPr>
                    <w:pStyle w:val="87"/>
                    <w:adjustRightInd w:val="0"/>
                    <w:snapToGrid w:val="0"/>
                    <w:spacing w:line="320" w:lineRule="exact"/>
                    <w:jc w:val="center"/>
                    <w:rPr>
                      <w:rFonts w:hint="default" w:ascii="Times New Roman" w:hAnsi="Times New Roman" w:cs="Times New Roman"/>
                      <w:bCs/>
                      <w:color w:val="auto"/>
                      <w:szCs w:val="21"/>
                      <w:highlight w:val="none"/>
                      <w:lang w:val="en-US" w:eastAsia="zh-CN"/>
                    </w:rPr>
                  </w:pPr>
                  <w:r>
                    <w:rPr>
                      <w:rFonts w:hint="eastAsia" w:ascii="Times New Roman" w:hAnsi="Times New Roman" w:cs="Times New Roman"/>
                      <w:bCs/>
                      <w:color w:val="auto"/>
                      <w:szCs w:val="21"/>
                      <w:highlight w:val="none"/>
                      <w:lang w:val="en-US" w:eastAsia="zh-CN"/>
                    </w:rPr>
                    <w:t>8.10</w:t>
                  </w:r>
                </w:p>
              </w:tc>
              <w:tc>
                <w:tcPr>
                  <w:tcW w:w="1077" w:type="dxa"/>
                  <w:noWrap w:val="0"/>
                  <w:vAlign w:val="center"/>
                </w:tcPr>
                <w:p w14:paraId="755DAE7D">
                  <w:pPr>
                    <w:pStyle w:val="87"/>
                    <w:adjustRightInd w:val="0"/>
                    <w:snapToGrid w:val="0"/>
                    <w:spacing w:line="320" w:lineRule="exact"/>
                    <w:jc w:val="center"/>
                    <w:rPr>
                      <w:rFonts w:hint="default" w:ascii="Times New Roman" w:hAnsi="Times New Roman" w:cs="Times New Roman"/>
                      <w:bCs/>
                      <w:color w:val="auto"/>
                      <w:szCs w:val="21"/>
                      <w:highlight w:val="none"/>
                      <w:lang w:val="en-US" w:eastAsia="zh-CN"/>
                    </w:rPr>
                  </w:pPr>
                  <w:r>
                    <w:rPr>
                      <w:rFonts w:hint="eastAsia" w:ascii="Times New Roman" w:hAnsi="Times New Roman" w:cs="Times New Roman"/>
                      <w:bCs/>
                      <w:color w:val="auto"/>
                      <w:szCs w:val="21"/>
                      <w:highlight w:val="none"/>
                      <w:lang w:val="en-US" w:eastAsia="zh-CN"/>
                    </w:rPr>
                    <w:t>5.54</w:t>
                  </w:r>
                </w:p>
              </w:tc>
              <w:tc>
                <w:tcPr>
                  <w:tcW w:w="961" w:type="dxa"/>
                  <w:noWrap w:val="0"/>
                  <w:vAlign w:val="top"/>
                </w:tcPr>
                <w:p w14:paraId="1D65F363">
                  <w:pPr>
                    <w:pStyle w:val="87"/>
                    <w:adjustRightInd w:val="0"/>
                    <w:snapToGrid w:val="0"/>
                    <w:spacing w:line="320" w:lineRule="exact"/>
                    <w:jc w:val="center"/>
                    <w:rPr>
                      <w:rFonts w:hint="default" w:ascii="Times New Roman" w:hAnsi="Times New Roman" w:cs="Times New Roman"/>
                      <w:bCs/>
                      <w:color w:val="auto"/>
                      <w:szCs w:val="21"/>
                      <w:highlight w:val="none"/>
                      <w:lang w:val="en-US" w:eastAsia="zh-CN"/>
                    </w:rPr>
                  </w:pPr>
                  <w:r>
                    <w:rPr>
                      <w:rFonts w:hint="eastAsia" w:ascii="Times New Roman" w:hAnsi="Times New Roman" w:cs="Times New Roman"/>
                      <w:bCs/>
                      <w:color w:val="auto"/>
                      <w:szCs w:val="21"/>
                      <w:highlight w:val="none"/>
                      <w:lang w:val="en-US" w:eastAsia="zh-CN"/>
                    </w:rPr>
                    <w:t>0.012</w:t>
                  </w:r>
                </w:p>
              </w:tc>
              <w:tc>
                <w:tcPr>
                  <w:tcW w:w="995" w:type="dxa"/>
                  <w:noWrap w:val="0"/>
                  <w:vAlign w:val="center"/>
                </w:tcPr>
                <w:p w14:paraId="4AB99F18">
                  <w:pPr>
                    <w:pStyle w:val="87"/>
                    <w:adjustRightInd w:val="0"/>
                    <w:snapToGrid w:val="0"/>
                    <w:spacing w:line="320" w:lineRule="exact"/>
                    <w:jc w:val="center"/>
                    <w:rPr>
                      <w:rFonts w:hint="default" w:ascii="Times New Roman" w:hAnsi="Times New Roman" w:cs="Times New Roman"/>
                      <w:bCs/>
                      <w:color w:val="auto"/>
                      <w:szCs w:val="21"/>
                      <w:highlight w:val="none"/>
                      <w:lang w:val="en-US" w:eastAsia="zh-CN"/>
                    </w:rPr>
                  </w:pPr>
                  <w:r>
                    <w:rPr>
                      <w:rFonts w:hint="eastAsia" w:ascii="Times New Roman" w:hAnsi="Times New Roman" w:cs="Times New Roman"/>
                      <w:bCs/>
                      <w:color w:val="auto"/>
                      <w:szCs w:val="21"/>
                      <w:highlight w:val="none"/>
                      <w:lang w:eastAsia="zh-CN"/>
                    </w:rPr>
                    <w:t>0.</w:t>
                  </w:r>
                  <w:r>
                    <w:rPr>
                      <w:rFonts w:hint="eastAsia" w:ascii="Times New Roman" w:hAnsi="Times New Roman" w:cs="Times New Roman"/>
                      <w:bCs/>
                      <w:color w:val="auto"/>
                      <w:szCs w:val="21"/>
                      <w:highlight w:val="none"/>
                      <w:lang w:val="en-US" w:eastAsia="zh-CN"/>
                    </w:rPr>
                    <w:t>93</w:t>
                  </w:r>
                </w:p>
              </w:tc>
              <w:tc>
                <w:tcPr>
                  <w:tcW w:w="1273" w:type="dxa"/>
                  <w:noWrap w:val="0"/>
                  <w:vAlign w:val="center"/>
                </w:tcPr>
                <w:p w14:paraId="49DDFA04">
                  <w:pPr>
                    <w:pStyle w:val="87"/>
                    <w:adjustRightInd w:val="0"/>
                    <w:snapToGrid w:val="0"/>
                    <w:spacing w:line="320" w:lineRule="exact"/>
                    <w:jc w:val="center"/>
                    <w:rPr>
                      <w:rFonts w:hint="default" w:ascii="Times New Roman" w:hAnsi="Times New Roman" w:cs="Times New Roman"/>
                      <w:bCs/>
                      <w:color w:val="auto"/>
                      <w:szCs w:val="21"/>
                      <w:highlight w:val="none"/>
                      <w:lang w:val="en-US" w:eastAsia="zh-CN"/>
                    </w:rPr>
                  </w:pPr>
                  <w:r>
                    <w:rPr>
                      <w:rFonts w:hint="eastAsia" w:ascii="Times New Roman" w:hAnsi="Times New Roman" w:cs="Times New Roman"/>
                      <w:bCs/>
                      <w:color w:val="auto"/>
                      <w:szCs w:val="21"/>
                      <w:highlight w:val="none"/>
                      <w:lang w:eastAsia="zh-CN"/>
                    </w:rPr>
                    <w:t>0.0</w:t>
                  </w:r>
                  <w:r>
                    <w:rPr>
                      <w:rFonts w:hint="eastAsia" w:ascii="Times New Roman" w:hAnsi="Times New Roman" w:cs="Times New Roman"/>
                      <w:bCs/>
                      <w:color w:val="auto"/>
                      <w:szCs w:val="21"/>
                      <w:highlight w:val="none"/>
                      <w:lang w:val="en-US" w:eastAsia="zh-CN"/>
                    </w:rPr>
                    <w:t>010</w:t>
                  </w:r>
                </w:p>
              </w:tc>
              <w:tc>
                <w:tcPr>
                  <w:tcW w:w="1273" w:type="dxa"/>
                  <w:noWrap w:val="0"/>
                  <w:vAlign w:val="center"/>
                </w:tcPr>
                <w:p w14:paraId="72410785">
                  <w:pPr>
                    <w:pStyle w:val="87"/>
                    <w:adjustRightInd w:val="0"/>
                    <w:snapToGrid w:val="0"/>
                    <w:spacing w:line="320" w:lineRule="exact"/>
                    <w:jc w:val="center"/>
                    <w:rPr>
                      <w:rFonts w:hint="default" w:ascii="Times New Roman" w:hAnsi="Times New Roman" w:cs="Times New Roman"/>
                      <w:bCs/>
                      <w:color w:val="auto"/>
                      <w:szCs w:val="21"/>
                      <w:highlight w:val="none"/>
                      <w:lang w:val="en-US" w:eastAsia="zh-CN"/>
                    </w:rPr>
                  </w:pPr>
                  <w:r>
                    <w:rPr>
                      <w:rFonts w:ascii="Times New Roman" w:hAnsi="Times New Roman" w:cs="Times New Roman"/>
                      <w:bCs/>
                      <w:color w:val="auto"/>
                      <w:szCs w:val="21"/>
                      <w:highlight w:val="none"/>
                      <w:lang w:eastAsia="zh-CN"/>
                    </w:rPr>
                    <w:t>0.</w:t>
                  </w:r>
                  <w:r>
                    <w:rPr>
                      <w:rFonts w:hint="eastAsia" w:ascii="Times New Roman" w:hAnsi="Times New Roman" w:cs="Times New Roman"/>
                      <w:bCs/>
                      <w:color w:val="auto"/>
                      <w:szCs w:val="21"/>
                      <w:highlight w:val="none"/>
                      <w:lang w:val="en-US" w:eastAsia="zh-CN"/>
                    </w:rPr>
                    <w:t>292</w:t>
                  </w:r>
                </w:p>
              </w:tc>
            </w:tr>
          </w:tbl>
          <w:p w14:paraId="4171FA42">
            <w:pPr>
              <w:ind w:firstLine="480"/>
              <w:rPr>
                <w:rFonts w:hint="eastAsia"/>
                <w:color w:val="auto"/>
                <w:highlight w:val="none"/>
              </w:rPr>
            </w:pPr>
            <w:r>
              <w:rPr>
                <w:rFonts w:hint="eastAsia"/>
                <w:color w:val="auto"/>
                <w:highlight w:val="none"/>
              </w:rPr>
              <w:t>由上表</w:t>
            </w:r>
            <w:r>
              <w:rPr>
                <w:color w:val="auto"/>
                <w:highlight w:val="none"/>
              </w:rPr>
              <w:t>3.2-</w:t>
            </w:r>
            <w:r>
              <w:rPr>
                <w:rFonts w:hint="eastAsia"/>
                <w:color w:val="auto"/>
                <w:highlight w:val="none"/>
              </w:rPr>
              <w:t>3可知，</w:t>
            </w:r>
            <w:r>
              <w:rPr>
                <w:color w:val="auto"/>
                <w:highlight w:val="none"/>
              </w:rPr>
              <w:t>202</w:t>
            </w:r>
            <w:r>
              <w:rPr>
                <w:rFonts w:hint="eastAsia"/>
                <w:color w:val="auto"/>
                <w:highlight w:val="none"/>
                <w:lang w:val="en-US" w:eastAsia="zh-CN"/>
              </w:rPr>
              <w:t>4</w:t>
            </w:r>
            <w:r>
              <w:rPr>
                <w:rFonts w:hint="eastAsia"/>
                <w:color w:val="auto"/>
                <w:highlight w:val="none"/>
              </w:rPr>
              <w:t>年秋季监测期间</w:t>
            </w:r>
            <w:r>
              <w:rPr>
                <w:rFonts w:hint="eastAsia" w:ascii="Times New Roman" w:hAnsi="Times New Roman" w:cs="Times New Roman"/>
                <w:bCs/>
                <w:color w:val="auto"/>
                <w:szCs w:val="21"/>
                <w:highlight w:val="none"/>
                <w:lang w:eastAsia="zh-CN"/>
              </w:rPr>
              <w:t>FJD01021</w:t>
            </w:r>
            <w:r>
              <w:rPr>
                <w:rFonts w:hint="eastAsia"/>
                <w:color w:val="auto"/>
                <w:highlight w:val="none"/>
              </w:rPr>
              <w:t>监测点位数据中</w:t>
            </w:r>
            <w:r>
              <w:rPr>
                <w:rFonts w:hint="eastAsia"/>
                <w:color w:val="auto"/>
                <w:highlight w:val="none"/>
                <w:lang w:val="en-US" w:eastAsia="zh-CN"/>
              </w:rPr>
              <w:t>的</w:t>
            </w:r>
            <w:r>
              <w:rPr>
                <w:rFonts w:hint="eastAsia"/>
                <w:color w:val="auto"/>
                <w:highlight w:val="none"/>
              </w:rPr>
              <w:t>评价指标均符合《海水水质标准》</w:t>
            </w:r>
            <w:r>
              <w:rPr>
                <w:rFonts w:hint="eastAsia"/>
                <w:color w:val="auto"/>
                <w:highlight w:val="none"/>
                <w:lang w:val="en-US" w:eastAsia="zh-CN"/>
              </w:rPr>
              <w:t>三</w:t>
            </w:r>
            <w:r>
              <w:rPr>
                <w:rFonts w:hint="eastAsia"/>
                <w:color w:val="auto"/>
                <w:highlight w:val="none"/>
              </w:rPr>
              <w:t>类标准。</w:t>
            </w:r>
          </w:p>
          <w:p w14:paraId="78D52759">
            <w:pPr>
              <w:pStyle w:val="3"/>
              <w:rPr>
                <w:color w:val="auto"/>
                <w:highlight w:val="none"/>
              </w:rPr>
            </w:pPr>
            <w:r>
              <w:rPr>
                <w:color w:val="auto"/>
                <w:highlight w:val="none"/>
              </w:rPr>
              <w:t>3.3声环境质量现状</w:t>
            </w:r>
          </w:p>
          <w:p w14:paraId="5A65CD5B">
            <w:pPr>
              <w:pStyle w:val="4"/>
              <w:rPr>
                <w:color w:val="auto"/>
                <w:highlight w:val="none"/>
              </w:rPr>
            </w:pPr>
            <w:r>
              <w:rPr>
                <w:color w:val="auto"/>
                <w:highlight w:val="none"/>
              </w:rPr>
              <w:t>3.3.1声环境功能区</w:t>
            </w:r>
          </w:p>
          <w:p w14:paraId="48B9E48E">
            <w:pPr>
              <w:adjustRightInd w:val="0"/>
              <w:snapToGrid w:val="0"/>
              <w:spacing w:line="360" w:lineRule="auto"/>
              <w:ind w:firstLine="480" w:firstLineChars="200"/>
              <w:rPr>
                <w:rFonts w:hint="default" w:ascii="Times New Roman" w:hAnsi="Times New Roman" w:cs="Times New Roman"/>
                <w:color w:val="auto"/>
                <w:highlight w:val="none"/>
              </w:rPr>
            </w:pPr>
            <w:r>
              <w:rPr>
                <w:rFonts w:hint="eastAsia" w:ascii="Times New Roman" w:hAnsi="Times New Roman" w:cs="Times New Roman"/>
                <w:color w:val="auto"/>
                <w:sz w:val="24"/>
                <w:highlight w:val="none"/>
                <w:lang w:val="en-US" w:eastAsia="zh-CN"/>
              </w:rPr>
              <w:t>本</w:t>
            </w:r>
            <w:r>
              <w:rPr>
                <w:rFonts w:hint="default" w:ascii="Times New Roman" w:hAnsi="Times New Roman" w:cs="Times New Roman"/>
                <w:color w:val="auto"/>
                <w:sz w:val="24"/>
                <w:highlight w:val="none"/>
                <w:lang w:val="zh-CN"/>
              </w:rPr>
              <w:t>项目位于福州市罗源县的</w:t>
            </w:r>
            <w:r>
              <w:rPr>
                <w:rFonts w:hint="default" w:ascii="Times New Roman" w:hAnsi="Times New Roman" w:cs="Times New Roman"/>
                <w:color w:val="auto"/>
                <w:sz w:val="24"/>
                <w:highlight w:val="none"/>
              </w:rPr>
              <w:t>金港工业区</w:t>
            </w:r>
            <w:r>
              <w:rPr>
                <w:rFonts w:hint="default" w:ascii="Times New Roman" w:hAnsi="Times New Roman" w:cs="Times New Roman"/>
                <w:color w:val="auto"/>
                <w:sz w:val="24"/>
                <w:highlight w:val="none"/>
                <w:lang w:val="zh-CN"/>
              </w:rPr>
              <w:t>，属于工业生产区，四周无居民</w:t>
            </w:r>
            <w:r>
              <w:rPr>
                <w:rFonts w:hint="default" w:ascii="Times New Roman" w:hAnsi="Times New Roman" w:cs="Times New Roman"/>
                <w:color w:val="auto"/>
                <w:sz w:val="24"/>
                <w:highlight w:val="none"/>
              </w:rPr>
              <w:t>区</w:t>
            </w:r>
            <w:r>
              <w:rPr>
                <w:rFonts w:hint="default" w:ascii="Times New Roman" w:hAnsi="Times New Roman" w:cs="Times New Roman"/>
                <w:color w:val="auto"/>
                <w:sz w:val="24"/>
                <w:highlight w:val="none"/>
                <w:lang w:val="zh-CN"/>
              </w:rPr>
              <w:t>相邻，声环境功能区为</w:t>
            </w:r>
            <w:r>
              <w:rPr>
                <w:rFonts w:hint="default" w:ascii="Times New Roman" w:hAnsi="Times New Roman" w:cs="Times New Roman"/>
                <w:color w:val="auto"/>
                <w:sz w:val="24"/>
                <w:highlight w:val="none"/>
              </w:rPr>
              <w:t>3类区</w:t>
            </w:r>
            <w:r>
              <w:rPr>
                <w:rFonts w:hint="default" w:ascii="Times New Roman" w:hAnsi="Times New Roman" w:cs="Times New Roman"/>
                <w:color w:val="auto"/>
                <w:sz w:val="24"/>
                <w:highlight w:val="none"/>
                <w:lang w:val="zh-CN"/>
              </w:rPr>
              <w:t>，</w:t>
            </w:r>
            <w:r>
              <w:rPr>
                <w:rFonts w:hint="default" w:ascii="Times New Roman" w:hAnsi="Times New Roman" w:cs="Times New Roman"/>
                <w:color w:val="auto"/>
                <w:sz w:val="24"/>
                <w:highlight w:val="none"/>
              </w:rPr>
              <w:t>执行《声环境质量标准》（GB3096-2008）3类标准。具体标准值见表3.3-1</w:t>
            </w:r>
            <w:r>
              <w:rPr>
                <w:rFonts w:hint="default" w:ascii="Times New Roman" w:hAnsi="Times New Roman" w:cs="Times New Roman"/>
                <w:color w:val="auto"/>
                <w:highlight w:val="none"/>
              </w:rPr>
              <w:t>。</w:t>
            </w:r>
          </w:p>
          <w:p w14:paraId="6F54CDB2">
            <w:pPr>
              <w:adjustRightInd w:val="0"/>
              <w:snapToGrid w:val="0"/>
              <w:spacing w:line="360" w:lineRule="auto"/>
              <w:ind w:left="0" w:leftChars="0" w:firstLine="0" w:firstLineChars="0"/>
              <w:rPr>
                <w:rFonts w:hint="default" w:ascii="Times New Roman" w:hAnsi="Times New Roman" w:cs="Times New Roman"/>
                <w:color w:val="auto"/>
                <w:highlight w:val="none"/>
              </w:rPr>
            </w:pPr>
          </w:p>
          <w:p w14:paraId="54BBFF3A">
            <w:pPr>
              <w:ind w:firstLine="0" w:firstLineChars="0"/>
              <w:jc w:val="center"/>
              <w:rPr>
                <w:rFonts w:hint="default" w:ascii="Times New Roman" w:hAnsi="Times New Roman" w:eastAsia="宋体" w:cs="Times New Roman"/>
                <w:b/>
                <w:color w:val="auto"/>
                <w:kern w:val="0"/>
                <w:highlight w:val="none"/>
              </w:rPr>
            </w:pPr>
            <w:r>
              <w:rPr>
                <w:rFonts w:hint="default" w:ascii="Times New Roman" w:hAnsi="Times New Roman" w:eastAsia="宋体" w:cs="Times New Roman"/>
                <w:b/>
                <w:color w:val="auto"/>
                <w:kern w:val="0"/>
                <w:highlight w:val="none"/>
              </w:rPr>
              <w:t>表3.3-1  《声环境质量标准》（GB3096-2008）单位：dB（A）</w:t>
            </w:r>
          </w:p>
          <w:tbl>
            <w:tblPr>
              <w:tblStyle w:val="27"/>
              <w:tblW w:w="498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0"/>
              <w:gridCol w:w="5895"/>
              <w:gridCol w:w="721"/>
              <w:gridCol w:w="766"/>
            </w:tblGrid>
            <w:tr w14:paraId="6ADAEB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433" w:type="pct"/>
                  <w:noWrap w:val="0"/>
                  <w:vAlign w:val="center"/>
                </w:tcPr>
                <w:p w14:paraId="35DBBD37">
                  <w:pPr>
                    <w:pStyle w:val="87"/>
                    <w:adjustRightInd w:val="0"/>
                    <w:snapToGrid w:val="0"/>
                    <w:spacing w:line="320" w:lineRule="exact"/>
                    <w:jc w:val="center"/>
                    <w:rPr>
                      <w:rFonts w:hint="default" w:ascii="Times New Roman" w:hAnsi="Times New Roman" w:eastAsia="宋体" w:cs="Times New Roman"/>
                      <w:b/>
                      <w:bCs w:val="0"/>
                      <w:color w:val="auto"/>
                      <w:szCs w:val="21"/>
                      <w:highlight w:val="none"/>
                      <w:lang w:eastAsia="zh-CN"/>
                    </w:rPr>
                  </w:pPr>
                  <w:r>
                    <w:rPr>
                      <w:rFonts w:hint="default" w:ascii="Times New Roman" w:hAnsi="Times New Roman" w:eastAsia="宋体" w:cs="Times New Roman"/>
                      <w:b/>
                      <w:bCs w:val="0"/>
                      <w:color w:val="auto"/>
                      <w:szCs w:val="21"/>
                      <w:highlight w:val="none"/>
                      <w:lang w:eastAsia="zh-CN"/>
                    </w:rPr>
                    <w:t>类别</w:t>
                  </w:r>
                </w:p>
              </w:tc>
              <w:tc>
                <w:tcPr>
                  <w:tcW w:w="3646" w:type="pct"/>
                  <w:noWrap w:val="0"/>
                  <w:vAlign w:val="center"/>
                </w:tcPr>
                <w:p w14:paraId="2E7894DA">
                  <w:pPr>
                    <w:pStyle w:val="87"/>
                    <w:adjustRightInd w:val="0"/>
                    <w:snapToGrid w:val="0"/>
                    <w:spacing w:line="320" w:lineRule="exact"/>
                    <w:jc w:val="center"/>
                    <w:rPr>
                      <w:rFonts w:hint="default" w:ascii="Times New Roman" w:hAnsi="Times New Roman" w:eastAsia="宋体" w:cs="Times New Roman"/>
                      <w:b/>
                      <w:bCs w:val="0"/>
                      <w:color w:val="auto"/>
                      <w:szCs w:val="21"/>
                      <w:highlight w:val="none"/>
                      <w:lang w:eastAsia="zh-CN"/>
                    </w:rPr>
                  </w:pPr>
                  <w:r>
                    <w:rPr>
                      <w:rFonts w:hint="default" w:ascii="Times New Roman" w:hAnsi="Times New Roman" w:eastAsia="宋体" w:cs="Times New Roman"/>
                      <w:b/>
                      <w:bCs w:val="0"/>
                      <w:color w:val="auto"/>
                      <w:szCs w:val="21"/>
                      <w:highlight w:val="none"/>
                      <w:lang w:eastAsia="zh-CN"/>
                    </w:rPr>
                    <w:t>适用区域</w:t>
                  </w:r>
                </w:p>
              </w:tc>
              <w:tc>
                <w:tcPr>
                  <w:tcW w:w="446" w:type="pct"/>
                  <w:noWrap w:val="0"/>
                  <w:vAlign w:val="center"/>
                </w:tcPr>
                <w:p w14:paraId="25CEB56D">
                  <w:pPr>
                    <w:pStyle w:val="87"/>
                    <w:adjustRightInd w:val="0"/>
                    <w:snapToGrid w:val="0"/>
                    <w:spacing w:line="320" w:lineRule="exact"/>
                    <w:jc w:val="center"/>
                    <w:rPr>
                      <w:rFonts w:hint="default" w:ascii="Times New Roman" w:hAnsi="Times New Roman" w:eastAsia="宋体" w:cs="Times New Roman"/>
                      <w:b/>
                      <w:bCs w:val="0"/>
                      <w:color w:val="auto"/>
                      <w:szCs w:val="21"/>
                      <w:highlight w:val="none"/>
                      <w:lang w:eastAsia="zh-CN"/>
                    </w:rPr>
                  </w:pPr>
                  <w:r>
                    <w:rPr>
                      <w:rFonts w:hint="default" w:ascii="Times New Roman" w:hAnsi="Times New Roman" w:eastAsia="宋体" w:cs="Times New Roman"/>
                      <w:b/>
                      <w:bCs w:val="0"/>
                      <w:color w:val="auto"/>
                      <w:szCs w:val="21"/>
                      <w:highlight w:val="none"/>
                      <w:lang w:eastAsia="zh-CN"/>
                    </w:rPr>
                    <w:t>昼间</w:t>
                  </w:r>
                </w:p>
              </w:tc>
              <w:tc>
                <w:tcPr>
                  <w:tcW w:w="474" w:type="pct"/>
                  <w:noWrap w:val="0"/>
                  <w:vAlign w:val="center"/>
                </w:tcPr>
                <w:p w14:paraId="5270EEA1">
                  <w:pPr>
                    <w:pStyle w:val="87"/>
                    <w:adjustRightInd w:val="0"/>
                    <w:snapToGrid w:val="0"/>
                    <w:spacing w:line="320" w:lineRule="exact"/>
                    <w:jc w:val="center"/>
                    <w:rPr>
                      <w:rFonts w:hint="default" w:ascii="Times New Roman" w:hAnsi="Times New Roman" w:eastAsia="宋体" w:cs="Times New Roman"/>
                      <w:b/>
                      <w:bCs w:val="0"/>
                      <w:color w:val="auto"/>
                      <w:szCs w:val="21"/>
                      <w:highlight w:val="none"/>
                      <w:lang w:eastAsia="zh-CN"/>
                    </w:rPr>
                  </w:pPr>
                  <w:r>
                    <w:rPr>
                      <w:rFonts w:hint="default" w:ascii="Times New Roman" w:hAnsi="Times New Roman" w:eastAsia="宋体" w:cs="Times New Roman"/>
                      <w:b/>
                      <w:bCs w:val="0"/>
                      <w:color w:val="auto"/>
                      <w:szCs w:val="21"/>
                      <w:highlight w:val="none"/>
                      <w:lang w:eastAsia="zh-CN"/>
                    </w:rPr>
                    <w:t>夜间</w:t>
                  </w:r>
                </w:p>
              </w:tc>
            </w:tr>
            <w:tr w14:paraId="0C5DE0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3" w:type="pct"/>
                  <w:noWrap w:val="0"/>
                  <w:vAlign w:val="center"/>
                </w:tcPr>
                <w:p w14:paraId="42B26013">
                  <w:pPr>
                    <w:pStyle w:val="87"/>
                    <w:adjustRightInd w:val="0"/>
                    <w:snapToGrid w:val="0"/>
                    <w:spacing w:line="320" w:lineRule="exact"/>
                    <w:jc w:val="center"/>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3类</w:t>
                  </w:r>
                </w:p>
              </w:tc>
              <w:tc>
                <w:tcPr>
                  <w:tcW w:w="3646" w:type="pct"/>
                  <w:noWrap w:val="0"/>
                  <w:vAlign w:val="center"/>
                </w:tcPr>
                <w:p w14:paraId="6E51A97C">
                  <w:pPr>
                    <w:pStyle w:val="87"/>
                    <w:adjustRightInd w:val="0"/>
                    <w:snapToGrid w:val="0"/>
                    <w:spacing w:line="320" w:lineRule="exact"/>
                    <w:jc w:val="center"/>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工业生产、仓储物流为主要功能，需要防止工业噪声对周围环境产生严重影响区域</w:t>
                  </w:r>
                </w:p>
              </w:tc>
              <w:tc>
                <w:tcPr>
                  <w:tcW w:w="446" w:type="pct"/>
                  <w:noWrap w:val="0"/>
                  <w:vAlign w:val="center"/>
                </w:tcPr>
                <w:p w14:paraId="501DEEEC">
                  <w:pPr>
                    <w:pStyle w:val="87"/>
                    <w:adjustRightInd w:val="0"/>
                    <w:snapToGrid w:val="0"/>
                    <w:spacing w:line="320" w:lineRule="exact"/>
                    <w:jc w:val="center"/>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65</w:t>
                  </w:r>
                </w:p>
              </w:tc>
              <w:tc>
                <w:tcPr>
                  <w:tcW w:w="474" w:type="pct"/>
                  <w:noWrap w:val="0"/>
                  <w:vAlign w:val="center"/>
                </w:tcPr>
                <w:p w14:paraId="020987A6">
                  <w:pPr>
                    <w:pStyle w:val="87"/>
                    <w:adjustRightInd w:val="0"/>
                    <w:snapToGrid w:val="0"/>
                    <w:spacing w:line="320" w:lineRule="exact"/>
                    <w:jc w:val="center"/>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55</w:t>
                  </w:r>
                </w:p>
              </w:tc>
            </w:tr>
          </w:tbl>
          <w:p w14:paraId="5099BE88">
            <w:pPr>
              <w:pStyle w:val="4"/>
              <w:rPr>
                <w:color w:val="auto"/>
                <w:highlight w:val="none"/>
              </w:rPr>
            </w:pPr>
            <w:r>
              <w:rPr>
                <w:color w:val="auto"/>
                <w:highlight w:val="none"/>
              </w:rPr>
              <w:t>3.3.2声环境质量现状</w:t>
            </w:r>
          </w:p>
          <w:p w14:paraId="1254AA4B">
            <w:pPr>
              <w:ind w:firstLine="480"/>
              <w:rPr>
                <w:rFonts w:hint="eastAsia"/>
                <w:color w:val="auto"/>
                <w:highlight w:val="none"/>
              </w:rPr>
            </w:pPr>
            <w:r>
              <w:rPr>
                <w:rFonts w:hint="eastAsia"/>
                <w:color w:val="auto"/>
                <w:highlight w:val="none"/>
              </w:rPr>
              <w:t>根据《建设项目环境影响报告表编制技术指南（污染影响类）》，</w:t>
            </w:r>
            <w:r>
              <w:rPr>
                <w:color w:val="auto"/>
                <w:highlight w:val="none"/>
              </w:rPr>
              <w:t>厂界外周边50米范围内存在声环境保护目标的建设</w:t>
            </w:r>
            <w:r>
              <w:rPr>
                <w:rFonts w:hint="eastAsia"/>
                <w:color w:val="auto"/>
                <w:highlight w:val="none"/>
              </w:rPr>
              <w:t>项目，应监测保护目标声环境质量现状并评价达标情况。</w:t>
            </w:r>
            <w:r>
              <w:rPr>
                <w:color w:val="auto"/>
                <w:highlight w:val="none"/>
              </w:rPr>
              <w:t>经现场实地踏勘调查，</w:t>
            </w:r>
            <w:r>
              <w:rPr>
                <w:rFonts w:hint="eastAsia"/>
                <w:color w:val="auto"/>
                <w:highlight w:val="none"/>
              </w:rPr>
              <w:t>本项目厂界周边50m范围内无声环境保护目标，因此无需对声环境进行监测。项目周边环境关系见附图2。</w:t>
            </w:r>
          </w:p>
          <w:p w14:paraId="43F538AC">
            <w:pPr>
              <w:pStyle w:val="3"/>
              <w:rPr>
                <w:color w:val="auto"/>
                <w:highlight w:val="none"/>
              </w:rPr>
            </w:pPr>
            <w:r>
              <w:rPr>
                <w:color w:val="auto"/>
                <w:highlight w:val="none"/>
              </w:rPr>
              <w:t>3.4 生态环境现状调查</w:t>
            </w:r>
          </w:p>
          <w:p w14:paraId="2A6CDCFF">
            <w:pPr>
              <w:widowControl/>
              <w:ind w:firstLine="480"/>
              <w:jc w:val="left"/>
              <w:rPr>
                <w:color w:val="auto"/>
                <w:highlight w:val="none"/>
              </w:rPr>
            </w:pPr>
            <w:r>
              <w:rPr>
                <w:rFonts w:hint="default" w:ascii="Times New Roman" w:hAnsi="Times New Roman" w:cs="Times New Roman"/>
                <w:color w:val="auto"/>
                <w:kern w:val="0"/>
                <w:sz w:val="24"/>
                <w:highlight w:val="none"/>
                <w:lang w:bidi="ar"/>
              </w:rPr>
              <w:t>本项目区域植被以山地植被及灌木杂草为主，评价范围内植被覆盖率较低，结构简单，植被类型少；现存的野生动物主要是一些小型常见的动物，如鸟类、蛇类、鼠类、昆虫类等。项目区周边500m范围内无珍稀动植物存在，无划定的自然生态保护区、风景名胜区，不属于生态环境敏感区。</w:t>
            </w:r>
          </w:p>
          <w:p w14:paraId="1A43A7B3">
            <w:pPr>
              <w:pStyle w:val="3"/>
              <w:rPr>
                <w:color w:val="auto"/>
                <w:highlight w:val="none"/>
              </w:rPr>
            </w:pPr>
            <w:r>
              <w:rPr>
                <w:color w:val="auto"/>
                <w:highlight w:val="none"/>
              </w:rPr>
              <w:t>3.5 土壤、地下水环境质量现状</w:t>
            </w:r>
          </w:p>
          <w:p w14:paraId="36986ED8">
            <w:pPr>
              <w:widowControl/>
              <w:ind w:firstLine="480"/>
              <w:jc w:val="left"/>
              <w:rPr>
                <w:color w:val="auto"/>
                <w:highlight w:val="none"/>
              </w:rPr>
            </w:pPr>
            <w:r>
              <w:rPr>
                <w:color w:val="auto"/>
                <w:highlight w:val="none"/>
              </w:rPr>
              <w:t>根据《建设项目环境影响报告表编制技术指南</w:t>
            </w:r>
            <w:r>
              <w:rPr>
                <w:rFonts w:hint="eastAsia"/>
                <w:color w:val="auto"/>
                <w:highlight w:val="none"/>
              </w:rPr>
              <w:t>（</w:t>
            </w:r>
            <w:r>
              <w:rPr>
                <w:color w:val="auto"/>
                <w:highlight w:val="none"/>
              </w:rPr>
              <w:t>污染影响类</w:t>
            </w:r>
            <w:r>
              <w:rPr>
                <w:rFonts w:hint="eastAsia"/>
                <w:color w:val="auto"/>
                <w:highlight w:val="none"/>
              </w:rPr>
              <w:t>）（试行）</w:t>
            </w:r>
            <w:r>
              <w:rPr>
                <w:color w:val="auto"/>
                <w:highlight w:val="none"/>
              </w:rPr>
              <w:t>》</w:t>
            </w:r>
            <w:r>
              <w:rPr>
                <w:rFonts w:hint="eastAsia"/>
                <w:color w:val="auto"/>
                <w:highlight w:val="none"/>
              </w:rPr>
              <w:t>（</w:t>
            </w:r>
            <w:r>
              <w:rPr>
                <w:color w:val="auto"/>
                <w:highlight w:val="none"/>
              </w:rPr>
              <w:t>环办环评〔2020〕33号</w:t>
            </w:r>
            <w:r>
              <w:rPr>
                <w:rFonts w:hint="eastAsia"/>
                <w:color w:val="auto"/>
                <w:highlight w:val="none"/>
              </w:rPr>
              <w:t>）</w:t>
            </w:r>
            <w:r>
              <w:rPr>
                <w:color w:val="auto"/>
                <w:highlight w:val="none"/>
              </w:rPr>
              <w:t>规定，</w:t>
            </w:r>
            <w:r>
              <w:rPr>
                <w:rFonts w:hint="eastAsia"/>
                <w:color w:val="auto"/>
                <w:highlight w:val="none"/>
              </w:rPr>
              <w:t>“</w:t>
            </w:r>
            <w:r>
              <w:rPr>
                <w:color w:val="auto"/>
                <w:highlight w:val="none"/>
              </w:rPr>
              <w:t>原则上不开展环境质量现状调查。建设项目存在土壤、地下水环境污染途径的，应结合污染源、保护目标分布情况开展现状调查以留作背景值</w:t>
            </w:r>
            <w:r>
              <w:rPr>
                <w:rFonts w:hint="eastAsia"/>
                <w:color w:val="auto"/>
                <w:highlight w:val="none"/>
              </w:rPr>
              <w:t>”</w:t>
            </w:r>
            <w:r>
              <w:rPr>
                <w:color w:val="auto"/>
                <w:highlight w:val="none"/>
              </w:rPr>
              <w:t>。</w:t>
            </w:r>
            <w:r>
              <w:rPr>
                <w:rFonts w:hint="eastAsia"/>
                <w:color w:val="auto"/>
                <w:highlight w:val="none"/>
              </w:rPr>
              <w:t>而</w:t>
            </w:r>
            <w:r>
              <w:rPr>
                <w:color w:val="auto"/>
                <w:highlight w:val="none"/>
              </w:rPr>
              <w:t>建设</w:t>
            </w:r>
            <w:r>
              <w:rPr>
                <w:rFonts w:hint="eastAsia"/>
                <w:color w:val="auto"/>
                <w:highlight w:val="none"/>
              </w:rPr>
              <w:t>项目不存在土壤、地下水环境污染途径，因此项目</w:t>
            </w:r>
            <w:r>
              <w:rPr>
                <w:color w:val="auto"/>
                <w:highlight w:val="none"/>
              </w:rPr>
              <w:t>不开展</w:t>
            </w:r>
            <w:r>
              <w:rPr>
                <w:rFonts w:hint="eastAsia"/>
                <w:color w:val="auto"/>
                <w:highlight w:val="none"/>
              </w:rPr>
              <w:t>对土壤、地下水的</w:t>
            </w:r>
            <w:r>
              <w:rPr>
                <w:color w:val="auto"/>
                <w:highlight w:val="none"/>
              </w:rPr>
              <w:t>环境质量现状调查</w:t>
            </w:r>
            <w:r>
              <w:rPr>
                <w:rFonts w:hint="eastAsia"/>
                <w:color w:val="auto"/>
                <w:highlight w:val="none"/>
              </w:rPr>
              <w:t>。</w:t>
            </w:r>
          </w:p>
        </w:tc>
      </w:tr>
      <w:tr w14:paraId="118A54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78" w:hRule="atLeast"/>
          <w:jc w:val="center"/>
        </w:trPr>
        <w:tc>
          <w:tcPr>
            <w:tcW w:w="900" w:type="dxa"/>
            <w:noWrap w:val="0"/>
            <w:vAlign w:val="center"/>
          </w:tcPr>
          <w:p w14:paraId="1F746662">
            <w:pPr>
              <w:pStyle w:val="22"/>
              <w:adjustRightInd w:val="0"/>
              <w:snapToGrid w:val="0"/>
              <w:spacing w:before="0" w:beforeAutospacing="0" w:after="0" w:afterAutospacing="0"/>
              <w:ind w:firstLine="0" w:firstLineChars="0"/>
              <w:jc w:val="center"/>
              <w:rPr>
                <w:rFonts w:ascii="Times New Roman" w:hAnsi="Times New Roman"/>
                <w:color w:val="auto"/>
                <w:kern w:val="2"/>
                <w:szCs w:val="24"/>
                <w:highlight w:val="none"/>
              </w:rPr>
            </w:pPr>
            <w:r>
              <w:rPr>
                <w:rFonts w:ascii="Times New Roman" w:hAnsi="Times New Roman"/>
                <w:color w:val="auto"/>
                <w:kern w:val="2"/>
                <w:szCs w:val="24"/>
                <w:highlight w:val="none"/>
              </w:rPr>
              <w:t>环境保护目标</w:t>
            </w:r>
          </w:p>
        </w:tc>
        <w:tc>
          <w:tcPr>
            <w:tcW w:w="8319" w:type="dxa"/>
            <w:noWrap w:val="0"/>
            <w:vAlign w:val="top"/>
          </w:tcPr>
          <w:p w14:paraId="29DFB010">
            <w:pPr>
              <w:pStyle w:val="3"/>
              <w:rPr>
                <w:color w:val="auto"/>
                <w:highlight w:val="none"/>
              </w:rPr>
            </w:pPr>
            <w:r>
              <w:rPr>
                <w:color w:val="auto"/>
                <w:highlight w:val="none"/>
              </w:rPr>
              <w:t>3.6环境保护目标</w:t>
            </w:r>
          </w:p>
          <w:p w14:paraId="0043D333">
            <w:pPr>
              <w:pStyle w:val="4"/>
              <w:rPr>
                <w:color w:val="auto"/>
                <w:highlight w:val="none"/>
              </w:rPr>
            </w:pPr>
            <w:r>
              <w:rPr>
                <w:color w:val="auto"/>
                <w:highlight w:val="none"/>
              </w:rPr>
              <w:t>3.6.1 大气环境、地表水环境、声环境</w:t>
            </w:r>
          </w:p>
          <w:p w14:paraId="7133ECBE">
            <w:pPr>
              <w:ind w:firstLine="480"/>
              <w:rPr>
                <w:color w:val="auto"/>
                <w:highlight w:val="none"/>
              </w:rPr>
            </w:pPr>
            <w:r>
              <w:rPr>
                <w:color w:val="auto"/>
                <w:highlight w:val="none"/>
              </w:rPr>
              <w:t>根据《建设项目环境影响报告表编制技术指南</w:t>
            </w:r>
            <w:r>
              <w:rPr>
                <w:rFonts w:hint="eastAsia"/>
                <w:color w:val="auto"/>
                <w:highlight w:val="none"/>
              </w:rPr>
              <w:t>（</w:t>
            </w:r>
            <w:r>
              <w:rPr>
                <w:color w:val="auto"/>
                <w:highlight w:val="none"/>
              </w:rPr>
              <w:t>污染影响类</w:t>
            </w:r>
            <w:r>
              <w:rPr>
                <w:rFonts w:hint="eastAsia"/>
                <w:color w:val="auto"/>
                <w:highlight w:val="none"/>
              </w:rPr>
              <w:t>）（</w:t>
            </w:r>
            <w:r>
              <w:rPr>
                <w:color w:val="auto"/>
                <w:highlight w:val="none"/>
              </w:rPr>
              <w:t>试行</w:t>
            </w:r>
            <w:r>
              <w:rPr>
                <w:rFonts w:hint="eastAsia"/>
                <w:color w:val="auto"/>
                <w:highlight w:val="none"/>
              </w:rPr>
              <w:t>）</w:t>
            </w:r>
            <w:r>
              <w:rPr>
                <w:color w:val="auto"/>
                <w:highlight w:val="none"/>
              </w:rPr>
              <w:t>》</w:t>
            </w:r>
            <w:r>
              <w:rPr>
                <w:rFonts w:hint="eastAsia"/>
                <w:color w:val="auto"/>
                <w:highlight w:val="none"/>
              </w:rPr>
              <w:t>（</w:t>
            </w:r>
            <w:r>
              <w:rPr>
                <w:color w:val="auto"/>
                <w:highlight w:val="none"/>
              </w:rPr>
              <w:t>环办环评〔2020〕33号</w:t>
            </w:r>
            <w:r>
              <w:rPr>
                <w:rFonts w:hint="eastAsia"/>
                <w:color w:val="auto"/>
                <w:highlight w:val="none"/>
              </w:rPr>
              <w:t>）</w:t>
            </w:r>
            <w:r>
              <w:rPr>
                <w:color w:val="auto"/>
                <w:highlight w:val="none"/>
              </w:rPr>
              <w:t>要求以及对项目周边环境的调查，项目大气环境</w:t>
            </w:r>
            <w:r>
              <w:rPr>
                <w:rFonts w:hint="eastAsia"/>
                <w:color w:val="auto"/>
                <w:highlight w:val="none"/>
              </w:rPr>
              <w:t>（</w:t>
            </w:r>
            <w:r>
              <w:rPr>
                <w:color w:val="auto"/>
                <w:highlight w:val="none"/>
              </w:rPr>
              <w:t>厂界外500m</w:t>
            </w:r>
            <w:r>
              <w:rPr>
                <w:rFonts w:hint="eastAsia"/>
                <w:color w:val="auto"/>
                <w:highlight w:val="none"/>
              </w:rPr>
              <w:t>）</w:t>
            </w:r>
            <w:r>
              <w:rPr>
                <w:color w:val="auto"/>
                <w:highlight w:val="none"/>
              </w:rPr>
              <w:t>、地表水环境、声环境</w:t>
            </w:r>
            <w:r>
              <w:rPr>
                <w:rFonts w:hint="eastAsia"/>
                <w:color w:val="auto"/>
                <w:highlight w:val="none"/>
              </w:rPr>
              <w:t>（</w:t>
            </w:r>
            <w:r>
              <w:rPr>
                <w:color w:val="auto"/>
                <w:highlight w:val="none"/>
              </w:rPr>
              <w:t>厂界外50m</w:t>
            </w:r>
            <w:r>
              <w:rPr>
                <w:rFonts w:hint="eastAsia"/>
                <w:color w:val="auto"/>
                <w:highlight w:val="none"/>
              </w:rPr>
              <w:t>）</w:t>
            </w:r>
            <w:r>
              <w:rPr>
                <w:color w:val="auto"/>
                <w:highlight w:val="none"/>
              </w:rPr>
              <w:t>、地下水环境</w:t>
            </w:r>
            <w:r>
              <w:rPr>
                <w:rFonts w:hint="eastAsia"/>
                <w:color w:val="auto"/>
                <w:highlight w:val="none"/>
              </w:rPr>
              <w:t>（</w:t>
            </w:r>
            <w:r>
              <w:rPr>
                <w:color w:val="auto"/>
                <w:highlight w:val="none"/>
              </w:rPr>
              <w:t>厂界外500m</w:t>
            </w:r>
            <w:r>
              <w:rPr>
                <w:rFonts w:hint="eastAsia"/>
                <w:color w:val="auto"/>
                <w:highlight w:val="none"/>
              </w:rPr>
              <w:t>）</w:t>
            </w:r>
            <w:r>
              <w:rPr>
                <w:color w:val="auto"/>
                <w:highlight w:val="none"/>
              </w:rPr>
              <w:t>等环境保护目标见表3.6-1和附图</w:t>
            </w:r>
            <w:r>
              <w:rPr>
                <w:rFonts w:hint="eastAsia"/>
                <w:color w:val="auto"/>
                <w:highlight w:val="none"/>
              </w:rPr>
              <w:t>2</w:t>
            </w:r>
            <w:r>
              <w:rPr>
                <w:color w:val="auto"/>
                <w:highlight w:val="none"/>
              </w:rPr>
              <w:t>。</w:t>
            </w:r>
          </w:p>
          <w:p w14:paraId="5AD426B4">
            <w:pPr>
              <w:wordWrap w:val="0"/>
              <w:ind w:right="360" w:firstLine="0" w:firstLineChars="0"/>
              <w:jc w:val="center"/>
              <w:rPr>
                <w:b/>
                <w:bCs/>
                <w:color w:val="auto"/>
                <w:highlight w:val="none"/>
              </w:rPr>
            </w:pPr>
            <w:r>
              <w:rPr>
                <w:b/>
                <w:bCs/>
                <w:color w:val="auto"/>
                <w:highlight w:val="none"/>
              </w:rPr>
              <w:t>表3.6-1 环境保护目标一览表</w:t>
            </w:r>
          </w:p>
          <w:tbl>
            <w:tblPr>
              <w:tblStyle w:val="27"/>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325"/>
              <w:gridCol w:w="1500"/>
              <w:gridCol w:w="1560"/>
              <w:gridCol w:w="1634"/>
              <w:gridCol w:w="1999"/>
            </w:tblGrid>
            <w:tr w14:paraId="25D3622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96" w:hRule="atLeast"/>
                <w:jc w:val="center"/>
              </w:trPr>
              <w:tc>
                <w:tcPr>
                  <w:tcW w:w="1325" w:type="dxa"/>
                  <w:noWrap w:val="0"/>
                  <w:vAlign w:val="center"/>
                </w:tcPr>
                <w:p w14:paraId="4774499D">
                  <w:pPr>
                    <w:pStyle w:val="87"/>
                    <w:adjustRightInd w:val="0"/>
                    <w:snapToGrid w:val="0"/>
                    <w:spacing w:line="320" w:lineRule="exact"/>
                    <w:jc w:val="center"/>
                    <w:rPr>
                      <w:rFonts w:hint="default" w:ascii="Times New Roman" w:hAnsi="Times New Roman" w:eastAsia="宋体" w:cs="Times New Roman"/>
                      <w:b/>
                      <w:bCs w:val="0"/>
                      <w:color w:val="auto"/>
                      <w:szCs w:val="21"/>
                      <w:highlight w:val="none"/>
                      <w:lang w:eastAsia="zh-CN"/>
                    </w:rPr>
                  </w:pPr>
                  <w:r>
                    <w:rPr>
                      <w:rFonts w:hint="default" w:ascii="Times New Roman" w:hAnsi="Times New Roman" w:eastAsia="宋体" w:cs="Times New Roman"/>
                      <w:b/>
                      <w:bCs w:val="0"/>
                      <w:color w:val="auto"/>
                      <w:szCs w:val="21"/>
                      <w:highlight w:val="none"/>
                      <w:lang w:eastAsia="zh-CN"/>
                    </w:rPr>
                    <w:t>环境要素</w:t>
                  </w:r>
                </w:p>
              </w:tc>
              <w:tc>
                <w:tcPr>
                  <w:tcW w:w="1500" w:type="dxa"/>
                  <w:noWrap w:val="0"/>
                  <w:vAlign w:val="center"/>
                </w:tcPr>
                <w:p w14:paraId="43A0157F">
                  <w:pPr>
                    <w:pStyle w:val="87"/>
                    <w:adjustRightInd w:val="0"/>
                    <w:snapToGrid w:val="0"/>
                    <w:spacing w:line="320" w:lineRule="exact"/>
                    <w:jc w:val="center"/>
                    <w:rPr>
                      <w:rFonts w:hint="default" w:ascii="Times New Roman" w:hAnsi="Times New Roman" w:eastAsia="宋体" w:cs="Times New Roman"/>
                      <w:b/>
                      <w:bCs w:val="0"/>
                      <w:color w:val="auto"/>
                      <w:szCs w:val="21"/>
                      <w:highlight w:val="none"/>
                      <w:lang w:eastAsia="zh-CN"/>
                    </w:rPr>
                  </w:pPr>
                  <w:r>
                    <w:rPr>
                      <w:rFonts w:hint="default" w:ascii="Times New Roman" w:hAnsi="Times New Roman" w:eastAsia="宋体" w:cs="Times New Roman"/>
                      <w:b/>
                      <w:bCs w:val="0"/>
                      <w:color w:val="auto"/>
                      <w:szCs w:val="21"/>
                      <w:highlight w:val="none"/>
                      <w:lang w:eastAsia="zh-CN"/>
                    </w:rPr>
                    <w:t>环境保护目标</w:t>
                  </w:r>
                </w:p>
              </w:tc>
              <w:tc>
                <w:tcPr>
                  <w:tcW w:w="1560" w:type="dxa"/>
                  <w:noWrap w:val="0"/>
                  <w:vAlign w:val="center"/>
                </w:tcPr>
                <w:p w14:paraId="4E00BBAA">
                  <w:pPr>
                    <w:pStyle w:val="87"/>
                    <w:adjustRightInd w:val="0"/>
                    <w:snapToGrid w:val="0"/>
                    <w:spacing w:line="320" w:lineRule="exact"/>
                    <w:jc w:val="center"/>
                    <w:rPr>
                      <w:rFonts w:hint="default" w:ascii="Times New Roman" w:hAnsi="Times New Roman" w:eastAsia="宋体" w:cs="Times New Roman"/>
                      <w:b/>
                      <w:bCs w:val="0"/>
                      <w:color w:val="auto"/>
                      <w:szCs w:val="21"/>
                      <w:highlight w:val="none"/>
                      <w:lang w:eastAsia="zh-CN"/>
                    </w:rPr>
                  </w:pPr>
                  <w:r>
                    <w:rPr>
                      <w:rFonts w:hint="default" w:ascii="Times New Roman" w:hAnsi="Times New Roman" w:eastAsia="宋体" w:cs="Times New Roman"/>
                      <w:b/>
                      <w:bCs w:val="0"/>
                      <w:color w:val="auto"/>
                      <w:szCs w:val="21"/>
                      <w:highlight w:val="none"/>
                      <w:lang w:eastAsia="zh-CN"/>
                    </w:rPr>
                    <w:t>相对方位</w:t>
                  </w:r>
                </w:p>
              </w:tc>
              <w:tc>
                <w:tcPr>
                  <w:tcW w:w="1634" w:type="dxa"/>
                  <w:noWrap w:val="0"/>
                  <w:vAlign w:val="center"/>
                </w:tcPr>
                <w:p w14:paraId="06DD5E05">
                  <w:pPr>
                    <w:pStyle w:val="87"/>
                    <w:adjustRightInd w:val="0"/>
                    <w:snapToGrid w:val="0"/>
                    <w:spacing w:line="320" w:lineRule="exact"/>
                    <w:jc w:val="center"/>
                    <w:rPr>
                      <w:rFonts w:hint="default" w:ascii="Times New Roman" w:hAnsi="Times New Roman" w:eastAsia="宋体" w:cs="Times New Roman"/>
                      <w:b/>
                      <w:bCs w:val="0"/>
                      <w:color w:val="auto"/>
                      <w:szCs w:val="21"/>
                      <w:highlight w:val="none"/>
                      <w:lang w:eastAsia="zh-CN"/>
                    </w:rPr>
                  </w:pPr>
                  <w:r>
                    <w:rPr>
                      <w:rFonts w:hint="default" w:ascii="Times New Roman" w:hAnsi="Times New Roman" w:eastAsia="宋体" w:cs="Times New Roman"/>
                      <w:b/>
                      <w:bCs w:val="0"/>
                      <w:color w:val="auto"/>
                      <w:szCs w:val="21"/>
                      <w:highlight w:val="none"/>
                      <w:lang w:eastAsia="zh-CN"/>
                    </w:rPr>
                    <w:t>功能规模</w:t>
                  </w:r>
                </w:p>
              </w:tc>
              <w:tc>
                <w:tcPr>
                  <w:tcW w:w="1999" w:type="dxa"/>
                  <w:noWrap w:val="0"/>
                  <w:vAlign w:val="center"/>
                </w:tcPr>
                <w:p w14:paraId="26417FEC">
                  <w:pPr>
                    <w:pStyle w:val="87"/>
                    <w:adjustRightInd w:val="0"/>
                    <w:snapToGrid w:val="0"/>
                    <w:spacing w:line="320" w:lineRule="exact"/>
                    <w:jc w:val="center"/>
                    <w:rPr>
                      <w:rFonts w:hint="default" w:ascii="Times New Roman" w:hAnsi="Times New Roman" w:eastAsia="宋体" w:cs="Times New Roman"/>
                      <w:b/>
                      <w:bCs w:val="0"/>
                      <w:color w:val="auto"/>
                      <w:szCs w:val="21"/>
                      <w:highlight w:val="none"/>
                      <w:lang w:eastAsia="zh-CN"/>
                    </w:rPr>
                  </w:pPr>
                  <w:r>
                    <w:rPr>
                      <w:rFonts w:hint="default" w:ascii="Times New Roman" w:hAnsi="Times New Roman" w:eastAsia="宋体" w:cs="Times New Roman"/>
                      <w:b/>
                      <w:bCs w:val="0"/>
                      <w:color w:val="auto"/>
                      <w:szCs w:val="21"/>
                      <w:highlight w:val="none"/>
                      <w:lang w:eastAsia="zh-CN"/>
                    </w:rPr>
                    <w:t>环境功能</w:t>
                  </w:r>
                </w:p>
              </w:tc>
            </w:tr>
            <w:tr w14:paraId="300A5A8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2" w:hRule="atLeast"/>
                <w:jc w:val="center"/>
              </w:trPr>
              <w:tc>
                <w:tcPr>
                  <w:tcW w:w="1325" w:type="dxa"/>
                  <w:noWrap w:val="0"/>
                  <w:vAlign w:val="center"/>
                </w:tcPr>
                <w:p w14:paraId="1DCE90FC">
                  <w:pPr>
                    <w:pStyle w:val="87"/>
                    <w:adjustRightInd w:val="0"/>
                    <w:snapToGrid w:val="0"/>
                    <w:spacing w:line="320" w:lineRule="exact"/>
                    <w:jc w:val="center"/>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大气环境</w:t>
                  </w:r>
                </w:p>
              </w:tc>
              <w:tc>
                <w:tcPr>
                  <w:tcW w:w="6693" w:type="dxa"/>
                  <w:gridSpan w:val="4"/>
                  <w:noWrap w:val="0"/>
                  <w:vAlign w:val="center"/>
                </w:tcPr>
                <w:p w14:paraId="15648660">
                  <w:pPr>
                    <w:pStyle w:val="87"/>
                    <w:adjustRightInd w:val="0"/>
                    <w:snapToGrid w:val="0"/>
                    <w:spacing w:line="320" w:lineRule="exact"/>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厂界外500m范围内无大气</w:t>
                  </w:r>
                  <w:r>
                    <w:rPr>
                      <w:rFonts w:hint="default" w:ascii="Times New Roman" w:hAnsi="Times New Roman" w:eastAsia="宋体" w:cs="Times New Roman"/>
                      <w:bCs/>
                      <w:color w:val="auto"/>
                      <w:szCs w:val="21"/>
                      <w:highlight w:val="none"/>
                      <w:lang w:eastAsia="zh-CN"/>
                    </w:rPr>
                    <w:t>环境保护目标</w:t>
                  </w:r>
                </w:p>
              </w:tc>
            </w:tr>
            <w:tr w14:paraId="1C818FD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09" w:hRule="atLeast"/>
                <w:jc w:val="center"/>
              </w:trPr>
              <w:tc>
                <w:tcPr>
                  <w:tcW w:w="1325" w:type="dxa"/>
                  <w:noWrap w:val="0"/>
                  <w:vAlign w:val="center"/>
                </w:tcPr>
                <w:p w14:paraId="7051C1C5">
                  <w:pPr>
                    <w:pStyle w:val="87"/>
                    <w:adjustRightInd w:val="0"/>
                    <w:snapToGrid w:val="0"/>
                    <w:spacing w:line="320" w:lineRule="exact"/>
                    <w:jc w:val="center"/>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水环境</w:t>
                  </w:r>
                </w:p>
              </w:tc>
              <w:tc>
                <w:tcPr>
                  <w:tcW w:w="1500" w:type="dxa"/>
                  <w:noWrap w:val="0"/>
                  <w:vAlign w:val="center"/>
                </w:tcPr>
                <w:p w14:paraId="6AB0D735">
                  <w:pPr>
                    <w:pStyle w:val="87"/>
                    <w:adjustRightInd w:val="0"/>
                    <w:snapToGrid w:val="0"/>
                    <w:spacing w:line="320" w:lineRule="exact"/>
                    <w:jc w:val="center"/>
                    <w:rPr>
                      <w:rFonts w:hint="eastAsia"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罗源湾</w:t>
                  </w:r>
                </w:p>
              </w:tc>
              <w:tc>
                <w:tcPr>
                  <w:tcW w:w="1560" w:type="dxa"/>
                  <w:noWrap w:val="0"/>
                  <w:vAlign w:val="center"/>
                </w:tcPr>
                <w:p w14:paraId="7FBEB07B">
                  <w:pPr>
                    <w:pStyle w:val="87"/>
                    <w:adjustRightInd w:val="0"/>
                    <w:snapToGrid w:val="0"/>
                    <w:spacing w:line="320" w:lineRule="exact"/>
                    <w:jc w:val="center"/>
                    <w:rPr>
                      <w:rFonts w:hint="default" w:ascii="Times New Roman" w:hAnsi="Times New Roman" w:eastAsia="宋体" w:cs="Times New Roman"/>
                      <w:bCs/>
                      <w:color w:val="auto"/>
                      <w:szCs w:val="21"/>
                      <w:highlight w:val="none"/>
                      <w:lang w:eastAsia="zh-CN"/>
                    </w:rPr>
                  </w:pPr>
                  <w:r>
                    <w:rPr>
                      <w:rFonts w:hint="eastAsia" w:ascii="Times New Roman" w:hAnsi="Times New Roman" w:eastAsia="宋体" w:cs="Times New Roman"/>
                      <w:bCs/>
                      <w:color w:val="auto"/>
                      <w:szCs w:val="21"/>
                      <w:highlight w:val="none"/>
                      <w:lang w:val="en-US" w:eastAsia="zh-CN"/>
                    </w:rPr>
                    <w:t>东</w:t>
                  </w:r>
                  <w:r>
                    <w:rPr>
                      <w:rFonts w:hint="default" w:ascii="Times New Roman" w:hAnsi="Times New Roman" w:eastAsia="宋体" w:cs="Times New Roman"/>
                      <w:bCs/>
                      <w:color w:val="auto"/>
                      <w:szCs w:val="21"/>
                      <w:highlight w:val="none"/>
                      <w:lang w:eastAsia="zh-CN"/>
                    </w:rPr>
                    <w:t>南侧</w:t>
                  </w:r>
                  <w:r>
                    <w:rPr>
                      <w:rFonts w:hint="eastAsia" w:ascii="Times New Roman" w:hAnsi="Times New Roman" w:eastAsia="宋体" w:cs="Times New Roman"/>
                      <w:bCs/>
                      <w:color w:val="auto"/>
                      <w:szCs w:val="21"/>
                      <w:highlight w:val="none"/>
                      <w:lang w:val="en-US" w:eastAsia="zh-CN"/>
                    </w:rPr>
                    <w:t>1510</w:t>
                  </w:r>
                  <w:r>
                    <w:rPr>
                      <w:rFonts w:hint="default" w:ascii="Times New Roman" w:hAnsi="Times New Roman" w:eastAsia="宋体" w:cs="Times New Roman"/>
                      <w:bCs/>
                      <w:color w:val="auto"/>
                      <w:szCs w:val="21"/>
                      <w:highlight w:val="none"/>
                      <w:lang w:eastAsia="zh-CN"/>
                    </w:rPr>
                    <w:t>m</w:t>
                  </w:r>
                </w:p>
              </w:tc>
              <w:tc>
                <w:tcPr>
                  <w:tcW w:w="1634" w:type="dxa"/>
                  <w:noWrap w:val="0"/>
                  <w:vAlign w:val="center"/>
                </w:tcPr>
                <w:p w14:paraId="405358DD">
                  <w:pPr>
                    <w:pStyle w:val="87"/>
                    <w:adjustRightInd w:val="0"/>
                    <w:snapToGrid w:val="0"/>
                    <w:spacing w:line="320" w:lineRule="exact"/>
                    <w:jc w:val="center"/>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海域</w:t>
                  </w:r>
                </w:p>
              </w:tc>
              <w:tc>
                <w:tcPr>
                  <w:tcW w:w="1999" w:type="dxa"/>
                  <w:noWrap w:val="0"/>
                  <w:vAlign w:val="center"/>
                </w:tcPr>
                <w:p w14:paraId="398E6D30">
                  <w:pPr>
                    <w:pStyle w:val="87"/>
                    <w:adjustRightInd w:val="0"/>
                    <w:snapToGrid w:val="0"/>
                    <w:spacing w:line="320" w:lineRule="exact"/>
                    <w:jc w:val="center"/>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《海水水质标准》（GB3097-1997）中三类海水水质标准</w:t>
                  </w:r>
                </w:p>
              </w:tc>
            </w:tr>
            <w:tr w14:paraId="047F6AE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4" w:hRule="atLeast"/>
                <w:jc w:val="center"/>
              </w:trPr>
              <w:tc>
                <w:tcPr>
                  <w:tcW w:w="1325" w:type="dxa"/>
                  <w:noWrap w:val="0"/>
                  <w:vAlign w:val="center"/>
                </w:tcPr>
                <w:p w14:paraId="2CFD4A28">
                  <w:pPr>
                    <w:pStyle w:val="87"/>
                    <w:adjustRightInd w:val="0"/>
                    <w:snapToGrid w:val="0"/>
                    <w:spacing w:line="320" w:lineRule="exact"/>
                    <w:jc w:val="center"/>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声环境</w:t>
                  </w:r>
                </w:p>
              </w:tc>
              <w:tc>
                <w:tcPr>
                  <w:tcW w:w="6693" w:type="dxa"/>
                  <w:gridSpan w:val="4"/>
                  <w:noWrap w:val="0"/>
                  <w:vAlign w:val="center"/>
                </w:tcPr>
                <w:p w14:paraId="74F03751">
                  <w:pPr>
                    <w:pStyle w:val="87"/>
                    <w:adjustRightInd w:val="0"/>
                    <w:snapToGrid w:val="0"/>
                    <w:spacing w:line="320" w:lineRule="exact"/>
                    <w:jc w:val="center"/>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项目厂界外50m范围内无声环境保护目标</w:t>
                  </w:r>
                </w:p>
              </w:tc>
            </w:tr>
            <w:tr w14:paraId="1F07104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4" w:hRule="atLeast"/>
                <w:jc w:val="center"/>
              </w:trPr>
              <w:tc>
                <w:tcPr>
                  <w:tcW w:w="1325" w:type="dxa"/>
                  <w:noWrap w:val="0"/>
                  <w:vAlign w:val="center"/>
                </w:tcPr>
                <w:p w14:paraId="2A094074">
                  <w:pPr>
                    <w:pStyle w:val="87"/>
                    <w:adjustRightInd w:val="0"/>
                    <w:snapToGrid w:val="0"/>
                    <w:spacing w:line="320" w:lineRule="exact"/>
                    <w:jc w:val="center"/>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地下水环境</w:t>
                  </w:r>
                </w:p>
              </w:tc>
              <w:tc>
                <w:tcPr>
                  <w:tcW w:w="6693" w:type="dxa"/>
                  <w:gridSpan w:val="4"/>
                  <w:noWrap w:val="0"/>
                  <w:vAlign w:val="center"/>
                </w:tcPr>
                <w:p w14:paraId="7784BB38">
                  <w:pPr>
                    <w:pStyle w:val="87"/>
                    <w:adjustRightInd w:val="0"/>
                    <w:snapToGrid w:val="0"/>
                    <w:spacing w:line="320" w:lineRule="exact"/>
                    <w:jc w:val="center"/>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项目厂界外500m范围内无地下水集中式饮用水水源和热水、矿泉水、温泉等特殊地下水资源</w:t>
                  </w:r>
                </w:p>
              </w:tc>
            </w:tr>
          </w:tbl>
          <w:p w14:paraId="3121F1AC">
            <w:pPr>
              <w:pStyle w:val="4"/>
              <w:rPr>
                <w:color w:val="auto"/>
                <w:highlight w:val="none"/>
              </w:rPr>
            </w:pPr>
            <w:r>
              <w:rPr>
                <w:color w:val="auto"/>
                <w:highlight w:val="none"/>
              </w:rPr>
              <w:t>3.6.2 生态环境保护目标</w:t>
            </w:r>
          </w:p>
          <w:p w14:paraId="6F8CCD0C">
            <w:pPr>
              <w:ind w:firstLine="480"/>
              <w:rPr>
                <w:color w:val="auto"/>
                <w:highlight w:val="none"/>
              </w:rPr>
            </w:pPr>
            <w:r>
              <w:rPr>
                <w:color w:val="auto"/>
                <w:highlight w:val="none"/>
              </w:rPr>
              <w:t>根据《建设项目环境影响报告表编制技术指南</w:t>
            </w:r>
            <w:r>
              <w:rPr>
                <w:rFonts w:hint="eastAsia"/>
                <w:color w:val="auto"/>
                <w:highlight w:val="none"/>
              </w:rPr>
              <w:t>（</w:t>
            </w:r>
            <w:r>
              <w:rPr>
                <w:color w:val="auto"/>
                <w:highlight w:val="none"/>
              </w:rPr>
              <w:t>污染影响类</w:t>
            </w:r>
            <w:r>
              <w:rPr>
                <w:rFonts w:hint="eastAsia"/>
                <w:color w:val="auto"/>
                <w:highlight w:val="none"/>
              </w:rPr>
              <w:t>）（</w:t>
            </w:r>
            <w:r>
              <w:rPr>
                <w:color w:val="auto"/>
                <w:highlight w:val="none"/>
              </w:rPr>
              <w:t>试行</w:t>
            </w:r>
            <w:r>
              <w:rPr>
                <w:rFonts w:hint="eastAsia"/>
                <w:color w:val="auto"/>
                <w:highlight w:val="none"/>
              </w:rPr>
              <w:t>）</w:t>
            </w:r>
            <w:r>
              <w:rPr>
                <w:color w:val="auto"/>
                <w:highlight w:val="none"/>
              </w:rPr>
              <w:t>》</w:t>
            </w:r>
            <w:r>
              <w:rPr>
                <w:rFonts w:hint="eastAsia"/>
                <w:color w:val="auto"/>
                <w:highlight w:val="none"/>
              </w:rPr>
              <w:t>（</w:t>
            </w:r>
            <w:r>
              <w:rPr>
                <w:color w:val="auto"/>
                <w:highlight w:val="none"/>
              </w:rPr>
              <w:t>环办环评〔2020〕33号</w:t>
            </w:r>
            <w:r>
              <w:rPr>
                <w:rFonts w:hint="eastAsia"/>
                <w:color w:val="auto"/>
                <w:highlight w:val="none"/>
              </w:rPr>
              <w:t>）“</w:t>
            </w:r>
            <w:r>
              <w:rPr>
                <w:color w:val="auto"/>
                <w:highlight w:val="none"/>
              </w:rPr>
              <w:t>产业园区外建设项目新增用地的，应明确新增用地范围内生态环境保护目标</w:t>
            </w:r>
            <w:r>
              <w:rPr>
                <w:rFonts w:hint="eastAsia"/>
                <w:color w:val="auto"/>
                <w:highlight w:val="none"/>
              </w:rPr>
              <w:t>”</w:t>
            </w:r>
            <w:r>
              <w:rPr>
                <w:color w:val="auto"/>
                <w:highlight w:val="none"/>
              </w:rPr>
              <w:t>。本项目位于</w:t>
            </w:r>
            <w:r>
              <w:rPr>
                <w:rFonts w:hint="eastAsia"/>
                <w:color w:val="auto"/>
                <w:highlight w:val="none"/>
              </w:rPr>
              <w:t>福建省福州市罗源县</w:t>
            </w:r>
            <w:r>
              <w:rPr>
                <w:rFonts w:hint="eastAsia" w:ascii="Times New Roman" w:hAnsi="Times New Roman" w:eastAsia="宋体" w:cs="Times New Roman"/>
                <w:color w:val="auto"/>
                <w:highlight w:val="none"/>
                <w:lang w:val="en-US" w:eastAsia="zh-CN"/>
              </w:rPr>
              <w:t>金港工业区</w:t>
            </w:r>
            <w:r>
              <w:rPr>
                <w:color w:val="auto"/>
                <w:highlight w:val="none"/>
              </w:rPr>
              <w:t>，项目用地范围内不含生态环境保护目标，无需进行生态现状调查。</w:t>
            </w:r>
          </w:p>
        </w:tc>
      </w:tr>
      <w:tr w14:paraId="498593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0" w:type="dxa"/>
            <w:noWrap w:val="0"/>
            <w:vAlign w:val="center"/>
          </w:tcPr>
          <w:p w14:paraId="1BCB3944">
            <w:pPr>
              <w:pStyle w:val="22"/>
              <w:adjustRightInd w:val="0"/>
              <w:snapToGrid w:val="0"/>
              <w:spacing w:before="0" w:beforeAutospacing="0" w:after="0" w:afterAutospacing="0"/>
              <w:ind w:firstLine="0" w:firstLineChars="0"/>
              <w:jc w:val="center"/>
              <w:rPr>
                <w:rFonts w:ascii="Times New Roman" w:hAnsi="Times New Roman"/>
                <w:color w:val="auto"/>
                <w:kern w:val="2"/>
                <w:szCs w:val="24"/>
                <w:highlight w:val="none"/>
              </w:rPr>
            </w:pPr>
            <w:r>
              <w:rPr>
                <w:rFonts w:ascii="Times New Roman" w:hAnsi="Times New Roman"/>
                <w:color w:val="auto"/>
                <w:kern w:val="2"/>
                <w:szCs w:val="24"/>
                <w:highlight w:val="none"/>
              </w:rPr>
              <w:t>污染物排放控制标准</w:t>
            </w:r>
          </w:p>
        </w:tc>
        <w:tc>
          <w:tcPr>
            <w:tcW w:w="8319" w:type="dxa"/>
            <w:noWrap w:val="0"/>
            <w:vAlign w:val="center"/>
          </w:tcPr>
          <w:p w14:paraId="2371F8E6">
            <w:pPr>
              <w:pStyle w:val="3"/>
              <w:rPr>
                <w:color w:val="auto"/>
                <w:highlight w:val="none"/>
              </w:rPr>
            </w:pPr>
            <w:r>
              <w:rPr>
                <w:color w:val="auto"/>
                <w:highlight w:val="none"/>
              </w:rPr>
              <w:t>3.7 污染物排放标准</w:t>
            </w:r>
          </w:p>
          <w:p w14:paraId="55915B99">
            <w:pPr>
              <w:pStyle w:val="4"/>
              <w:rPr>
                <w:color w:val="auto"/>
                <w:highlight w:val="none"/>
              </w:rPr>
            </w:pPr>
            <w:r>
              <w:rPr>
                <w:color w:val="auto"/>
                <w:highlight w:val="none"/>
              </w:rPr>
              <w:t>3.7.1 水污染物排放标准</w:t>
            </w:r>
          </w:p>
          <w:p w14:paraId="794514A3">
            <w:pPr>
              <w:rPr>
                <w:rFonts w:hint="eastAsia" w:hAnsi="宋体"/>
                <w:b/>
                <w:color w:val="auto"/>
                <w:highlight w:val="none"/>
              </w:rPr>
            </w:pPr>
            <w:r>
              <w:rPr>
                <w:rFonts w:hint="default" w:ascii="Times New Roman" w:hAnsi="Times New Roman" w:cs="Times New Roman"/>
                <w:color w:val="auto"/>
                <w:sz w:val="24"/>
                <w:highlight w:val="none"/>
              </w:rPr>
              <w:t>项目运营期废水主要为员工生活</w:t>
            </w:r>
            <w:r>
              <w:rPr>
                <w:rFonts w:hint="eastAsia" w:ascii="Times New Roman" w:hAnsi="Times New Roman" w:cs="Times New Roman"/>
                <w:color w:val="auto"/>
                <w:sz w:val="24"/>
                <w:highlight w:val="none"/>
                <w:lang w:val="en-US" w:eastAsia="zh-CN"/>
              </w:rPr>
              <w:t>废水</w:t>
            </w:r>
            <w:r>
              <w:rPr>
                <w:rFonts w:hint="default" w:ascii="Times New Roman" w:hAnsi="Times New Roman" w:cs="Times New Roman"/>
                <w:color w:val="auto"/>
                <w:sz w:val="24"/>
                <w:highlight w:val="none"/>
                <w:lang w:val="en-US" w:eastAsia="zh-CN"/>
              </w:rPr>
              <w:t>和食堂</w:t>
            </w:r>
            <w:r>
              <w:rPr>
                <w:rFonts w:hint="eastAsia" w:ascii="Times New Roman" w:hAnsi="Times New Roman" w:cs="Times New Roman"/>
                <w:color w:val="auto"/>
                <w:sz w:val="24"/>
                <w:highlight w:val="none"/>
                <w:lang w:val="en-US" w:eastAsia="zh-CN"/>
              </w:rPr>
              <w:t>废水</w:t>
            </w:r>
            <w:r>
              <w:rPr>
                <w:rFonts w:hint="default" w:ascii="Times New Roman" w:hAnsi="Times New Roman" w:cs="Times New Roman"/>
                <w:color w:val="auto"/>
                <w:sz w:val="24"/>
                <w:highlight w:val="none"/>
              </w:rPr>
              <w:t>，无生产废水</w:t>
            </w:r>
            <w:r>
              <w:rPr>
                <w:rFonts w:hint="eastAsia" w:cs="Times New Roman"/>
                <w:color w:val="auto"/>
                <w:sz w:val="24"/>
                <w:highlight w:val="none"/>
                <w:lang w:val="en-US" w:eastAsia="zh-CN"/>
              </w:rPr>
              <w:t>外排</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食堂</w:t>
            </w:r>
            <w:r>
              <w:rPr>
                <w:rFonts w:hint="eastAsia" w:ascii="Times New Roman" w:hAnsi="Times New Roman" w:cs="Times New Roman"/>
                <w:color w:val="auto"/>
                <w:sz w:val="24"/>
                <w:highlight w:val="none"/>
                <w:lang w:val="en-US" w:eastAsia="zh-CN"/>
              </w:rPr>
              <w:t>废水</w:t>
            </w:r>
            <w:r>
              <w:rPr>
                <w:rFonts w:hint="default" w:ascii="Times New Roman" w:hAnsi="Times New Roman" w:cs="Times New Roman"/>
                <w:color w:val="auto"/>
                <w:sz w:val="24"/>
                <w:highlight w:val="none"/>
              </w:rPr>
              <w:t>经隔油池</w:t>
            </w:r>
            <w:r>
              <w:rPr>
                <w:rFonts w:hint="eastAsia" w:cs="Times New Roman"/>
                <w:color w:val="auto"/>
                <w:sz w:val="24"/>
                <w:highlight w:val="none"/>
                <w:lang w:val="en-US" w:eastAsia="zh-CN"/>
              </w:rPr>
              <w:t>预</w:t>
            </w:r>
            <w:r>
              <w:rPr>
                <w:rFonts w:hint="default" w:ascii="Times New Roman" w:hAnsi="Times New Roman" w:cs="Times New Roman"/>
                <w:color w:val="auto"/>
                <w:sz w:val="24"/>
                <w:highlight w:val="none"/>
              </w:rPr>
              <w:t>处理后与生活</w:t>
            </w:r>
            <w:r>
              <w:rPr>
                <w:rFonts w:hint="eastAsia" w:ascii="Times New Roman" w:hAnsi="Times New Roman" w:cs="Times New Roman"/>
                <w:color w:val="auto"/>
                <w:sz w:val="24"/>
                <w:highlight w:val="none"/>
                <w:lang w:val="en-US" w:eastAsia="zh-CN"/>
              </w:rPr>
              <w:t>废水</w:t>
            </w:r>
            <w:r>
              <w:rPr>
                <w:rFonts w:hint="default" w:ascii="Times New Roman" w:hAnsi="Times New Roman" w:cs="Times New Roman"/>
                <w:color w:val="auto"/>
                <w:sz w:val="24"/>
                <w:highlight w:val="none"/>
              </w:rPr>
              <w:t>一起</w:t>
            </w:r>
            <w:r>
              <w:rPr>
                <w:rFonts w:hint="eastAsia" w:ascii="Times New Roman" w:hAnsi="Times New Roman" w:cs="Times New Roman"/>
                <w:color w:val="auto"/>
                <w:sz w:val="24"/>
                <w:highlight w:val="none"/>
                <w:lang w:val="en-US" w:eastAsia="zh-CN"/>
              </w:rPr>
              <w:t>经化粪池</w:t>
            </w:r>
            <w:r>
              <w:rPr>
                <w:rFonts w:hint="default" w:ascii="Times New Roman" w:hAnsi="Times New Roman" w:cs="Times New Roman"/>
                <w:color w:val="auto"/>
                <w:sz w:val="24"/>
                <w:highlight w:val="none"/>
              </w:rPr>
              <w:t>处理</w:t>
            </w:r>
            <w:bookmarkStart w:id="17" w:name="_Ref482028999"/>
            <w:r>
              <w:rPr>
                <w:rFonts w:hint="eastAsia"/>
                <w:color w:val="auto"/>
                <w:highlight w:val="none"/>
              </w:rPr>
              <w:t>达到</w:t>
            </w:r>
            <w:r>
              <w:rPr>
                <w:color w:val="auto"/>
                <w:highlight w:val="none"/>
              </w:rPr>
              <w:t>《污水综合排放标准》</w:t>
            </w:r>
            <w:r>
              <w:rPr>
                <w:rFonts w:hint="eastAsia"/>
                <w:color w:val="auto"/>
                <w:highlight w:val="none"/>
              </w:rPr>
              <w:t>（</w:t>
            </w:r>
            <w:r>
              <w:rPr>
                <w:color w:val="auto"/>
                <w:highlight w:val="none"/>
              </w:rPr>
              <w:t>GB8978-1996</w:t>
            </w:r>
            <w:r>
              <w:rPr>
                <w:rFonts w:hint="eastAsia"/>
                <w:color w:val="auto"/>
                <w:highlight w:val="none"/>
              </w:rPr>
              <w:t>）</w:t>
            </w:r>
            <w:r>
              <w:rPr>
                <w:color w:val="auto"/>
                <w:highlight w:val="none"/>
              </w:rPr>
              <w:t>表4中的三级标准（其中氨氮参照执行《污水排入城镇下水道水质标准》</w:t>
            </w:r>
            <w:r>
              <w:rPr>
                <w:rFonts w:hint="eastAsia"/>
                <w:color w:val="auto"/>
                <w:highlight w:val="none"/>
              </w:rPr>
              <w:t>（</w:t>
            </w:r>
            <w:r>
              <w:rPr>
                <w:color w:val="auto"/>
                <w:highlight w:val="none"/>
              </w:rPr>
              <w:t>GB/T 31962-2015</w:t>
            </w:r>
            <w:r>
              <w:rPr>
                <w:rFonts w:hint="eastAsia"/>
                <w:color w:val="auto"/>
                <w:highlight w:val="none"/>
              </w:rPr>
              <w:t>）</w:t>
            </w:r>
            <w:r>
              <w:rPr>
                <w:color w:val="auto"/>
                <w:highlight w:val="none"/>
              </w:rPr>
              <w:t>表1中</w:t>
            </w:r>
            <w:r>
              <w:rPr>
                <w:rFonts w:hint="eastAsia"/>
                <w:color w:val="auto"/>
                <w:highlight w:val="none"/>
              </w:rPr>
              <w:t>B</w:t>
            </w:r>
            <w:r>
              <w:rPr>
                <w:color w:val="auto"/>
                <w:highlight w:val="none"/>
              </w:rPr>
              <w:t>级标准限值）</w:t>
            </w:r>
            <w:r>
              <w:rPr>
                <w:rFonts w:hint="eastAsia"/>
                <w:color w:val="auto"/>
                <w:highlight w:val="none"/>
              </w:rPr>
              <w:t>后，废水再通过市政污水管网纳入</w:t>
            </w:r>
            <w:r>
              <w:rPr>
                <w:rFonts w:hint="default" w:ascii="Times New Roman" w:hAnsi="Times New Roman" w:eastAsia="宋体" w:cs="Times New Roman"/>
                <w:color w:val="auto"/>
                <w:kern w:val="0"/>
                <w:highlight w:val="none"/>
                <w:lang w:bidi="ar"/>
              </w:rPr>
              <w:t>金港工业区生活污水处理厂</w:t>
            </w:r>
            <w:r>
              <w:rPr>
                <w:rFonts w:hint="eastAsia"/>
                <w:color w:val="auto"/>
                <w:highlight w:val="none"/>
              </w:rPr>
              <w:t>处理</w:t>
            </w:r>
            <w:r>
              <w:rPr>
                <w:color w:val="auto"/>
                <w:highlight w:val="none"/>
              </w:rPr>
              <w:t>，详见表3.7-1。</w:t>
            </w:r>
            <w:r>
              <w:rPr>
                <w:rFonts w:hint="eastAsia"/>
                <w:color w:val="auto"/>
                <w:highlight w:val="none"/>
                <w:lang w:val="en-US" w:eastAsia="zh-CN"/>
              </w:rPr>
              <w:t>进入</w:t>
            </w:r>
            <w:r>
              <w:rPr>
                <w:rFonts w:hint="default" w:ascii="Times New Roman" w:hAnsi="Times New Roman" w:eastAsia="宋体" w:cs="Times New Roman"/>
                <w:color w:val="auto"/>
                <w:kern w:val="0"/>
                <w:highlight w:val="none"/>
                <w:lang w:bidi="ar"/>
              </w:rPr>
              <w:t>金港工业区生活污水处理厂</w:t>
            </w:r>
            <w:r>
              <w:rPr>
                <w:rFonts w:hint="eastAsia" w:cs="Times New Roman"/>
                <w:color w:val="auto"/>
                <w:kern w:val="0"/>
                <w:highlight w:val="none"/>
                <w:lang w:val="en-US" w:eastAsia="zh-CN" w:bidi="ar"/>
              </w:rPr>
              <w:t>的废水经处理达标后纳入</w:t>
            </w:r>
            <w:r>
              <w:rPr>
                <w:rFonts w:hint="default"/>
                <w:color w:val="auto"/>
                <w:highlight w:val="none"/>
              </w:rPr>
              <w:t>宝钢德盛不锈钢有限公司</w:t>
            </w:r>
            <w:r>
              <w:rPr>
                <w:rFonts w:hint="eastAsia"/>
                <w:color w:val="auto"/>
                <w:highlight w:val="none"/>
                <w:lang w:val="en-US" w:eastAsia="zh-CN"/>
              </w:rPr>
              <w:t>作为回用水，不外排。</w:t>
            </w:r>
          </w:p>
          <w:p w14:paraId="3CB623A9">
            <w:pPr>
              <w:tabs>
                <w:tab w:val="left" w:pos="482"/>
              </w:tabs>
              <w:ind w:firstLine="0" w:firstLineChars="0"/>
              <w:jc w:val="center"/>
              <w:rPr>
                <w:rFonts w:hAnsi="宋体"/>
                <w:b/>
                <w:color w:val="auto"/>
                <w:highlight w:val="none"/>
              </w:rPr>
            </w:pPr>
            <w:r>
              <w:rPr>
                <w:rFonts w:hint="eastAsia" w:hAnsi="宋体"/>
                <w:b/>
                <w:color w:val="auto"/>
                <w:highlight w:val="none"/>
              </w:rPr>
              <w:t>表3.</w:t>
            </w:r>
            <w:r>
              <w:rPr>
                <w:rFonts w:hint="eastAsia" w:hAnsi="宋体"/>
                <w:b/>
                <w:color w:val="auto"/>
                <w:highlight w:val="none"/>
                <w:lang w:val="en-US" w:eastAsia="zh-CN"/>
              </w:rPr>
              <w:t>7-1</w:t>
            </w:r>
            <w:r>
              <w:rPr>
                <w:rFonts w:hint="eastAsia" w:hAnsi="宋体"/>
                <w:b/>
                <w:color w:val="auto"/>
                <w:highlight w:val="none"/>
              </w:rPr>
              <w:t xml:space="preserve"> </w:t>
            </w:r>
            <w:r>
              <w:rPr>
                <w:rFonts w:hint="eastAsia" w:hAnsi="宋体"/>
                <w:b/>
                <w:color w:val="auto"/>
                <w:highlight w:val="none"/>
                <w:lang w:val="en-US" w:eastAsia="zh-CN"/>
              </w:rPr>
              <w:t xml:space="preserve"> </w:t>
            </w:r>
            <w:r>
              <w:rPr>
                <w:rFonts w:hAnsi="宋体"/>
                <w:b/>
                <w:color w:val="auto"/>
                <w:highlight w:val="none"/>
              </w:rPr>
              <w:t>项目</w:t>
            </w:r>
            <w:r>
              <w:rPr>
                <w:rFonts w:hint="eastAsia" w:hAnsi="宋体"/>
                <w:b/>
                <w:color w:val="auto"/>
                <w:highlight w:val="none"/>
                <w:lang w:val="en-US" w:eastAsia="zh-CN"/>
              </w:rPr>
              <w:t>废水</w:t>
            </w:r>
            <w:r>
              <w:rPr>
                <w:rFonts w:hAnsi="宋体"/>
                <w:b/>
                <w:color w:val="auto"/>
                <w:highlight w:val="none"/>
              </w:rPr>
              <w:t>排放标准</w:t>
            </w:r>
            <w:bookmarkEnd w:id="17"/>
          </w:p>
          <w:tbl>
            <w:tblPr>
              <w:tblStyle w:val="27"/>
              <w:tblW w:w="817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724"/>
              <w:gridCol w:w="3264"/>
              <w:gridCol w:w="2191"/>
            </w:tblGrid>
            <w:tr w14:paraId="61D46F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2724" w:type="dxa"/>
                  <w:tcBorders>
                    <w:top w:val="single" w:color="auto" w:sz="12" w:space="0"/>
                    <w:left w:val="nil"/>
                    <w:bottom w:val="single" w:color="auto" w:sz="4" w:space="0"/>
                    <w:right w:val="single" w:color="auto" w:sz="4" w:space="0"/>
                  </w:tcBorders>
                  <w:noWrap w:val="0"/>
                  <w:vAlign w:val="center"/>
                </w:tcPr>
                <w:p w14:paraId="4B7B0682">
                  <w:pPr>
                    <w:pStyle w:val="87"/>
                    <w:adjustRightInd w:val="0"/>
                    <w:snapToGrid w:val="0"/>
                    <w:spacing w:line="320" w:lineRule="exact"/>
                    <w:jc w:val="center"/>
                    <w:rPr>
                      <w:rFonts w:ascii="Times New Roman" w:hAnsi="Times New Roman" w:cs="Times New Roman"/>
                      <w:b/>
                      <w:color w:val="auto"/>
                      <w:szCs w:val="21"/>
                      <w:highlight w:val="none"/>
                      <w:lang w:eastAsia="zh-CN"/>
                    </w:rPr>
                  </w:pPr>
                  <w:r>
                    <w:rPr>
                      <w:rFonts w:ascii="Times New Roman" w:hAnsi="Times New Roman" w:cs="Times New Roman"/>
                      <w:b/>
                      <w:color w:val="auto"/>
                      <w:szCs w:val="21"/>
                      <w:highlight w:val="none"/>
                      <w:lang w:eastAsia="zh-CN"/>
                    </w:rPr>
                    <w:t>污染物名称</w:t>
                  </w:r>
                </w:p>
              </w:tc>
              <w:tc>
                <w:tcPr>
                  <w:tcW w:w="3264" w:type="dxa"/>
                  <w:tcBorders>
                    <w:top w:val="single" w:color="auto" w:sz="12" w:space="0"/>
                    <w:left w:val="single" w:color="auto" w:sz="4" w:space="0"/>
                    <w:bottom w:val="single" w:color="auto" w:sz="4" w:space="0"/>
                    <w:right w:val="single" w:color="auto" w:sz="4" w:space="0"/>
                  </w:tcBorders>
                  <w:noWrap w:val="0"/>
                  <w:vAlign w:val="center"/>
                </w:tcPr>
                <w:p w14:paraId="47CC086E">
                  <w:pPr>
                    <w:pStyle w:val="87"/>
                    <w:adjustRightInd w:val="0"/>
                    <w:snapToGrid w:val="0"/>
                    <w:spacing w:line="320" w:lineRule="exact"/>
                    <w:jc w:val="center"/>
                    <w:rPr>
                      <w:rFonts w:ascii="Times New Roman" w:hAnsi="Times New Roman" w:cs="Times New Roman"/>
                      <w:b/>
                      <w:color w:val="auto"/>
                      <w:szCs w:val="21"/>
                      <w:highlight w:val="none"/>
                      <w:lang w:eastAsia="zh-CN"/>
                    </w:rPr>
                  </w:pPr>
                  <w:r>
                    <w:rPr>
                      <w:rFonts w:ascii="Times New Roman" w:hAnsi="Times New Roman" w:cs="Times New Roman"/>
                      <w:b/>
                      <w:color w:val="auto"/>
                      <w:szCs w:val="21"/>
                      <w:highlight w:val="none"/>
                      <w:lang w:eastAsia="zh-CN"/>
                    </w:rPr>
                    <w:t>三级标准</w:t>
                  </w:r>
                </w:p>
              </w:tc>
              <w:tc>
                <w:tcPr>
                  <w:tcW w:w="2191" w:type="dxa"/>
                  <w:tcBorders>
                    <w:top w:val="single" w:color="auto" w:sz="12" w:space="0"/>
                    <w:left w:val="single" w:color="auto" w:sz="4" w:space="0"/>
                    <w:bottom w:val="single" w:color="auto" w:sz="4" w:space="0"/>
                    <w:right w:val="nil"/>
                  </w:tcBorders>
                  <w:noWrap w:val="0"/>
                  <w:vAlign w:val="center"/>
                </w:tcPr>
                <w:p w14:paraId="1BFBCDDC">
                  <w:pPr>
                    <w:pStyle w:val="87"/>
                    <w:adjustRightInd w:val="0"/>
                    <w:snapToGrid w:val="0"/>
                    <w:spacing w:line="320" w:lineRule="exact"/>
                    <w:jc w:val="center"/>
                    <w:rPr>
                      <w:rFonts w:ascii="Times New Roman" w:hAnsi="Times New Roman" w:cs="Times New Roman"/>
                      <w:b/>
                      <w:color w:val="auto"/>
                      <w:szCs w:val="21"/>
                      <w:highlight w:val="none"/>
                      <w:lang w:eastAsia="zh-CN"/>
                    </w:rPr>
                  </w:pPr>
                  <w:r>
                    <w:rPr>
                      <w:rFonts w:ascii="Times New Roman" w:hAnsi="Times New Roman" w:cs="Times New Roman"/>
                      <w:b/>
                      <w:color w:val="auto"/>
                      <w:szCs w:val="21"/>
                      <w:highlight w:val="none"/>
                      <w:lang w:eastAsia="zh-CN"/>
                    </w:rPr>
                    <w:t>单位</w:t>
                  </w:r>
                </w:p>
              </w:tc>
            </w:tr>
            <w:tr w14:paraId="5E300A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2724" w:type="dxa"/>
                  <w:tcBorders>
                    <w:top w:val="single" w:color="auto" w:sz="4" w:space="0"/>
                    <w:left w:val="nil"/>
                    <w:bottom w:val="single" w:color="auto" w:sz="4" w:space="0"/>
                    <w:right w:val="single" w:color="auto" w:sz="4" w:space="0"/>
                  </w:tcBorders>
                  <w:noWrap w:val="0"/>
                  <w:vAlign w:val="center"/>
                </w:tcPr>
                <w:p w14:paraId="4171C89E">
                  <w:pPr>
                    <w:pStyle w:val="87"/>
                    <w:adjustRightInd w:val="0"/>
                    <w:snapToGrid w:val="0"/>
                    <w:spacing w:line="320" w:lineRule="exact"/>
                    <w:jc w:val="center"/>
                    <w:rPr>
                      <w:rFonts w:ascii="Times New Roman" w:hAnsi="Times New Roman" w:cs="Times New Roman"/>
                      <w:bCs/>
                      <w:color w:val="auto"/>
                      <w:szCs w:val="21"/>
                      <w:highlight w:val="none"/>
                      <w:lang w:eastAsia="zh-CN"/>
                    </w:rPr>
                  </w:pPr>
                  <w:r>
                    <w:rPr>
                      <w:rFonts w:hint="eastAsia" w:ascii="Times New Roman" w:hAnsi="Times New Roman" w:cs="Times New Roman"/>
                      <w:bCs/>
                      <w:color w:val="auto"/>
                      <w:szCs w:val="21"/>
                      <w:highlight w:val="none"/>
                      <w:lang w:eastAsia="zh-CN"/>
                    </w:rPr>
                    <w:t>p</w:t>
                  </w:r>
                  <w:r>
                    <w:rPr>
                      <w:rFonts w:ascii="Times New Roman" w:hAnsi="Times New Roman" w:cs="Times New Roman"/>
                      <w:bCs/>
                      <w:color w:val="auto"/>
                      <w:szCs w:val="21"/>
                      <w:highlight w:val="none"/>
                      <w:lang w:eastAsia="zh-CN"/>
                    </w:rPr>
                    <w:t>H</w:t>
                  </w:r>
                </w:p>
              </w:tc>
              <w:tc>
                <w:tcPr>
                  <w:tcW w:w="3264" w:type="dxa"/>
                  <w:tcBorders>
                    <w:top w:val="single" w:color="auto" w:sz="4" w:space="0"/>
                    <w:left w:val="single" w:color="auto" w:sz="4" w:space="0"/>
                    <w:bottom w:val="single" w:color="auto" w:sz="4" w:space="0"/>
                    <w:right w:val="single" w:color="auto" w:sz="4" w:space="0"/>
                  </w:tcBorders>
                  <w:noWrap w:val="0"/>
                  <w:vAlign w:val="center"/>
                </w:tcPr>
                <w:p w14:paraId="5FEDB3FC">
                  <w:pPr>
                    <w:pStyle w:val="87"/>
                    <w:adjustRightInd w:val="0"/>
                    <w:snapToGrid w:val="0"/>
                    <w:spacing w:line="320" w:lineRule="exact"/>
                    <w:jc w:val="center"/>
                    <w:rPr>
                      <w:rFonts w:ascii="Times New Roman" w:hAnsi="Times New Roman" w:cs="Times New Roman"/>
                      <w:bCs/>
                      <w:color w:val="auto"/>
                      <w:szCs w:val="21"/>
                      <w:highlight w:val="none"/>
                      <w:lang w:eastAsia="zh-CN"/>
                    </w:rPr>
                  </w:pPr>
                  <w:r>
                    <w:rPr>
                      <w:rFonts w:ascii="Times New Roman" w:hAnsi="Times New Roman" w:cs="Times New Roman"/>
                      <w:bCs/>
                      <w:color w:val="auto"/>
                      <w:szCs w:val="21"/>
                      <w:highlight w:val="none"/>
                      <w:lang w:eastAsia="zh-CN"/>
                    </w:rPr>
                    <w:t>6～9</w:t>
                  </w:r>
                </w:p>
              </w:tc>
              <w:tc>
                <w:tcPr>
                  <w:tcW w:w="2191" w:type="dxa"/>
                  <w:tcBorders>
                    <w:top w:val="single" w:color="auto" w:sz="4" w:space="0"/>
                    <w:left w:val="single" w:color="auto" w:sz="4" w:space="0"/>
                    <w:bottom w:val="single" w:color="auto" w:sz="4" w:space="0"/>
                    <w:right w:val="nil"/>
                  </w:tcBorders>
                  <w:noWrap w:val="0"/>
                  <w:vAlign w:val="center"/>
                </w:tcPr>
                <w:p w14:paraId="0C905F9C">
                  <w:pPr>
                    <w:pStyle w:val="87"/>
                    <w:adjustRightInd w:val="0"/>
                    <w:snapToGrid w:val="0"/>
                    <w:spacing w:line="320" w:lineRule="exact"/>
                    <w:jc w:val="center"/>
                    <w:rPr>
                      <w:rFonts w:ascii="Times New Roman" w:hAnsi="Times New Roman" w:cs="Times New Roman"/>
                      <w:bCs/>
                      <w:color w:val="auto"/>
                      <w:szCs w:val="21"/>
                      <w:highlight w:val="none"/>
                      <w:lang w:eastAsia="zh-CN"/>
                    </w:rPr>
                  </w:pPr>
                  <w:r>
                    <w:rPr>
                      <w:rFonts w:ascii="Times New Roman" w:hAnsi="Times New Roman" w:cs="Times New Roman"/>
                      <w:bCs/>
                      <w:color w:val="auto"/>
                      <w:szCs w:val="21"/>
                      <w:highlight w:val="none"/>
                      <w:lang w:eastAsia="zh-CN"/>
                    </w:rPr>
                    <w:t>无量纲</w:t>
                  </w:r>
                </w:p>
              </w:tc>
            </w:tr>
            <w:tr w14:paraId="3386F6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2724" w:type="dxa"/>
                  <w:tcBorders>
                    <w:top w:val="single" w:color="auto" w:sz="4" w:space="0"/>
                    <w:left w:val="nil"/>
                    <w:bottom w:val="single" w:color="auto" w:sz="4" w:space="0"/>
                    <w:right w:val="single" w:color="auto" w:sz="4" w:space="0"/>
                  </w:tcBorders>
                  <w:noWrap w:val="0"/>
                  <w:vAlign w:val="center"/>
                </w:tcPr>
                <w:p w14:paraId="41337EA3">
                  <w:pPr>
                    <w:pStyle w:val="87"/>
                    <w:adjustRightInd w:val="0"/>
                    <w:snapToGrid w:val="0"/>
                    <w:spacing w:line="320" w:lineRule="exact"/>
                    <w:jc w:val="center"/>
                    <w:rPr>
                      <w:rFonts w:ascii="Times New Roman" w:hAnsi="Times New Roman" w:cs="Times New Roman"/>
                      <w:bCs/>
                      <w:color w:val="auto"/>
                      <w:szCs w:val="21"/>
                      <w:highlight w:val="none"/>
                      <w:lang w:eastAsia="zh-CN"/>
                    </w:rPr>
                  </w:pPr>
                  <w:r>
                    <w:rPr>
                      <w:rFonts w:ascii="Times New Roman" w:hAnsi="Times New Roman" w:cs="Times New Roman"/>
                      <w:bCs/>
                      <w:color w:val="auto"/>
                      <w:szCs w:val="21"/>
                      <w:highlight w:val="none"/>
                      <w:lang w:eastAsia="zh-CN"/>
                    </w:rPr>
                    <w:t>悬浮物（SS）</w:t>
                  </w:r>
                </w:p>
              </w:tc>
              <w:tc>
                <w:tcPr>
                  <w:tcW w:w="3264" w:type="dxa"/>
                  <w:tcBorders>
                    <w:top w:val="single" w:color="auto" w:sz="4" w:space="0"/>
                    <w:left w:val="single" w:color="auto" w:sz="4" w:space="0"/>
                    <w:bottom w:val="single" w:color="auto" w:sz="4" w:space="0"/>
                    <w:right w:val="single" w:color="auto" w:sz="4" w:space="0"/>
                  </w:tcBorders>
                  <w:noWrap w:val="0"/>
                  <w:vAlign w:val="center"/>
                </w:tcPr>
                <w:p w14:paraId="7F8D3958">
                  <w:pPr>
                    <w:pStyle w:val="87"/>
                    <w:adjustRightInd w:val="0"/>
                    <w:snapToGrid w:val="0"/>
                    <w:spacing w:line="320" w:lineRule="exact"/>
                    <w:jc w:val="center"/>
                    <w:rPr>
                      <w:rFonts w:ascii="Times New Roman" w:hAnsi="Times New Roman" w:cs="Times New Roman"/>
                      <w:bCs/>
                      <w:color w:val="auto"/>
                      <w:szCs w:val="21"/>
                      <w:highlight w:val="none"/>
                      <w:lang w:eastAsia="zh-CN"/>
                    </w:rPr>
                  </w:pPr>
                  <w:r>
                    <w:rPr>
                      <w:rFonts w:ascii="Times New Roman" w:hAnsi="Times New Roman" w:cs="Times New Roman"/>
                      <w:bCs/>
                      <w:color w:val="auto"/>
                      <w:szCs w:val="21"/>
                      <w:highlight w:val="none"/>
                      <w:lang w:eastAsia="zh-CN"/>
                    </w:rPr>
                    <w:t>400</w:t>
                  </w:r>
                </w:p>
              </w:tc>
              <w:tc>
                <w:tcPr>
                  <w:tcW w:w="2191" w:type="dxa"/>
                  <w:tcBorders>
                    <w:top w:val="single" w:color="auto" w:sz="4" w:space="0"/>
                    <w:left w:val="single" w:color="auto" w:sz="4" w:space="0"/>
                    <w:bottom w:val="single" w:color="auto" w:sz="4" w:space="0"/>
                    <w:right w:val="nil"/>
                  </w:tcBorders>
                  <w:noWrap w:val="0"/>
                  <w:vAlign w:val="center"/>
                </w:tcPr>
                <w:p w14:paraId="1A8356A5">
                  <w:pPr>
                    <w:pStyle w:val="87"/>
                    <w:adjustRightInd w:val="0"/>
                    <w:snapToGrid w:val="0"/>
                    <w:spacing w:line="320" w:lineRule="exact"/>
                    <w:jc w:val="center"/>
                    <w:rPr>
                      <w:rFonts w:ascii="Times New Roman" w:hAnsi="Times New Roman" w:cs="Times New Roman"/>
                      <w:bCs/>
                      <w:color w:val="auto"/>
                      <w:szCs w:val="21"/>
                      <w:highlight w:val="none"/>
                      <w:lang w:eastAsia="zh-CN"/>
                    </w:rPr>
                  </w:pPr>
                  <w:r>
                    <w:rPr>
                      <w:rFonts w:ascii="Times New Roman" w:hAnsi="Times New Roman" w:cs="Times New Roman"/>
                      <w:bCs/>
                      <w:color w:val="auto"/>
                      <w:szCs w:val="21"/>
                      <w:highlight w:val="none"/>
                      <w:lang w:eastAsia="zh-CN"/>
                    </w:rPr>
                    <w:t>mg/L</w:t>
                  </w:r>
                </w:p>
              </w:tc>
            </w:tr>
            <w:tr w14:paraId="6DA6B3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2724" w:type="dxa"/>
                  <w:tcBorders>
                    <w:top w:val="single" w:color="auto" w:sz="4" w:space="0"/>
                    <w:left w:val="nil"/>
                    <w:bottom w:val="single" w:color="auto" w:sz="4" w:space="0"/>
                    <w:right w:val="single" w:color="auto" w:sz="4" w:space="0"/>
                  </w:tcBorders>
                  <w:noWrap w:val="0"/>
                  <w:vAlign w:val="center"/>
                </w:tcPr>
                <w:p w14:paraId="770C7687">
                  <w:pPr>
                    <w:pStyle w:val="87"/>
                    <w:adjustRightInd w:val="0"/>
                    <w:snapToGrid w:val="0"/>
                    <w:spacing w:line="320" w:lineRule="exact"/>
                    <w:jc w:val="center"/>
                    <w:rPr>
                      <w:rFonts w:ascii="Times New Roman" w:hAnsi="Times New Roman" w:cs="Times New Roman"/>
                      <w:bCs/>
                      <w:color w:val="auto"/>
                      <w:szCs w:val="21"/>
                      <w:highlight w:val="none"/>
                      <w:lang w:eastAsia="zh-CN"/>
                    </w:rPr>
                  </w:pPr>
                  <w:r>
                    <w:rPr>
                      <w:rFonts w:ascii="Times New Roman" w:hAnsi="Times New Roman" w:cs="Times New Roman"/>
                      <w:bCs/>
                      <w:color w:val="auto"/>
                      <w:szCs w:val="21"/>
                      <w:highlight w:val="none"/>
                      <w:lang w:eastAsia="zh-CN"/>
                    </w:rPr>
                    <w:t>五日生化需氧量（BOD</w:t>
                  </w:r>
                  <w:r>
                    <w:rPr>
                      <w:rFonts w:ascii="Times New Roman" w:hAnsi="Times New Roman" w:cs="Times New Roman"/>
                      <w:bCs/>
                      <w:color w:val="auto"/>
                      <w:szCs w:val="21"/>
                      <w:highlight w:val="none"/>
                      <w:vertAlign w:val="subscript"/>
                      <w:lang w:eastAsia="zh-CN"/>
                    </w:rPr>
                    <w:t>5</w:t>
                  </w:r>
                  <w:r>
                    <w:rPr>
                      <w:rFonts w:ascii="Times New Roman" w:hAnsi="Times New Roman" w:cs="Times New Roman"/>
                      <w:bCs/>
                      <w:color w:val="auto"/>
                      <w:szCs w:val="21"/>
                      <w:highlight w:val="none"/>
                      <w:lang w:eastAsia="zh-CN"/>
                    </w:rPr>
                    <w:t>）</w:t>
                  </w:r>
                </w:p>
              </w:tc>
              <w:tc>
                <w:tcPr>
                  <w:tcW w:w="3264" w:type="dxa"/>
                  <w:tcBorders>
                    <w:top w:val="single" w:color="auto" w:sz="4" w:space="0"/>
                    <w:left w:val="single" w:color="auto" w:sz="4" w:space="0"/>
                    <w:bottom w:val="single" w:color="auto" w:sz="4" w:space="0"/>
                    <w:right w:val="single" w:color="auto" w:sz="4" w:space="0"/>
                  </w:tcBorders>
                  <w:noWrap w:val="0"/>
                  <w:vAlign w:val="center"/>
                </w:tcPr>
                <w:p w14:paraId="62DD9EEF">
                  <w:pPr>
                    <w:pStyle w:val="87"/>
                    <w:adjustRightInd w:val="0"/>
                    <w:snapToGrid w:val="0"/>
                    <w:spacing w:line="320" w:lineRule="exact"/>
                    <w:jc w:val="center"/>
                    <w:rPr>
                      <w:rFonts w:ascii="Times New Roman" w:hAnsi="Times New Roman" w:cs="Times New Roman"/>
                      <w:bCs/>
                      <w:color w:val="auto"/>
                      <w:szCs w:val="21"/>
                      <w:highlight w:val="none"/>
                      <w:lang w:eastAsia="zh-CN"/>
                    </w:rPr>
                  </w:pPr>
                  <w:r>
                    <w:rPr>
                      <w:rFonts w:ascii="Times New Roman" w:hAnsi="Times New Roman" w:cs="Times New Roman"/>
                      <w:bCs/>
                      <w:color w:val="auto"/>
                      <w:szCs w:val="21"/>
                      <w:highlight w:val="none"/>
                      <w:lang w:eastAsia="zh-CN"/>
                    </w:rPr>
                    <w:t>300</w:t>
                  </w:r>
                </w:p>
              </w:tc>
              <w:tc>
                <w:tcPr>
                  <w:tcW w:w="2191" w:type="dxa"/>
                  <w:tcBorders>
                    <w:top w:val="single" w:color="auto" w:sz="4" w:space="0"/>
                    <w:left w:val="single" w:color="auto" w:sz="4" w:space="0"/>
                    <w:bottom w:val="single" w:color="auto" w:sz="4" w:space="0"/>
                    <w:right w:val="nil"/>
                  </w:tcBorders>
                  <w:noWrap w:val="0"/>
                  <w:vAlign w:val="center"/>
                </w:tcPr>
                <w:p w14:paraId="1E56175C">
                  <w:pPr>
                    <w:pStyle w:val="87"/>
                    <w:adjustRightInd w:val="0"/>
                    <w:snapToGrid w:val="0"/>
                    <w:spacing w:line="320" w:lineRule="exact"/>
                    <w:jc w:val="center"/>
                    <w:rPr>
                      <w:rFonts w:ascii="Times New Roman" w:hAnsi="Times New Roman" w:cs="Times New Roman"/>
                      <w:bCs/>
                      <w:color w:val="auto"/>
                      <w:szCs w:val="21"/>
                      <w:highlight w:val="none"/>
                      <w:lang w:eastAsia="zh-CN"/>
                    </w:rPr>
                  </w:pPr>
                  <w:r>
                    <w:rPr>
                      <w:rFonts w:ascii="Times New Roman" w:hAnsi="Times New Roman" w:cs="Times New Roman"/>
                      <w:bCs/>
                      <w:color w:val="auto"/>
                      <w:szCs w:val="21"/>
                      <w:highlight w:val="none"/>
                      <w:lang w:eastAsia="zh-CN"/>
                    </w:rPr>
                    <w:t>mg/L</w:t>
                  </w:r>
                </w:p>
              </w:tc>
            </w:tr>
            <w:tr w14:paraId="698381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2724" w:type="dxa"/>
                  <w:tcBorders>
                    <w:top w:val="single" w:color="auto" w:sz="4" w:space="0"/>
                    <w:left w:val="nil"/>
                    <w:bottom w:val="single" w:color="auto" w:sz="4" w:space="0"/>
                    <w:right w:val="single" w:color="auto" w:sz="4" w:space="0"/>
                  </w:tcBorders>
                  <w:noWrap w:val="0"/>
                  <w:vAlign w:val="center"/>
                </w:tcPr>
                <w:p w14:paraId="2F9B18D0">
                  <w:pPr>
                    <w:pStyle w:val="87"/>
                    <w:adjustRightInd w:val="0"/>
                    <w:snapToGrid w:val="0"/>
                    <w:spacing w:line="320" w:lineRule="exact"/>
                    <w:jc w:val="center"/>
                    <w:rPr>
                      <w:rFonts w:ascii="Times New Roman" w:hAnsi="Times New Roman" w:cs="Times New Roman"/>
                      <w:bCs/>
                      <w:color w:val="auto"/>
                      <w:szCs w:val="21"/>
                      <w:highlight w:val="none"/>
                      <w:lang w:eastAsia="zh-CN"/>
                    </w:rPr>
                  </w:pPr>
                  <w:r>
                    <w:rPr>
                      <w:rFonts w:ascii="Times New Roman" w:hAnsi="Times New Roman" w:cs="Times New Roman"/>
                      <w:bCs/>
                      <w:color w:val="auto"/>
                      <w:szCs w:val="21"/>
                      <w:highlight w:val="none"/>
                      <w:lang w:eastAsia="zh-CN"/>
                    </w:rPr>
                    <w:t>化学需氧量（COD）</w:t>
                  </w:r>
                </w:p>
              </w:tc>
              <w:tc>
                <w:tcPr>
                  <w:tcW w:w="3264" w:type="dxa"/>
                  <w:tcBorders>
                    <w:top w:val="single" w:color="auto" w:sz="4" w:space="0"/>
                    <w:left w:val="single" w:color="auto" w:sz="4" w:space="0"/>
                    <w:bottom w:val="single" w:color="auto" w:sz="4" w:space="0"/>
                    <w:right w:val="single" w:color="auto" w:sz="4" w:space="0"/>
                  </w:tcBorders>
                  <w:noWrap w:val="0"/>
                  <w:vAlign w:val="center"/>
                </w:tcPr>
                <w:p w14:paraId="4157FB1B">
                  <w:pPr>
                    <w:pStyle w:val="87"/>
                    <w:adjustRightInd w:val="0"/>
                    <w:snapToGrid w:val="0"/>
                    <w:spacing w:line="320" w:lineRule="exact"/>
                    <w:jc w:val="center"/>
                    <w:rPr>
                      <w:rFonts w:ascii="Times New Roman" w:hAnsi="Times New Roman" w:cs="Times New Roman"/>
                      <w:bCs/>
                      <w:color w:val="auto"/>
                      <w:szCs w:val="21"/>
                      <w:highlight w:val="none"/>
                      <w:lang w:eastAsia="zh-CN"/>
                    </w:rPr>
                  </w:pPr>
                  <w:r>
                    <w:rPr>
                      <w:rFonts w:ascii="Times New Roman" w:hAnsi="Times New Roman" w:cs="Times New Roman"/>
                      <w:bCs/>
                      <w:color w:val="auto"/>
                      <w:szCs w:val="21"/>
                      <w:highlight w:val="none"/>
                      <w:lang w:eastAsia="zh-CN"/>
                    </w:rPr>
                    <w:t>500</w:t>
                  </w:r>
                </w:p>
              </w:tc>
              <w:tc>
                <w:tcPr>
                  <w:tcW w:w="2191" w:type="dxa"/>
                  <w:tcBorders>
                    <w:top w:val="single" w:color="auto" w:sz="4" w:space="0"/>
                    <w:left w:val="single" w:color="auto" w:sz="4" w:space="0"/>
                    <w:bottom w:val="single" w:color="auto" w:sz="4" w:space="0"/>
                    <w:right w:val="nil"/>
                  </w:tcBorders>
                  <w:noWrap w:val="0"/>
                  <w:vAlign w:val="center"/>
                </w:tcPr>
                <w:p w14:paraId="0099E1B5">
                  <w:pPr>
                    <w:pStyle w:val="87"/>
                    <w:adjustRightInd w:val="0"/>
                    <w:snapToGrid w:val="0"/>
                    <w:spacing w:line="320" w:lineRule="exact"/>
                    <w:jc w:val="center"/>
                    <w:rPr>
                      <w:rFonts w:ascii="Times New Roman" w:hAnsi="Times New Roman" w:cs="Times New Roman"/>
                      <w:bCs/>
                      <w:color w:val="auto"/>
                      <w:szCs w:val="21"/>
                      <w:highlight w:val="none"/>
                      <w:lang w:eastAsia="zh-CN"/>
                    </w:rPr>
                  </w:pPr>
                  <w:r>
                    <w:rPr>
                      <w:rFonts w:ascii="Times New Roman" w:hAnsi="Times New Roman" w:cs="Times New Roman"/>
                      <w:bCs/>
                      <w:color w:val="auto"/>
                      <w:szCs w:val="21"/>
                      <w:highlight w:val="none"/>
                      <w:lang w:eastAsia="zh-CN"/>
                    </w:rPr>
                    <w:t>mg/L</w:t>
                  </w:r>
                </w:p>
              </w:tc>
            </w:tr>
            <w:tr w14:paraId="4AFC72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2724" w:type="dxa"/>
                  <w:tcBorders>
                    <w:top w:val="single" w:color="auto" w:sz="4" w:space="0"/>
                    <w:left w:val="nil"/>
                    <w:bottom w:val="single" w:color="auto" w:sz="4" w:space="0"/>
                    <w:right w:val="single" w:color="auto" w:sz="4" w:space="0"/>
                  </w:tcBorders>
                  <w:noWrap w:val="0"/>
                  <w:vAlign w:val="center"/>
                </w:tcPr>
                <w:p w14:paraId="17A6F051">
                  <w:pPr>
                    <w:pStyle w:val="87"/>
                    <w:adjustRightInd w:val="0"/>
                    <w:snapToGrid w:val="0"/>
                    <w:spacing w:line="320" w:lineRule="exact"/>
                    <w:jc w:val="center"/>
                    <w:rPr>
                      <w:rFonts w:ascii="Times New Roman" w:hAnsi="Times New Roman" w:cs="Times New Roman"/>
                      <w:bCs/>
                      <w:color w:val="auto"/>
                      <w:szCs w:val="21"/>
                      <w:highlight w:val="none"/>
                      <w:lang w:eastAsia="zh-CN"/>
                    </w:rPr>
                  </w:pPr>
                  <w:r>
                    <w:rPr>
                      <w:rFonts w:ascii="Times New Roman" w:hAnsi="Times New Roman" w:cs="Times New Roman"/>
                      <w:bCs/>
                      <w:color w:val="auto"/>
                      <w:szCs w:val="21"/>
                      <w:highlight w:val="none"/>
                      <w:lang w:eastAsia="zh-CN"/>
                    </w:rPr>
                    <w:t>氨氮（NH</w:t>
                  </w:r>
                  <w:r>
                    <w:rPr>
                      <w:rFonts w:ascii="Times New Roman" w:hAnsi="Times New Roman" w:cs="Times New Roman"/>
                      <w:bCs/>
                      <w:color w:val="auto"/>
                      <w:szCs w:val="21"/>
                      <w:highlight w:val="none"/>
                      <w:vertAlign w:val="subscript"/>
                      <w:lang w:eastAsia="zh-CN"/>
                    </w:rPr>
                    <w:t>3</w:t>
                  </w:r>
                  <w:r>
                    <w:rPr>
                      <w:rFonts w:ascii="Times New Roman" w:hAnsi="Times New Roman" w:cs="Times New Roman"/>
                      <w:bCs/>
                      <w:color w:val="auto"/>
                      <w:szCs w:val="21"/>
                      <w:highlight w:val="none"/>
                      <w:lang w:eastAsia="zh-CN"/>
                    </w:rPr>
                    <w:t>-N）</w:t>
                  </w:r>
                </w:p>
              </w:tc>
              <w:tc>
                <w:tcPr>
                  <w:tcW w:w="3264" w:type="dxa"/>
                  <w:tcBorders>
                    <w:top w:val="single" w:color="auto" w:sz="4" w:space="0"/>
                    <w:left w:val="single" w:color="auto" w:sz="4" w:space="0"/>
                    <w:bottom w:val="single" w:color="auto" w:sz="4" w:space="0"/>
                    <w:right w:val="single" w:color="auto" w:sz="4" w:space="0"/>
                  </w:tcBorders>
                  <w:noWrap w:val="0"/>
                  <w:vAlign w:val="center"/>
                </w:tcPr>
                <w:p w14:paraId="19B0572B">
                  <w:pPr>
                    <w:pStyle w:val="87"/>
                    <w:adjustRightInd w:val="0"/>
                    <w:snapToGrid w:val="0"/>
                    <w:spacing w:line="320" w:lineRule="exact"/>
                    <w:jc w:val="center"/>
                    <w:rPr>
                      <w:rFonts w:ascii="Times New Roman" w:hAnsi="Times New Roman" w:cs="Times New Roman"/>
                      <w:bCs/>
                      <w:color w:val="auto"/>
                      <w:szCs w:val="21"/>
                      <w:highlight w:val="none"/>
                      <w:lang w:eastAsia="zh-CN"/>
                    </w:rPr>
                  </w:pPr>
                  <w:r>
                    <w:rPr>
                      <w:rFonts w:ascii="Times New Roman" w:hAnsi="Times New Roman" w:cs="Times New Roman"/>
                      <w:bCs/>
                      <w:color w:val="auto"/>
                      <w:szCs w:val="21"/>
                      <w:highlight w:val="none"/>
                      <w:lang w:eastAsia="zh-CN"/>
                    </w:rPr>
                    <w:t>45</w:t>
                  </w:r>
                </w:p>
              </w:tc>
              <w:tc>
                <w:tcPr>
                  <w:tcW w:w="2191" w:type="dxa"/>
                  <w:tcBorders>
                    <w:top w:val="single" w:color="auto" w:sz="4" w:space="0"/>
                    <w:left w:val="single" w:color="auto" w:sz="4" w:space="0"/>
                    <w:bottom w:val="single" w:color="auto" w:sz="4" w:space="0"/>
                    <w:right w:val="nil"/>
                  </w:tcBorders>
                  <w:noWrap w:val="0"/>
                  <w:vAlign w:val="center"/>
                </w:tcPr>
                <w:p w14:paraId="56580BAA">
                  <w:pPr>
                    <w:pStyle w:val="87"/>
                    <w:adjustRightInd w:val="0"/>
                    <w:snapToGrid w:val="0"/>
                    <w:spacing w:line="320" w:lineRule="exact"/>
                    <w:jc w:val="center"/>
                    <w:rPr>
                      <w:rFonts w:ascii="Times New Roman" w:hAnsi="Times New Roman" w:cs="Times New Roman"/>
                      <w:bCs/>
                      <w:color w:val="auto"/>
                      <w:szCs w:val="21"/>
                      <w:highlight w:val="none"/>
                      <w:lang w:eastAsia="zh-CN"/>
                    </w:rPr>
                  </w:pPr>
                  <w:r>
                    <w:rPr>
                      <w:rFonts w:ascii="Times New Roman" w:hAnsi="Times New Roman" w:cs="Times New Roman"/>
                      <w:bCs/>
                      <w:color w:val="auto"/>
                      <w:szCs w:val="21"/>
                      <w:highlight w:val="none"/>
                      <w:lang w:eastAsia="zh-CN"/>
                    </w:rPr>
                    <w:t>mg/L</w:t>
                  </w:r>
                </w:p>
              </w:tc>
            </w:tr>
            <w:tr w14:paraId="5561C3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2724" w:type="dxa"/>
                  <w:tcBorders>
                    <w:top w:val="single" w:color="auto" w:sz="4" w:space="0"/>
                    <w:left w:val="nil"/>
                    <w:bottom w:val="single" w:color="auto" w:sz="4" w:space="0"/>
                    <w:right w:val="single" w:color="auto" w:sz="4" w:space="0"/>
                  </w:tcBorders>
                  <w:noWrap w:val="0"/>
                  <w:vAlign w:val="center"/>
                </w:tcPr>
                <w:p w14:paraId="2E71A4BD">
                  <w:pPr>
                    <w:pStyle w:val="87"/>
                    <w:adjustRightInd w:val="0"/>
                    <w:snapToGrid w:val="0"/>
                    <w:spacing w:line="320" w:lineRule="exact"/>
                    <w:jc w:val="center"/>
                    <w:rPr>
                      <w:rFonts w:hint="default" w:ascii="Times New Roman" w:hAnsi="Times New Roman" w:cs="Times New Roman"/>
                      <w:bCs/>
                      <w:color w:val="auto"/>
                      <w:szCs w:val="21"/>
                      <w:highlight w:val="none"/>
                      <w:lang w:val="en-US" w:eastAsia="zh-CN"/>
                    </w:rPr>
                  </w:pPr>
                  <w:r>
                    <w:rPr>
                      <w:rFonts w:hint="eastAsia" w:ascii="Times New Roman" w:hAnsi="Times New Roman" w:cs="Times New Roman"/>
                      <w:bCs/>
                      <w:color w:val="auto"/>
                      <w:szCs w:val="21"/>
                      <w:highlight w:val="none"/>
                      <w:lang w:val="en-US" w:eastAsia="zh-CN"/>
                    </w:rPr>
                    <w:t>动植物油</w:t>
                  </w:r>
                </w:p>
              </w:tc>
              <w:tc>
                <w:tcPr>
                  <w:tcW w:w="3264" w:type="dxa"/>
                  <w:tcBorders>
                    <w:top w:val="single" w:color="auto" w:sz="4" w:space="0"/>
                    <w:left w:val="single" w:color="auto" w:sz="4" w:space="0"/>
                    <w:bottom w:val="single" w:color="auto" w:sz="4" w:space="0"/>
                    <w:right w:val="single" w:color="auto" w:sz="4" w:space="0"/>
                  </w:tcBorders>
                  <w:noWrap w:val="0"/>
                  <w:vAlign w:val="center"/>
                </w:tcPr>
                <w:p w14:paraId="49DE14D9">
                  <w:pPr>
                    <w:pStyle w:val="87"/>
                    <w:adjustRightInd w:val="0"/>
                    <w:snapToGrid w:val="0"/>
                    <w:spacing w:line="320" w:lineRule="exact"/>
                    <w:jc w:val="center"/>
                    <w:rPr>
                      <w:rFonts w:hint="default" w:ascii="Times New Roman" w:hAnsi="Times New Roman" w:cs="Times New Roman"/>
                      <w:bCs/>
                      <w:color w:val="auto"/>
                      <w:szCs w:val="21"/>
                      <w:highlight w:val="none"/>
                      <w:lang w:val="en-US" w:eastAsia="zh-CN"/>
                    </w:rPr>
                  </w:pPr>
                  <w:r>
                    <w:rPr>
                      <w:rFonts w:hint="eastAsia" w:ascii="Times New Roman" w:hAnsi="Times New Roman" w:cs="Times New Roman"/>
                      <w:bCs/>
                      <w:color w:val="auto"/>
                      <w:szCs w:val="21"/>
                      <w:highlight w:val="none"/>
                      <w:lang w:val="en-US" w:eastAsia="zh-CN"/>
                    </w:rPr>
                    <w:t>100</w:t>
                  </w:r>
                </w:p>
              </w:tc>
              <w:tc>
                <w:tcPr>
                  <w:tcW w:w="2191" w:type="dxa"/>
                  <w:tcBorders>
                    <w:top w:val="single" w:color="auto" w:sz="4" w:space="0"/>
                    <w:left w:val="single" w:color="auto" w:sz="4" w:space="0"/>
                    <w:bottom w:val="single" w:color="auto" w:sz="4" w:space="0"/>
                    <w:right w:val="nil"/>
                  </w:tcBorders>
                  <w:noWrap w:val="0"/>
                  <w:vAlign w:val="center"/>
                </w:tcPr>
                <w:p w14:paraId="67F71640">
                  <w:pPr>
                    <w:pStyle w:val="87"/>
                    <w:adjustRightInd w:val="0"/>
                    <w:snapToGrid w:val="0"/>
                    <w:spacing w:line="320" w:lineRule="exact"/>
                    <w:jc w:val="center"/>
                    <w:rPr>
                      <w:rFonts w:ascii="Times New Roman" w:hAnsi="Times New Roman" w:cs="Times New Roman"/>
                      <w:bCs/>
                      <w:color w:val="auto"/>
                      <w:szCs w:val="21"/>
                      <w:highlight w:val="none"/>
                      <w:lang w:eastAsia="zh-CN"/>
                    </w:rPr>
                  </w:pPr>
                  <w:r>
                    <w:rPr>
                      <w:rFonts w:ascii="Times New Roman" w:hAnsi="Times New Roman" w:cs="Times New Roman"/>
                      <w:bCs/>
                      <w:color w:val="auto"/>
                      <w:szCs w:val="21"/>
                      <w:highlight w:val="none"/>
                      <w:lang w:eastAsia="zh-CN"/>
                    </w:rPr>
                    <w:t>mg/L</w:t>
                  </w:r>
                </w:p>
              </w:tc>
            </w:tr>
            <w:tr w14:paraId="51B9D4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8179" w:type="dxa"/>
                  <w:gridSpan w:val="3"/>
                  <w:tcBorders>
                    <w:top w:val="single" w:color="auto" w:sz="4" w:space="0"/>
                    <w:left w:val="nil"/>
                    <w:bottom w:val="single" w:color="auto" w:sz="12" w:space="0"/>
                    <w:right w:val="nil"/>
                  </w:tcBorders>
                  <w:noWrap w:val="0"/>
                  <w:vAlign w:val="center"/>
                </w:tcPr>
                <w:p w14:paraId="1836A468">
                  <w:pPr>
                    <w:pStyle w:val="87"/>
                    <w:adjustRightInd w:val="0"/>
                    <w:snapToGrid w:val="0"/>
                    <w:spacing w:line="320" w:lineRule="exact"/>
                    <w:rPr>
                      <w:rFonts w:ascii="Times New Roman" w:hAnsi="Times New Roman" w:cs="Times New Roman"/>
                      <w:bCs/>
                      <w:color w:val="auto"/>
                      <w:szCs w:val="21"/>
                      <w:highlight w:val="none"/>
                      <w:lang w:eastAsia="zh-CN"/>
                    </w:rPr>
                  </w:pPr>
                  <w:r>
                    <w:rPr>
                      <w:rFonts w:ascii="Times New Roman" w:hAnsi="Times New Roman" w:cs="Times New Roman"/>
                      <w:bCs/>
                      <w:color w:val="auto"/>
                      <w:szCs w:val="21"/>
                      <w:highlight w:val="none"/>
                      <w:lang w:eastAsia="zh-CN"/>
                    </w:rPr>
                    <w:t>注：氨氮</w:t>
                  </w:r>
                  <w:r>
                    <w:rPr>
                      <w:rFonts w:hint="eastAsia" w:ascii="Times New Roman" w:hAnsi="Times New Roman" w:cs="Times New Roman"/>
                      <w:bCs/>
                      <w:color w:val="auto"/>
                      <w:szCs w:val="21"/>
                      <w:highlight w:val="none"/>
                      <w:lang w:eastAsia="zh-CN"/>
                    </w:rPr>
                    <w:t>参照</w:t>
                  </w:r>
                  <w:r>
                    <w:rPr>
                      <w:rFonts w:ascii="Times New Roman" w:hAnsi="Times New Roman" w:cs="Times New Roman"/>
                      <w:bCs/>
                      <w:color w:val="auto"/>
                      <w:szCs w:val="21"/>
                      <w:highlight w:val="none"/>
                      <w:lang w:eastAsia="zh-CN"/>
                    </w:rPr>
                    <w:t>执行《污水排入城镇下水道水质标准》（GB/T31962-2015）B级标准限值</w:t>
                  </w:r>
                </w:p>
              </w:tc>
            </w:tr>
          </w:tbl>
          <w:p w14:paraId="158A0B94">
            <w:pPr>
              <w:pStyle w:val="4"/>
              <w:rPr>
                <w:color w:val="auto"/>
                <w:highlight w:val="none"/>
              </w:rPr>
            </w:pPr>
            <w:r>
              <w:rPr>
                <w:color w:val="auto"/>
                <w:highlight w:val="none"/>
              </w:rPr>
              <w:t>3.7.2 大气污染物排放标准</w:t>
            </w:r>
          </w:p>
          <w:p w14:paraId="06745D58">
            <w:pPr>
              <w:ind w:firstLine="482"/>
              <w:rPr>
                <w:b/>
                <w:bCs/>
                <w:color w:val="auto"/>
                <w:highlight w:val="none"/>
              </w:rPr>
            </w:pPr>
            <w:r>
              <w:rPr>
                <w:rFonts w:hint="eastAsia"/>
                <w:b/>
                <w:bCs/>
                <w:color w:val="auto"/>
                <w:highlight w:val="none"/>
              </w:rPr>
              <w:t>（1）企业生产废气有</w:t>
            </w:r>
            <w:r>
              <w:rPr>
                <w:b/>
                <w:bCs/>
                <w:color w:val="auto"/>
                <w:highlight w:val="none"/>
              </w:rPr>
              <w:t>组织排放</w:t>
            </w:r>
          </w:p>
          <w:p w14:paraId="28A1C9AE">
            <w:pPr>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①骨料烘干废气</w:t>
            </w:r>
          </w:p>
          <w:p w14:paraId="06D3B751">
            <w:pPr>
              <w:widowControl/>
              <w:ind w:firstLine="480"/>
              <w:jc w:val="left"/>
              <w:rPr>
                <w:rFonts w:hint="eastAsia"/>
                <w:color w:val="auto"/>
                <w:highlight w:val="none"/>
                <w:lang w:val="en-US" w:eastAsia="zh-CN"/>
              </w:rPr>
            </w:pPr>
            <w:r>
              <w:rPr>
                <w:rFonts w:hint="eastAsia" w:ascii="Times New Roman" w:hAnsi="Times New Roman" w:eastAsia="宋体" w:cs="Times New Roman"/>
                <w:color w:val="auto"/>
                <w:highlight w:val="none"/>
                <w:lang w:val="en-US" w:eastAsia="zh-CN"/>
              </w:rPr>
              <w:t>项目采用燃烧器（燃料为天然气）向烘干滚筒加热，然后对骨料（碎石）进行烘干处理，其滚筒内产生的废气含骨料烘干粉尘与主燃烧器燃天然气烟气，废气排放参照</w:t>
            </w:r>
            <w:r>
              <w:rPr>
                <w:color w:val="auto"/>
                <w:highlight w:val="none"/>
              </w:rPr>
              <w:t>排放执行</w:t>
            </w:r>
            <w:r>
              <w:rPr>
                <w:rFonts w:hint="eastAsia"/>
                <w:color w:val="auto"/>
                <w:highlight w:val="none"/>
              </w:rPr>
              <w:t>《工业炉窑大气污染物排放标准》（</w:t>
            </w:r>
            <w:r>
              <w:rPr>
                <w:color w:val="auto"/>
                <w:highlight w:val="none"/>
              </w:rPr>
              <w:t>GB9078-1996</w:t>
            </w:r>
            <w:r>
              <w:rPr>
                <w:rFonts w:hint="eastAsia"/>
                <w:color w:val="auto"/>
                <w:highlight w:val="none"/>
              </w:rPr>
              <w:t>）</w:t>
            </w:r>
            <w:r>
              <w:rPr>
                <w:color w:val="auto"/>
                <w:highlight w:val="none"/>
              </w:rPr>
              <w:t>表</w:t>
            </w:r>
            <w:r>
              <w:rPr>
                <w:rFonts w:hint="eastAsia"/>
                <w:color w:val="auto"/>
                <w:highlight w:val="none"/>
              </w:rPr>
              <w:t>2</w:t>
            </w:r>
            <w:r>
              <w:rPr>
                <w:color w:val="auto"/>
                <w:highlight w:val="none"/>
              </w:rPr>
              <w:t>中排放限值</w:t>
            </w:r>
            <w:r>
              <w:rPr>
                <w:rFonts w:hint="eastAsia"/>
                <w:color w:val="auto"/>
                <w:highlight w:val="none"/>
              </w:rPr>
              <w:t>以及《福建省工业炉窑大气污染综合治理方案》（闽环保大气〔2019〕10号）附件1</w:t>
            </w:r>
            <w:r>
              <w:rPr>
                <w:color w:val="auto"/>
                <w:highlight w:val="none"/>
              </w:rPr>
              <w:t>中排放限值</w:t>
            </w:r>
            <w:r>
              <w:rPr>
                <w:rFonts w:hint="eastAsia"/>
                <w:color w:val="auto"/>
                <w:highlight w:val="none"/>
              </w:rPr>
              <w:t>。</w:t>
            </w:r>
            <w:r>
              <w:rPr>
                <w:rFonts w:hint="eastAsia"/>
                <w:color w:val="auto"/>
                <w:highlight w:val="none"/>
                <w:lang w:val="en-US" w:eastAsia="zh-CN"/>
              </w:rPr>
              <w:t>一期、二期</w:t>
            </w:r>
            <w:r>
              <w:rPr>
                <w:rFonts w:hint="eastAsia" w:ascii="Times New Roman" w:hAnsi="Times New Roman" w:eastAsia="宋体" w:cs="Times New Roman"/>
                <w:color w:val="auto"/>
                <w:highlight w:val="none"/>
                <w:lang w:val="en-US" w:eastAsia="zh-CN"/>
              </w:rPr>
              <w:t>骨料烘干废气经“负压抽吸+燃烧器+布袋除尘器”处理后</w:t>
            </w:r>
            <w:r>
              <w:rPr>
                <w:rFonts w:hint="eastAsia" w:cs="Times New Roman"/>
                <w:color w:val="auto"/>
                <w:highlight w:val="none"/>
                <w:lang w:val="en-US" w:eastAsia="zh-CN"/>
              </w:rPr>
              <w:t>分别</w:t>
            </w:r>
            <w:r>
              <w:rPr>
                <w:rFonts w:hint="eastAsia" w:ascii="Times New Roman" w:hAnsi="Times New Roman" w:eastAsia="宋体" w:cs="Times New Roman"/>
                <w:color w:val="auto"/>
                <w:highlight w:val="none"/>
                <w:lang w:val="en-US" w:eastAsia="zh-CN"/>
              </w:rPr>
              <w:t>通过1根20m高排气筒（DA001</w:t>
            </w:r>
            <w:r>
              <w:rPr>
                <w:rFonts w:hint="eastAsia" w:cs="Times New Roman"/>
                <w:color w:val="auto"/>
                <w:highlight w:val="none"/>
                <w:lang w:val="en-US" w:eastAsia="zh-CN"/>
              </w:rPr>
              <w:t>、DA004</w:t>
            </w:r>
            <w:r>
              <w:rPr>
                <w:rFonts w:hint="eastAsia" w:ascii="Times New Roman" w:hAnsi="Times New Roman" w:eastAsia="宋体" w:cs="Times New Roman"/>
                <w:color w:val="auto"/>
                <w:highlight w:val="none"/>
                <w:lang w:val="en-US" w:eastAsia="zh-CN"/>
              </w:rPr>
              <w:t>）排放，骨料烘干废气</w:t>
            </w:r>
            <w:r>
              <w:rPr>
                <w:rFonts w:hint="eastAsia"/>
                <w:color w:val="auto"/>
                <w:highlight w:val="none"/>
              </w:rPr>
              <w:t>排放执行标准</w:t>
            </w:r>
            <w:r>
              <w:rPr>
                <w:color w:val="auto"/>
                <w:highlight w:val="none"/>
              </w:rPr>
              <w:t>详见表</w:t>
            </w:r>
            <w:r>
              <w:rPr>
                <w:rFonts w:hint="eastAsia"/>
                <w:color w:val="auto"/>
                <w:highlight w:val="none"/>
              </w:rPr>
              <w:t>3.7-</w:t>
            </w:r>
            <w:r>
              <w:rPr>
                <w:rFonts w:hint="eastAsia"/>
                <w:color w:val="auto"/>
                <w:highlight w:val="none"/>
                <w:lang w:val="en-US" w:eastAsia="zh-CN"/>
              </w:rPr>
              <w:t>2。</w:t>
            </w:r>
          </w:p>
          <w:p w14:paraId="2B9F5DC1">
            <w:pPr>
              <w:widowControl/>
              <w:ind w:left="0" w:leftChars="0" w:firstLine="0" w:firstLineChars="0"/>
              <w:jc w:val="center"/>
              <w:rPr>
                <w:rFonts w:hint="eastAsia" w:ascii="Times New Roman" w:hAnsi="Times New Roman" w:eastAsia="宋体" w:cs="Times New Roman"/>
                <w:b/>
                <w:bCs/>
                <w:color w:val="auto"/>
                <w:highlight w:val="none"/>
                <w:lang w:val="en-US" w:eastAsia="zh-CN"/>
              </w:rPr>
            </w:pPr>
            <w:r>
              <w:rPr>
                <w:rFonts w:hint="eastAsia"/>
                <w:b/>
                <w:bCs/>
                <w:color w:val="auto"/>
                <w:highlight w:val="none"/>
                <w:lang w:val="en-US" w:eastAsia="zh-CN"/>
              </w:rPr>
              <w:t xml:space="preserve">表3.7-2  </w:t>
            </w:r>
            <w:r>
              <w:rPr>
                <w:rFonts w:hint="eastAsia" w:ascii="Times New Roman" w:hAnsi="Times New Roman" w:eastAsia="宋体" w:cs="Times New Roman"/>
                <w:b/>
                <w:bCs/>
                <w:color w:val="auto"/>
                <w:highlight w:val="none"/>
                <w:lang w:val="en-US" w:eastAsia="zh-CN"/>
              </w:rPr>
              <w:t>骨料烘干废气排放标准</w:t>
            </w:r>
          </w:p>
          <w:tbl>
            <w:tblPr>
              <w:tblStyle w:val="27"/>
              <w:tblW w:w="8157"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982"/>
              <w:gridCol w:w="1953"/>
              <w:gridCol w:w="1386"/>
              <w:gridCol w:w="1462"/>
              <w:gridCol w:w="2374"/>
            </w:tblGrid>
            <w:tr w14:paraId="037C61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5" w:hRule="atLeast"/>
                <w:jc w:val="center"/>
              </w:trPr>
              <w:tc>
                <w:tcPr>
                  <w:tcW w:w="601" w:type="pct"/>
                  <w:noWrap w:val="0"/>
                  <w:vAlign w:val="center"/>
                </w:tcPr>
                <w:p w14:paraId="185A3CB1">
                  <w:pPr>
                    <w:pStyle w:val="87"/>
                    <w:adjustRightInd w:val="0"/>
                    <w:snapToGrid w:val="0"/>
                    <w:spacing w:line="320" w:lineRule="exact"/>
                    <w:jc w:val="center"/>
                    <w:rPr>
                      <w:rFonts w:ascii="Times New Roman" w:hAnsi="Times New Roman" w:cs="Times New Roman"/>
                      <w:b/>
                      <w:color w:val="auto"/>
                      <w:szCs w:val="21"/>
                      <w:highlight w:val="none"/>
                      <w:lang w:eastAsia="zh-CN"/>
                    </w:rPr>
                  </w:pPr>
                  <w:r>
                    <w:rPr>
                      <w:rFonts w:ascii="Times New Roman" w:hAnsi="Times New Roman" w:cs="Times New Roman"/>
                      <w:b/>
                      <w:color w:val="auto"/>
                      <w:szCs w:val="21"/>
                      <w:highlight w:val="none"/>
                      <w:lang w:eastAsia="zh-CN"/>
                    </w:rPr>
                    <w:t>序号</w:t>
                  </w:r>
                </w:p>
              </w:tc>
              <w:tc>
                <w:tcPr>
                  <w:tcW w:w="1197" w:type="pct"/>
                  <w:noWrap w:val="0"/>
                  <w:vAlign w:val="center"/>
                </w:tcPr>
                <w:p w14:paraId="059036EE">
                  <w:pPr>
                    <w:pStyle w:val="87"/>
                    <w:adjustRightInd w:val="0"/>
                    <w:snapToGrid w:val="0"/>
                    <w:spacing w:line="320" w:lineRule="exact"/>
                    <w:jc w:val="center"/>
                    <w:rPr>
                      <w:rFonts w:ascii="Times New Roman" w:hAnsi="Times New Roman" w:cs="Times New Roman"/>
                      <w:b/>
                      <w:color w:val="auto"/>
                      <w:szCs w:val="21"/>
                      <w:highlight w:val="none"/>
                      <w:lang w:eastAsia="zh-CN"/>
                    </w:rPr>
                  </w:pPr>
                  <w:r>
                    <w:rPr>
                      <w:rFonts w:ascii="Times New Roman" w:hAnsi="Times New Roman" w:cs="Times New Roman"/>
                      <w:b/>
                      <w:color w:val="auto"/>
                      <w:szCs w:val="21"/>
                      <w:highlight w:val="none"/>
                      <w:lang w:eastAsia="zh-CN"/>
                    </w:rPr>
                    <w:t>污染物项目</w:t>
                  </w:r>
                </w:p>
              </w:tc>
              <w:tc>
                <w:tcPr>
                  <w:tcW w:w="849" w:type="pct"/>
                  <w:noWrap w:val="0"/>
                  <w:vAlign w:val="center"/>
                </w:tcPr>
                <w:p w14:paraId="7781F8BB">
                  <w:pPr>
                    <w:pStyle w:val="87"/>
                    <w:adjustRightInd w:val="0"/>
                    <w:snapToGrid w:val="0"/>
                    <w:spacing w:line="320" w:lineRule="exact"/>
                    <w:jc w:val="center"/>
                    <w:rPr>
                      <w:rFonts w:ascii="Times New Roman" w:hAnsi="Times New Roman" w:cs="Times New Roman"/>
                      <w:b/>
                      <w:color w:val="auto"/>
                      <w:szCs w:val="21"/>
                      <w:highlight w:val="none"/>
                      <w:lang w:eastAsia="zh-CN"/>
                    </w:rPr>
                  </w:pPr>
                  <w:r>
                    <w:rPr>
                      <w:rFonts w:ascii="Times New Roman" w:hAnsi="Times New Roman" w:cs="Times New Roman"/>
                      <w:b/>
                      <w:color w:val="auto"/>
                      <w:szCs w:val="21"/>
                      <w:highlight w:val="none"/>
                      <w:lang w:eastAsia="zh-CN"/>
                    </w:rPr>
                    <w:t>排放</w:t>
                  </w:r>
                  <w:r>
                    <w:rPr>
                      <w:rFonts w:hint="eastAsia" w:ascii="Times New Roman" w:hAnsi="Times New Roman" w:cs="Times New Roman"/>
                      <w:b/>
                      <w:color w:val="auto"/>
                      <w:szCs w:val="21"/>
                      <w:highlight w:val="none"/>
                      <w:lang w:val="en-US" w:eastAsia="zh-CN"/>
                    </w:rPr>
                    <w:t>浓度</w:t>
                  </w:r>
                  <w:r>
                    <w:rPr>
                      <w:rFonts w:ascii="Times New Roman" w:hAnsi="Times New Roman" w:cs="Times New Roman"/>
                      <w:b/>
                      <w:color w:val="auto"/>
                      <w:szCs w:val="21"/>
                      <w:highlight w:val="none"/>
                      <w:lang w:eastAsia="zh-CN"/>
                    </w:rPr>
                    <w:t>（mg/m</w:t>
                  </w:r>
                  <w:r>
                    <w:rPr>
                      <w:rFonts w:ascii="Times New Roman" w:hAnsi="Times New Roman" w:cs="Times New Roman"/>
                      <w:b/>
                      <w:color w:val="auto"/>
                      <w:szCs w:val="21"/>
                      <w:highlight w:val="none"/>
                      <w:vertAlign w:val="superscript"/>
                      <w:lang w:eastAsia="zh-CN"/>
                    </w:rPr>
                    <w:t>3</w:t>
                  </w:r>
                  <w:r>
                    <w:rPr>
                      <w:rFonts w:ascii="Times New Roman" w:hAnsi="Times New Roman" w:cs="Times New Roman"/>
                      <w:b/>
                      <w:color w:val="auto"/>
                      <w:szCs w:val="21"/>
                      <w:highlight w:val="none"/>
                      <w:lang w:eastAsia="zh-CN"/>
                    </w:rPr>
                    <w:t>）</w:t>
                  </w:r>
                </w:p>
              </w:tc>
              <w:tc>
                <w:tcPr>
                  <w:tcW w:w="896" w:type="pct"/>
                  <w:noWrap w:val="0"/>
                  <w:vAlign w:val="center"/>
                </w:tcPr>
                <w:p w14:paraId="4966B7EB">
                  <w:pPr>
                    <w:pStyle w:val="87"/>
                    <w:adjustRightInd w:val="0"/>
                    <w:snapToGrid w:val="0"/>
                    <w:spacing w:line="320" w:lineRule="exact"/>
                    <w:jc w:val="center"/>
                    <w:rPr>
                      <w:rFonts w:ascii="Times New Roman" w:hAnsi="Times New Roman" w:cs="Times New Roman"/>
                      <w:b/>
                      <w:color w:val="auto"/>
                      <w:szCs w:val="21"/>
                      <w:highlight w:val="none"/>
                      <w:lang w:eastAsia="zh-CN"/>
                    </w:rPr>
                  </w:pPr>
                  <w:r>
                    <w:rPr>
                      <w:rFonts w:ascii="Times New Roman" w:hAnsi="Times New Roman" w:cs="Times New Roman"/>
                      <w:b/>
                      <w:color w:val="auto"/>
                      <w:szCs w:val="21"/>
                      <w:highlight w:val="none"/>
                      <w:lang w:eastAsia="zh-CN"/>
                    </w:rPr>
                    <w:t>污染物排放监控位置</w:t>
                  </w:r>
                </w:p>
              </w:tc>
              <w:tc>
                <w:tcPr>
                  <w:tcW w:w="1455" w:type="pct"/>
                  <w:noWrap w:val="0"/>
                  <w:vAlign w:val="center"/>
                </w:tcPr>
                <w:p w14:paraId="25DB9BE7">
                  <w:pPr>
                    <w:pStyle w:val="87"/>
                    <w:adjustRightInd w:val="0"/>
                    <w:snapToGrid w:val="0"/>
                    <w:spacing w:line="320" w:lineRule="exact"/>
                    <w:jc w:val="center"/>
                    <w:rPr>
                      <w:rFonts w:ascii="Times New Roman" w:hAnsi="Times New Roman" w:cs="Times New Roman"/>
                      <w:b/>
                      <w:color w:val="auto"/>
                      <w:szCs w:val="21"/>
                      <w:highlight w:val="none"/>
                      <w:lang w:eastAsia="zh-CN"/>
                    </w:rPr>
                  </w:pPr>
                  <w:r>
                    <w:rPr>
                      <w:rFonts w:hint="eastAsia" w:ascii="Times New Roman" w:hAnsi="Times New Roman" w:cs="Times New Roman"/>
                      <w:b/>
                      <w:color w:val="auto"/>
                      <w:szCs w:val="21"/>
                      <w:highlight w:val="none"/>
                      <w:lang w:eastAsia="zh-CN"/>
                    </w:rPr>
                    <w:t>标准</w:t>
                  </w:r>
                </w:p>
              </w:tc>
            </w:tr>
            <w:tr w14:paraId="02CD750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601" w:type="pct"/>
                  <w:noWrap w:val="0"/>
                  <w:vAlign w:val="center"/>
                </w:tcPr>
                <w:p w14:paraId="69F1247B">
                  <w:pPr>
                    <w:pStyle w:val="87"/>
                    <w:adjustRightInd w:val="0"/>
                    <w:snapToGrid w:val="0"/>
                    <w:spacing w:line="320" w:lineRule="exact"/>
                    <w:jc w:val="center"/>
                    <w:rPr>
                      <w:rFonts w:ascii="Times New Roman" w:hAnsi="Times New Roman" w:cs="Times New Roman"/>
                      <w:bCs/>
                      <w:color w:val="auto"/>
                      <w:kern w:val="2"/>
                      <w:sz w:val="21"/>
                      <w:szCs w:val="21"/>
                      <w:highlight w:val="none"/>
                      <w:lang w:val="en-US" w:eastAsia="zh-CN" w:bidi="en-US"/>
                    </w:rPr>
                  </w:pPr>
                  <w:r>
                    <w:rPr>
                      <w:rFonts w:ascii="Times New Roman" w:hAnsi="Times New Roman" w:cs="Times New Roman"/>
                      <w:bCs/>
                      <w:color w:val="auto"/>
                      <w:szCs w:val="21"/>
                      <w:highlight w:val="none"/>
                      <w:lang w:eastAsia="zh-CN"/>
                    </w:rPr>
                    <w:t>1</w:t>
                  </w:r>
                </w:p>
              </w:tc>
              <w:tc>
                <w:tcPr>
                  <w:tcW w:w="1197" w:type="pct"/>
                  <w:noWrap w:val="0"/>
                  <w:vAlign w:val="center"/>
                </w:tcPr>
                <w:p w14:paraId="4A97D931">
                  <w:pPr>
                    <w:adjustRightInd w:val="0"/>
                    <w:snapToGrid w:val="0"/>
                    <w:spacing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颗粒物</w:t>
                  </w:r>
                </w:p>
              </w:tc>
              <w:tc>
                <w:tcPr>
                  <w:tcW w:w="849" w:type="pct"/>
                  <w:noWrap w:val="0"/>
                  <w:vAlign w:val="center"/>
                </w:tcPr>
                <w:p w14:paraId="2172ED1A">
                  <w:pPr>
                    <w:adjustRightInd w:val="0"/>
                    <w:snapToGrid w:val="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200</w:t>
                  </w:r>
                </w:p>
              </w:tc>
              <w:tc>
                <w:tcPr>
                  <w:tcW w:w="896" w:type="pct"/>
                  <w:vMerge w:val="restart"/>
                  <w:noWrap w:val="0"/>
                  <w:vAlign w:val="center"/>
                </w:tcPr>
                <w:p w14:paraId="4D9EF509">
                  <w:pPr>
                    <w:pStyle w:val="87"/>
                    <w:adjustRightInd w:val="0"/>
                    <w:snapToGrid w:val="0"/>
                    <w:spacing w:line="320" w:lineRule="exact"/>
                    <w:jc w:val="center"/>
                    <w:rPr>
                      <w:rFonts w:ascii="Times New Roman" w:hAnsi="Times New Roman" w:cs="Times New Roman"/>
                      <w:bCs/>
                      <w:color w:val="auto"/>
                      <w:szCs w:val="21"/>
                      <w:highlight w:val="none"/>
                      <w:lang w:eastAsia="zh-CN"/>
                    </w:rPr>
                  </w:pPr>
                  <w:r>
                    <w:rPr>
                      <w:rFonts w:hint="eastAsia" w:ascii="Times New Roman" w:hAnsi="Times New Roman" w:cs="Times New Roman"/>
                      <w:bCs/>
                      <w:color w:val="auto"/>
                      <w:szCs w:val="21"/>
                      <w:highlight w:val="none"/>
                      <w:lang w:eastAsia="zh-CN"/>
                    </w:rPr>
                    <w:t>DA001排气筒</w:t>
                  </w:r>
                </w:p>
              </w:tc>
              <w:tc>
                <w:tcPr>
                  <w:tcW w:w="1455" w:type="pct"/>
                  <w:vMerge w:val="restart"/>
                  <w:noWrap w:val="0"/>
                  <w:vAlign w:val="center"/>
                </w:tcPr>
                <w:p w14:paraId="438BB9E6">
                  <w:pPr>
                    <w:pStyle w:val="87"/>
                    <w:adjustRightInd w:val="0"/>
                    <w:snapToGrid w:val="0"/>
                    <w:spacing w:line="320" w:lineRule="exact"/>
                    <w:jc w:val="center"/>
                    <w:rPr>
                      <w:rFonts w:hint="eastAsia" w:ascii="Times New Roman" w:hAnsi="Times New Roman" w:cs="Times New Roman"/>
                      <w:bCs/>
                      <w:color w:val="auto"/>
                      <w:szCs w:val="21"/>
                      <w:highlight w:val="none"/>
                      <w:lang w:eastAsia="zh-CN"/>
                    </w:rPr>
                  </w:pPr>
                  <w:r>
                    <w:rPr>
                      <w:rFonts w:hint="eastAsia" w:ascii="Times New Roman" w:hAnsi="Times New Roman" w:cs="Times New Roman"/>
                      <w:bCs/>
                      <w:color w:val="auto"/>
                      <w:szCs w:val="21"/>
                      <w:highlight w:val="none"/>
                      <w:lang w:eastAsia="zh-CN"/>
                    </w:rPr>
                    <w:t>《工业炉窑大气污染物排放标准》（GB9078-1996）及《福建省工业炉窑大气污染物综合治理方案》</w:t>
                  </w:r>
                </w:p>
              </w:tc>
            </w:tr>
            <w:tr w14:paraId="1DB4DB6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601" w:type="pct"/>
                  <w:noWrap w:val="0"/>
                  <w:vAlign w:val="center"/>
                </w:tcPr>
                <w:p w14:paraId="5559E15E">
                  <w:pPr>
                    <w:pStyle w:val="87"/>
                    <w:adjustRightInd w:val="0"/>
                    <w:snapToGrid w:val="0"/>
                    <w:spacing w:line="320" w:lineRule="exact"/>
                    <w:jc w:val="center"/>
                    <w:rPr>
                      <w:rFonts w:ascii="Times New Roman" w:hAnsi="Times New Roman" w:cs="Times New Roman"/>
                      <w:bCs/>
                      <w:color w:val="auto"/>
                      <w:kern w:val="2"/>
                      <w:sz w:val="21"/>
                      <w:szCs w:val="21"/>
                      <w:highlight w:val="none"/>
                      <w:lang w:val="en-US" w:eastAsia="zh-CN" w:bidi="en-US"/>
                    </w:rPr>
                  </w:pPr>
                  <w:r>
                    <w:rPr>
                      <w:rFonts w:ascii="Times New Roman" w:hAnsi="Times New Roman" w:cs="Times New Roman"/>
                      <w:bCs/>
                      <w:color w:val="auto"/>
                      <w:szCs w:val="21"/>
                      <w:highlight w:val="none"/>
                      <w:lang w:eastAsia="zh-CN"/>
                    </w:rPr>
                    <w:t>2</w:t>
                  </w:r>
                </w:p>
              </w:tc>
              <w:tc>
                <w:tcPr>
                  <w:tcW w:w="1197" w:type="pct"/>
                  <w:noWrap w:val="0"/>
                  <w:vAlign w:val="center"/>
                </w:tcPr>
                <w:p w14:paraId="7D84F108">
                  <w:pPr>
                    <w:adjustRightInd w:val="0"/>
                    <w:snapToGrid w:val="0"/>
                    <w:spacing w:line="240" w:lineRule="auto"/>
                    <w:ind w:firstLine="0" w:firstLineChars="0"/>
                    <w:jc w:val="center"/>
                    <w:rPr>
                      <w:rFonts w:ascii="Times New Roman" w:hAnsi="Times New Roman" w:cs="Times New Roman"/>
                      <w:bCs/>
                      <w:color w:val="auto"/>
                      <w:szCs w:val="21"/>
                      <w:highlight w:val="none"/>
                      <w:lang w:eastAsia="zh-CN"/>
                    </w:rPr>
                  </w:pPr>
                  <w:r>
                    <w:rPr>
                      <w:color w:val="auto"/>
                      <w:sz w:val="21"/>
                      <w:szCs w:val="21"/>
                      <w:highlight w:val="none"/>
                    </w:rPr>
                    <w:t>SO</w:t>
                  </w:r>
                  <w:r>
                    <w:rPr>
                      <w:color w:val="auto"/>
                      <w:sz w:val="21"/>
                      <w:szCs w:val="21"/>
                      <w:highlight w:val="none"/>
                      <w:vertAlign w:val="subscript"/>
                    </w:rPr>
                    <w:t>2</w:t>
                  </w:r>
                </w:p>
              </w:tc>
              <w:tc>
                <w:tcPr>
                  <w:tcW w:w="849" w:type="pct"/>
                  <w:noWrap w:val="0"/>
                  <w:vAlign w:val="center"/>
                </w:tcPr>
                <w:p w14:paraId="163381C2">
                  <w:pPr>
                    <w:adjustRightInd w:val="0"/>
                    <w:snapToGrid w:val="0"/>
                    <w:spacing w:line="240" w:lineRule="auto"/>
                    <w:ind w:firstLine="0" w:firstLineChars="0"/>
                    <w:jc w:val="center"/>
                    <w:rPr>
                      <w:rFonts w:ascii="Times New Roman" w:hAnsi="Times New Roman" w:cs="Times New Roman"/>
                      <w:bCs/>
                      <w:color w:val="auto"/>
                      <w:szCs w:val="21"/>
                      <w:highlight w:val="none"/>
                      <w:lang w:eastAsia="zh-CN"/>
                    </w:rPr>
                  </w:pPr>
                  <w:r>
                    <w:rPr>
                      <w:rFonts w:hint="eastAsia"/>
                      <w:color w:val="auto"/>
                      <w:sz w:val="21"/>
                      <w:szCs w:val="21"/>
                      <w:highlight w:val="none"/>
                    </w:rPr>
                    <w:t>200</w:t>
                  </w:r>
                </w:p>
              </w:tc>
              <w:tc>
                <w:tcPr>
                  <w:tcW w:w="896" w:type="pct"/>
                  <w:vMerge w:val="continue"/>
                  <w:noWrap w:val="0"/>
                  <w:vAlign w:val="center"/>
                </w:tcPr>
                <w:p w14:paraId="596B2670">
                  <w:pPr>
                    <w:pStyle w:val="87"/>
                    <w:adjustRightInd w:val="0"/>
                    <w:snapToGrid w:val="0"/>
                    <w:spacing w:line="320" w:lineRule="exact"/>
                    <w:jc w:val="center"/>
                    <w:rPr>
                      <w:rFonts w:ascii="Times New Roman" w:hAnsi="Times New Roman" w:cs="Times New Roman"/>
                      <w:bCs/>
                      <w:color w:val="auto"/>
                      <w:szCs w:val="21"/>
                      <w:highlight w:val="none"/>
                      <w:lang w:eastAsia="zh-CN"/>
                    </w:rPr>
                  </w:pPr>
                </w:p>
              </w:tc>
              <w:tc>
                <w:tcPr>
                  <w:tcW w:w="1455" w:type="pct"/>
                  <w:vMerge w:val="continue"/>
                  <w:noWrap w:val="0"/>
                  <w:vAlign w:val="center"/>
                </w:tcPr>
                <w:p w14:paraId="70E55314">
                  <w:pPr>
                    <w:pStyle w:val="87"/>
                    <w:adjustRightInd w:val="0"/>
                    <w:snapToGrid w:val="0"/>
                    <w:spacing w:line="320" w:lineRule="exact"/>
                    <w:jc w:val="center"/>
                    <w:rPr>
                      <w:rFonts w:hint="eastAsia" w:ascii="Times New Roman" w:hAnsi="Times New Roman" w:cs="Times New Roman"/>
                      <w:bCs/>
                      <w:color w:val="auto"/>
                      <w:szCs w:val="21"/>
                      <w:highlight w:val="none"/>
                      <w:lang w:eastAsia="zh-CN"/>
                    </w:rPr>
                  </w:pPr>
                </w:p>
              </w:tc>
            </w:tr>
            <w:tr w14:paraId="4B86CAE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601" w:type="pct"/>
                  <w:noWrap w:val="0"/>
                  <w:vAlign w:val="center"/>
                </w:tcPr>
                <w:p w14:paraId="0DF04D6B">
                  <w:pPr>
                    <w:pStyle w:val="87"/>
                    <w:adjustRightInd w:val="0"/>
                    <w:snapToGrid w:val="0"/>
                    <w:spacing w:line="320" w:lineRule="exact"/>
                    <w:jc w:val="center"/>
                    <w:rPr>
                      <w:rFonts w:ascii="Times New Roman" w:hAnsi="Times New Roman" w:cs="Times New Roman"/>
                      <w:bCs/>
                      <w:color w:val="auto"/>
                      <w:kern w:val="2"/>
                      <w:sz w:val="21"/>
                      <w:szCs w:val="21"/>
                      <w:highlight w:val="none"/>
                      <w:lang w:val="en-US" w:eastAsia="zh-CN" w:bidi="en-US"/>
                    </w:rPr>
                  </w:pPr>
                  <w:r>
                    <w:rPr>
                      <w:rFonts w:ascii="Times New Roman" w:hAnsi="Times New Roman" w:cs="Times New Roman"/>
                      <w:bCs/>
                      <w:color w:val="auto"/>
                      <w:szCs w:val="21"/>
                      <w:highlight w:val="none"/>
                      <w:lang w:eastAsia="zh-CN"/>
                    </w:rPr>
                    <w:t>3</w:t>
                  </w:r>
                </w:p>
              </w:tc>
              <w:tc>
                <w:tcPr>
                  <w:tcW w:w="1197" w:type="pct"/>
                  <w:noWrap w:val="0"/>
                  <w:vAlign w:val="center"/>
                </w:tcPr>
                <w:p w14:paraId="3B7480B5">
                  <w:pPr>
                    <w:adjustRightInd w:val="0"/>
                    <w:snapToGrid w:val="0"/>
                    <w:spacing w:line="240" w:lineRule="auto"/>
                    <w:ind w:firstLine="0" w:firstLineChars="0"/>
                    <w:jc w:val="center"/>
                    <w:rPr>
                      <w:bCs/>
                      <w:color w:val="auto"/>
                      <w:szCs w:val="21"/>
                      <w:highlight w:val="none"/>
                    </w:rPr>
                  </w:pPr>
                  <w:r>
                    <w:rPr>
                      <w:color w:val="auto"/>
                      <w:sz w:val="21"/>
                      <w:szCs w:val="21"/>
                      <w:highlight w:val="none"/>
                    </w:rPr>
                    <w:t>NOx</w:t>
                  </w:r>
                </w:p>
              </w:tc>
              <w:tc>
                <w:tcPr>
                  <w:tcW w:w="849" w:type="pct"/>
                  <w:noWrap w:val="0"/>
                  <w:vAlign w:val="center"/>
                </w:tcPr>
                <w:p w14:paraId="00395233">
                  <w:pPr>
                    <w:adjustRightInd w:val="0"/>
                    <w:snapToGrid w:val="0"/>
                    <w:spacing w:line="240" w:lineRule="auto"/>
                    <w:ind w:firstLine="0" w:firstLineChars="0"/>
                    <w:jc w:val="center"/>
                    <w:rPr>
                      <w:rFonts w:ascii="Times New Roman" w:hAnsi="Times New Roman" w:cs="Times New Roman"/>
                      <w:bCs/>
                      <w:color w:val="auto"/>
                      <w:szCs w:val="21"/>
                      <w:highlight w:val="none"/>
                      <w:lang w:eastAsia="zh-CN"/>
                    </w:rPr>
                  </w:pPr>
                  <w:r>
                    <w:rPr>
                      <w:rFonts w:hint="eastAsia"/>
                      <w:color w:val="auto"/>
                      <w:sz w:val="21"/>
                      <w:szCs w:val="21"/>
                      <w:highlight w:val="none"/>
                    </w:rPr>
                    <w:t>300</w:t>
                  </w:r>
                </w:p>
              </w:tc>
              <w:tc>
                <w:tcPr>
                  <w:tcW w:w="896" w:type="pct"/>
                  <w:vMerge w:val="continue"/>
                  <w:noWrap w:val="0"/>
                  <w:vAlign w:val="center"/>
                </w:tcPr>
                <w:p w14:paraId="0BACDAAD">
                  <w:pPr>
                    <w:pStyle w:val="87"/>
                    <w:adjustRightInd w:val="0"/>
                    <w:snapToGrid w:val="0"/>
                    <w:spacing w:line="320" w:lineRule="exact"/>
                    <w:jc w:val="center"/>
                    <w:rPr>
                      <w:rFonts w:ascii="Times New Roman" w:hAnsi="Times New Roman" w:cs="Times New Roman"/>
                      <w:bCs/>
                      <w:color w:val="auto"/>
                      <w:szCs w:val="21"/>
                      <w:highlight w:val="none"/>
                      <w:lang w:eastAsia="zh-CN"/>
                    </w:rPr>
                  </w:pPr>
                </w:p>
              </w:tc>
              <w:tc>
                <w:tcPr>
                  <w:tcW w:w="1455" w:type="pct"/>
                  <w:vMerge w:val="continue"/>
                  <w:noWrap w:val="0"/>
                  <w:vAlign w:val="center"/>
                </w:tcPr>
                <w:p w14:paraId="2717238F">
                  <w:pPr>
                    <w:pStyle w:val="87"/>
                    <w:adjustRightInd w:val="0"/>
                    <w:snapToGrid w:val="0"/>
                    <w:spacing w:line="320" w:lineRule="exact"/>
                    <w:jc w:val="center"/>
                    <w:rPr>
                      <w:rFonts w:hint="eastAsia" w:ascii="Times New Roman" w:hAnsi="Times New Roman" w:cs="Times New Roman"/>
                      <w:bCs/>
                      <w:color w:val="auto"/>
                      <w:szCs w:val="21"/>
                      <w:highlight w:val="none"/>
                      <w:lang w:eastAsia="zh-CN"/>
                    </w:rPr>
                  </w:pPr>
                </w:p>
              </w:tc>
            </w:tr>
            <w:tr w14:paraId="7CBA0FC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66" w:hRule="atLeast"/>
                <w:jc w:val="center"/>
              </w:trPr>
              <w:tc>
                <w:tcPr>
                  <w:tcW w:w="601" w:type="pct"/>
                  <w:noWrap w:val="0"/>
                  <w:vAlign w:val="center"/>
                </w:tcPr>
                <w:p w14:paraId="36F00B60">
                  <w:pPr>
                    <w:pStyle w:val="87"/>
                    <w:adjustRightInd w:val="0"/>
                    <w:snapToGrid w:val="0"/>
                    <w:spacing w:line="320" w:lineRule="exact"/>
                    <w:jc w:val="center"/>
                    <w:rPr>
                      <w:rFonts w:hint="default" w:ascii="Times New Roman" w:hAnsi="Times New Roman" w:cs="Times New Roman"/>
                      <w:bCs/>
                      <w:color w:val="auto"/>
                      <w:szCs w:val="21"/>
                      <w:highlight w:val="none"/>
                      <w:lang w:val="en-US" w:eastAsia="zh-CN"/>
                    </w:rPr>
                  </w:pPr>
                  <w:r>
                    <w:rPr>
                      <w:rFonts w:hint="eastAsia" w:ascii="Times New Roman" w:hAnsi="Times New Roman" w:cs="Times New Roman"/>
                      <w:bCs/>
                      <w:color w:val="auto"/>
                      <w:szCs w:val="21"/>
                      <w:highlight w:val="none"/>
                      <w:lang w:val="en-US" w:eastAsia="zh-CN"/>
                    </w:rPr>
                    <w:t>4</w:t>
                  </w:r>
                </w:p>
              </w:tc>
              <w:tc>
                <w:tcPr>
                  <w:tcW w:w="1197" w:type="pct"/>
                  <w:noWrap w:val="0"/>
                  <w:vAlign w:val="center"/>
                </w:tcPr>
                <w:p w14:paraId="2F5B8FF0">
                  <w:pPr>
                    <w:adjustRightInd w:val="0"/>
                    <w:snapToGrid w:val="0"/>
                    <w:spacing w:line="240" w:lineRule="auto"/>
                    <w:ind w:firstLine="0" w:firstLineChars="0"/>
                    <w:jc w:val="center"/>
                    <w:rPr>
                      <w:rFonts w:hint="eastAsia"/>
                      <w:color w:val="auto"/>
                      <w:sz w:val="21"/>
                      <w:szCs w:val="21"/>
                      <w:highlight w:val="none"/>
                    </w:rPr>
                  </w:pPr>
                  <w:r>
                    <w:rPr>
                      <w:rFonts w:hint="eastAsia"/>
                      <w:color w:val="auto"/>
                      <w:sz w:val="21"/>
                      <w:szCs w:val="21"/>
                      <w:highlight w:val="none"/>
                    </w:rPr>
                    <w:t>烟气黑度</w:t>
                  </w:r>
                </w:p>
                <w:p w14:paraId="4C441A39">
                  <w:pPr>
                    <w:adjustRightInd w:val="0"/>
                    <w:snapToGrid w:val="0"/>
                    <w:spacing w:line="240" w:lineRule="auto"/>
                    <w:ind w:firstLine="0" w:firstLineChars="0"/>
                    <w:jc w:val="center"/>
                    <w:rPr>
                      <w:bCs/>
                      <w:color w:val="auto"/>
                      <w:szCs w:val="21"/>
                      <w:highlight w:val="none"/>
                    </w:rPr>
                  </w:pPr>
                  <w:r>
                    <w:rPr>
                      <w:rFonts w:hint="eastAsia"/>
                      <w:color w:val="auto"/>
                      <w:sz w:val="21"/>
                      <w:szCs w:val="21"/>
                      <w:highlight w:val="none"/>
                    </w:rPr>
                    <w:t>（林格曼黑度，级）</w:t>
                  </w:r>
                </w:p>
              </w:tc>
              <w:tc>
                <w:tcPr>
                  <w:tcW w:w="849" w:type="pct"/>
                  <w:noWrap w:val="0"/>
                  <w:vAlign w:val="center"/>
                </w:tcPr>
                <w:p w14:paraId="7391EB38">
                  <w:pPr>
                    <w:adjustRightInd w:val="0"/>
                    <w:snapToGrid w:val="0"/>
                    <w:spacing w:line="240" w:lineRule="auto"/>
                    <w:ind w:firstLine="0" w:firstLineChars="0"/>
                    <w:jc w:val="center"/>
                    <w:rPr>
                      <w:rFonts w:ascii="Times New Roman" w:hAnsi="Times New Roman" w:cs="Times New Roman"/>
                      <w:bCs/>
                      <w:color w:val="auto"/>
                      <w:szCs w:val="21"/>
                      <w:highlight w:val="none"/>
                      <w:lang w:eastAsia="zh-CN"/>
                    </w:rPr>
                  </w:pPr>
                  <w:r>
                    <w:rPr>
                      <w:rFonts w:hint="eastAsia"/>
                      <w:color w:val="auto"/>
                      <w:sz w:val="21"/>
                      <w:szCs w:val="21"/>
                      <w:highlight w:val="none"/>
                    </w:rPr>
                    <w:t>≤1</w:t>
                  </w:r>
                </w:p>
              </w:tc>
              <w:tc>
                <w:tcPr>
                  <w:tcW w:w="896" w:type="pct"/>
                  <w:vMerge w:val="continue"/>
                  <w:noWrap w:val="0"/>
                  <w:vAlign w:val="center"/>
                </w:tcPr>
                <w:p w14:paraId="7C141E34">
                  <w:pPr>
                    <w:pStyle w:val="87"/>
                    <w:adjustRightInd w:val="0"/>
                    <w:snapToGrid w:val="0"/>
                    <w:spacing w:line="320" w:lineRule="exact"/>
                    <w:jc w:val="center"/>
                    <w:rPr>
                      <w:rFonts w:ascii="Times New Roman" w:hAnsi="Times New Roman" w:cs="Times New Roman"/>
                      <w:bCs/>
                      <w:color w:val="auto"/>
                      <w:szCs w:val="21"/>
                      <w:highlight w:val="none"/>
                      <w:lang w:eastAsia="zh-CN"/>
                    </w:rPr>
                  </w:pPr>
                </w:p>
              </w:tc>
              <w:tc>
                <w:tcPr>
                  <w:tcW w:w="1455" w:type="pct"/>
                  <w:vMerge w:val="continue"/>
                  <w:noWrap w:val="0"/>
                  <w:vAlign w:val="center"/>
                </w:tcPr>
                <w:p w14:paraId="7B3ABA37">
                  <w:pPr>
                    <w:pStyle w:val="87"/>
                    <w:adjustRightInd w:val="0"/>
                    <w:snapToGrid w:val="0"/>
                    <w:spacing w:line="320" w:lineRule="exact"/>
                    <w:jc w:val="center"/>
                    <w:rPr>
                      <w:rFonts w:hint="eastAsia" w:ascii="Times New Roman" w:hAnsi="Times New Roman" w:cs="Times New Roman"/>
                      <w:bCs/>
                      <w:color w:val="auto"/>
                      <w:szCs w:val="21"/>
                      <w:highlight w:val="none"/>
                      <w:lang w:eastAsia="zh-CN"/>
                    </w:rPr>
                  </w:pPr>
                </w:p>
              </w:tc>
            </w:tr>
          </w:tbl>
          <w:p w14:paraId="59131577">
            <w:pPr>
              <w:bidi w:val="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②导热油炉燃烧废气</w:t>
            </w:r>
          </w:p>
          <w:p w14:paraId="107AE090">
            <w:pPr>
              <w:bidi w:val="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项目导热油炉以天然气为燃料，对沥青原料进行加热，根据《重点区域大气污染防治“十二五”规划》，福州属于海峡西岸城市群重点控制区，燃天然气废气排放执行《锅炉大气污染物排放标准》（</w:t>
            </w:r>
            <w:r>
              <w:rPr>
                <w:rFonts w:hint="default" w:ascii="Times New Roman" w:hAnsi="Times New Roman" w:eastAsia="宋体" w:cs="Times New Roman"/>
                <w:color w:val="auto"/>
                <w:highlight w:val="none"/>
                <w:lang w:val="en-US" w:eastAsia="zh-CN"/>
              </w:rPr>
              <w:t>GB13271-2014</w:t>
            </w:r>
            <w:r>
              <w:rPr>
                <w:rFonts w:hint="eastAsia" w:ascii="Times New Roman" w:hAnsi="Times New Roman" w:eastAsia="宋体" w:cs="Times New Roman"/>
                <w:color w:val="auto"/>
                <w:highlight w:val="none"/>
                <w:lang w:val="en-US" w:eastAsia="zh-CN"/>
              </w:rPr>
              <w:t>）中表</w:t>
            </w:r>
            <w:r>
              <w:rPr>
                <w:rFonts w:hint="eastAsia" w:cs="Times New Roman"/>
                <w:color w:val="auto"/>
                <w:highlight w:val="none"/>
                <w:lang w:val="en-US" w:eastAsia="zh-CN"/>
              </w:rPr>
              <w:t>3</w:t>
            </w:r>
            <w:r>
              <w:rPr>
                <w:rFonts w:hint="eastAsia" w:ascii="Times New Roman" w:hAnsi="Times New Roman" w:eastAsia="宋体" w:cs="Times New Roman"/>
                <w:color w:val="auto"/>
                <w:highlight w:val="none"/>
                <w:lang w:val="en-US" w:eastAsia="zh-CN"/>
              </w:rPr>
              <w:t>大气污染物特别排放限值中的燃气锅炉标准。</w:t>
            </w:r>
            <w:r>
              <w:rPr>
                <w:rFonts w:hint="eastAsia"/>
                <w:color w:val="auto"/>
                <w:highlight w:val="none"/>
                <w:lang w:val="en-US" w:eastAsia="zh-CN"/>
              </w:rPr>
              <w:t>一期、二期</w:t>
            </w:r>
            <w:r>
              <w:rPr>
                <w:rFonts w:hint="eastAsia" w:ascii="Times New Roman" w:hAnsi="Times New Roman" w:eastAsia="宋体" w:cs="Times New Roman"/>
                <w:color w:val="auto"/>
                <w:highlight w:val="none"/>
                <w:lang w:val="en-US" w:eastAsia="zh-CN"/>
              </w:rPr>
              <w:t>导热油炉废气经“低氮燃烧”处理后</w:t>
            </w:r>
            <w:r>
              <w:rPr>
                <w:rFonts w:hint="eastAsia" w:cs="Times New Roman"/>
                <w:color w:val="auto"/>
                <w:highlight w:val="none"/>
                <w:lang w:val="en-US" w:eastAsia="zh-CN"/>
              </w:rPr>
              <w:t>分别</w:t>
            </w:r>
            <w:r>
              <w:rPr>
                <w:rFonts w:hint="eastAsia" w:ascii="Times New Roman" w:hAnsi="Times New Roman" w:eastAsia="宋体" w:cs="Times New Roman"/>
                <w:color w:val="auto"/>
                <w:highlight w:val="none"/>
                <w:lang w:val="en-US" w:eastAsia="zh-CN"/>
              </w:rPr>
              <w:t>通过1根</w:t>
            </w:r>
            <w:r>
              <w:rPr>
                <w:rFonts w:hint="eastAsia" w:cs="Times New Roman"/>
                <w:color w:val="auto"/>
                <w:highlight w:val="none"/>
                <w:lang w:val="en-US" w:eastAsia="zh-CN"/>
              </w:rPr>
              <w:t>8</w:t>
            </w:r>
            <w:r>
              <w:rPr>
                <w:rFonts w:hint="eastAsia" w:ascii="Times New Roman" w:hAnsi="Times New Roman" w:eastAsia="宋体" w:cs="Times New Roman"/>
                <w:color w:val="auto"/>
                <w:highlight w:val="none"/>
                <w:lang w:val="en-US" w:eastAsia="zh-CN"/>
              </w:rPr>
              <w:t>m高排气筒（DA002</w:t>
            </w:r>
            <w:r>
              <w:rPr>
                <w:rFonts w:hint="eastAsia" w:cs="Times New Roman"/>
                <w:color w:val="auto"/>
                <w:highlight w:val="none"/>
                <w:lang w:val="en-US" w:eastAsia="zh-CN"/>
              </w:rPr>
              <w:t>、DA005</w:t>
            </w:r>
            <w:r>
              <w:rPr>
                <w:rFonts w:hint="eastAsia" w:ascii="Times New Roman" w:hAnsi="Times New Roman" w:eastAsia="宋体" w:cs="Times New Roman"/>
                <w:color w:val="auto"/>
                <w:highlight w:val="none"/>
                <w:lang w:val="en-US" w:eastAsia="zh-CN"/>
              </w:rPr>
              <w:t>）排放，导热油炉废气</w:t>
            </w:r>
            <w:r>
              <w:rPr>
                <w:rFonts w:hint="eastAsia"/>
                <w:color w:val="auto"/>
                <w:highlight w:val="none"/>
              </w:rPr>
              <w:t>排放执行标准</w:t>
            </w:r>
            <w:r>
              <w:rPr>
                <w:color w:val="auto"/>
                <w:highlight w:val="none"/>
              </w:rPr>
              <w:t>详见表</w:t>
            </w:r>
            <w:r>
              <w:rPr>
                <w:rFonts w:hint="eastAsia"/>
                <w:color w:val="auto"/>
                <w:highlight w:val="none"/>
              </w:rPr>
              <w:t>3.7-</w:t>
            </w:r>
            <w:r>
              <w:rPr>
                <w:rFonts w:hint="eastAsia"/>
                <w:color w:val="auto"/>
                <w:highlight w:val="none"/>
                <w:lang w:val="en-US" w:eastAsia="zh-CN"/>
              </w:rPr>
              <w:t>3。</w:t>
            </w:r>
          </w:p>
          <w:p w14:paraId="6DFC973D">
            <w:pPr>
              <w:bidi w:val="0"/>
              <w:ind w:left="0" w:leftChars="0" w:firstLine="0" w:firstLineChars="0"/>
              <w:jc w:val="center"/>
              <w:rPr>
                <w:rFonts w:hint="eastAsia" w:ascii="Times New Roman" w:hAnsi="Times New Roman" w:eastAsia="宋体" w:cs="Times New Roman"/>
                <w:color w:val="auto"/>
                <w:highlight w:val="none"/>
                <w:lang w:val="en-US" w:eastAsia="zh-CN"/>
              </w:rPr>
            </w:pPr>
            <w:r>
              <w:rPr>
                <w:rFonts w:hint="eastAsia"/>
                <w:b/>
                <w:bCs/>
                <w:color w:val="auto"/>
                <w:highlight w:val="none"/>
                <w:lang w:val="en-US" w:eastAsia="zh-CN"/>
              </w:rPr>
              <w:t>表</w:t>
            </w:r>
            <w:r>
              <w:rPr>
                <w:rFonts w:hint="eastAsia" w:ascii="Times New Roman" w:hAnsi="Times New Roman" w:eastAsia="宋体" w:cs="Times New Roman"/>
                <w:b/>
                <w:bCs/>
                <w:color w:val="auto"/>
                <w:highlight w:val="none"/>
                <w:lang w:val="en-US" w:eastAsia="zh-CN"/>
              </w:rPr>
              <w:t>3.7-</w:t>
            </w:r>
            <w:r>
              <w:rPr>
                <w:rFonts w:hint="eastAsia" w:cs="Times New Roman"/>
                <w:b/>
                <w:bCs/>
                <w:color w:val="auto"/>
                <w:highlight w:val="none"/>
                <w:lang w:val="en-US" w:eastAsia="zh-CN"/>
              </w:rPr>
              <w:t>3</w:t>
            </w:r>
            <w:r>
              <w:rPr>
                <w:rFonts w:hint="eastAsia" w:ascii="Times New Roman" w:hAnsi="Times New Roman" w:eastAsia="宋体" w:cs="Times New Roman"/>
                <w:b/>
                <w:bCs/>
                <w:color w:val="auto"/>
                <w:highlight w:val="none"/>
                <w:lang w:val="en-US" w:eastAsia="zh-CN"/>
              </w:rPr>
              <w:t xml:space="preserve">  导热油炉废气排放标准</w:t>
            </w:r>
          </w:p>
          <w:tbl>
            <w:tblPr>
              <w:tblStyle w:val="27"/>
              <w:tblW w:w="8157"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982"/>
              <w:gridCol w:w="1953"/>
              <w:gridCol w:w="1386"/>
              <w:gridCol w:w="1462"/>
              <w:gridCol w:w="2374"/>
            </w:tblGrid>
            <w:tr w14:paraId="6C93809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5" w:hRule="atLeast"/>
                <w:jc w:val="center"/>
              </w:trPr>
              <w:tc>
                <w:tcPr>
                  <w:tcW w:w="601" w:type="pct"/>
                  <w:noWrap w:val="0"/>
                  <w:vAlign w:val="center"/>
                </w:tcPr>
                <w:p w14:paraId="135E5AA1">
                  <w:pPr>
                    <w:pStyle w:val="87"/>
                    <w:adjustRightInd w:val="0"/>
                    <w:snapToGrid w:val="0"/>
                    <w:spacing w:line="320" w:lineRule="exact"/>
                    <w:jc w:val="center"/>
                    <w:rPr>
                      <w:rFonts w:ascii="Times New Roman" w:hAnsi="Times New Roman" w:cs="Times New Roman"/>
                      <w:b/>
                      <w:color w:val="auto"/>
                      <w:szCs w:val="21"/>
                      <w:highlight w:val="none"/>
                      <w:lang w:eastAsia="zh-CN"/>
                    </w:rPr>
                  </w:pPr>
                  <w:r>
                    <w:rPr>
                      <w:rFonts w:ascii="Times New Roman" w:hAnsi="Times New Roman" w:cs="Times New Roman"/>
                      <w:b/>
                      <w:color w:val="auto"/>
                      <w:szCs w:val="21"/>
                      <w:highlight w:val="none"/>
                      <w:lang w:eastAsia="zh-CN"/>
                    </w:rPr>
                    <w:t>序号</w:t>
                  </w:r>
                </w:p>
              </w:tc>
              <w:tc>
                <w:tcPr>
                  <w:tcW w:w="1197" w:type="pct"/>
                  <w:noWrap w:val="0"/>
                  <w:vAlign w:val="center"/>
                </w:tcPr>
                <w:p w14:paraId="6BD79CD4">
                  <w:pPr>
                    <w:pStyle w:val="87"/>
                    <w:adjustRightInd w:val="0"/>
                    <w:snapToGrid w:val="0"/>
                    <w:spacing w:line="320" w:lineRule="exact"/>
                    <w:jc w:val="center"/>
                    <w:rPr>
                      <w:rFonts w:ascii="Times New Roman" w:hAnsi="Times New Roman" w:cs="Times New Roman"/>
                      <w:b/>
                      <w:color w:val="auto"/>
                      <w:szCs w:val="21"/>
                      <w:highlight w:val="none"/>
                      <w:lang w:eastAsia="zh-CN"/>
                    </w:rPr>
                  </w:pPr>
                  <w:r>
                    <w:rPr>
                      <w:rFonts w:ascii="Times New Roman" w:hAnsi="Times New Roman" w:cs="Times New Roman"/>
                      <w:b/>
                      <w:color w:val="auto"/>
                      <w:szCs w:val="21"/>
                      <w:highlight w:val="none"/>
                      <w:lang w:eastAsia="zh-CN"/>
                    </w:rPr>
                    <w:t>污染物项目</w:t>
                  </w:r>
                </w:p>
              </w:tc>
              <w:tc>
                <w:tcPr>
                  <w:tcW w:w="849" w:type="pct"/>
                  <w:noWrap w:val="0"/>
                  <w:vAlign w:val="center"/>
                </w:tcPr>
                <w:p w14:paraId="76D4F484">
                  <w:pPr>
                    <w:pStyle w:val="87"/>
                    <w:adjustRightInd w:val="0"/>
                    <w:snapToGrid w:val="0"/>
                    <w:spacing w:line="320" w:lineRule="exact"/>
                    <w:jc w:val="center"/>
                    <w:rPr>
                      <w:rFonts w:ascii="Times New Roman" w:hAnsi="Times New Roman" w:cs="Times New Roman"/>
                      <w:b/>
                      <w:color w:val="auto"/>
                      <w:szCs w:val="21"/>
                      <w:highlight w:val="none"/>
                      <w:lang w:eastAsia="zh-CN"/>
                    </w:rPr>
                  </w:pPr>
                  <w:r>
                    <w:rPr>
                      <w:rFonts w:ascii="Times New Roman" w:hAnsi="Times New Roman" w:cs="Times New Roman"/>
                      <w:b/>
                      <w:color w:val="auto"/>
                      <w:szCs w:val="21"/>
                      <w:highlight w:val="none"/>
                      <w:lang w:eastAsia="zh-CN"/>
                    </w:rPr>
                    <w:t>排放</w:t>
                  </w:r>
                  <w:r>
                    <w:rPr>
                      <w:rFonts w:hint="eastAsia" w:ascii="Times New Roman" w:hAnsi="Times New Roman" w:cs="Times New Roman"/>
                      <w:b/>
                      <w:color w:val="auto"/>
                      <w:szCs w:val="21"/>
                      <w:highlight w:val="none"/>
                      <w:lang w:val="en-US" w:eastAsia="zh-CN"/>
                    </w:rPr>
                    <w:t>浓度</w:t>
                  </w:r>
                  <w:r>
                    <w:rPr>
                      <w:rFonts w:ascii="Times New Roman" w:hAnsi="Times New Roman" w:cs="Times New Roman"/>
                      <w:b/>
                      <w:color w:val="auto"/>
                      <w:szCs w:val="21"/>
                      <w:highlight w:val="none"/>
                      <w:lang w:eastAsia="zh-CN"/>
                    </w:rPr>
                    <w:t>（mg/m</w:t>
                  </w:r>
                  <w:r>
                    <w:rPr>
                      <w:rFonts w:ascii="Times New Roman" w:hAnsi="Times New Roman" w:cs="Times New Roman"/>
                      <w:b/>
                      <w:color w:val="auto"/>
                      <w:szCs w:val="21"/>
                      <w:highlight w:val="none"/>
                      <w:vertAlign w:val="superscript"/>
                      <w:lang w:eastAsia="zh-CN"/>
                    </w:rPr>
                    <w:t>3</w:t>
                  </w:r>
                  <w:r>
                    <w:rPr>
                      <w:rFonts w:ascii="Times New Roman" w:hAnsi="Times New Roman" w:cs="Times New Roman"/>
                      <w:b/>
                      <w:color w:val="auto"/>
                      <w:szCs w:val="21"/>
                      <w:highlight w:val="none"/>
                      <w:lang w:eastAsia="zh-CN"/>
                    </w:rPr>
                    <w:t>）</w:t>
                  </w:r>
                </w:p>
              </w:tc>
              <w:tc>
                <w:tcPr>
                  <w:tcW w:w="896" w:type="pct"/>
                  <w:noWrap w:val="0"/>
                  <w:vAlign w:val="center"/>
                </w:tcPr>
                <w:p w14:paraId="2E2FDB9D">
                  <w:pPr>
                    <w:pStyle w:val="87"/>
                    <w:adjustRightInd w:val="0"/>
                    <w:snapToGrid w:val="0"/>
                    <w:spacing w:line="320" w:lineRule="exact"/>
                    <w:jc w:val="center"/>
                    <w:rPr>
                      <w:rFonts w:ascii="Times New Roman" w:hAnsi="Times New Roman" w:cs="Times New Roman"/>
                      <w:b/>
                      <w:color w:val="auto"/>
                      <w:szCs w:val="21"/>
                      <w:highlight w:val="none"/>
                      <w:lang w:eastAsia="zh-CN"/>
                    </w:rPr>
                  </w:pPr>
                  <w:r>
                    <w:rPr>
                      <w:rFonts w:ascii="Times New Roman" w:hAnsi="Times New Roman" w:cs="Times New Roman"/>
                      <w:b/>
                      <w:color w:val="auto"/>
                      <w:szCs w:val="21"/>
                      <w:highlight w:val="none"/>
                      <w:lang w:eastAsia="zh-CN"/>
                    </w:rPr>
                    <w:t>污染物排放监控位置</w:t>
                  </w:r>
                </w:p>
              </w:tc>
              <w:tc>
                <w:tcPr>
                  <w:tcW w:w="1455" w:type="pct"/>
                  <w:noWrap w:val="0"/>
                  <w:vAlign w:val="center"/>
                </w:tcPr>
                <w:p w14:paraId="14FF8EEB">
                  <w:pPr>
                    <w:pStyle w:val="87"/>
                    <w:adjustRightInd w:val="0"/>
                    <w:snapToGrid w:val="0"/>
                    <w:spacing w:line="320" w:lineRule="exact"/>
                    <w:jc w:val="center"/>
                    <w:rPr>
                      <w:rFonts w:ascii="Times New Roman" w:hAnsi="Times New Roman" w:cs="Times New Roman"/>
                      <w:b/>
                      <w:color w:val="auto"/>
                      <w:szCs w:val="21"/>
                      <w:highlight w:val="none"/>
                      <w:lang w:eastAsia="zh-CN"/>
                    </w:rPr>
                  </w:pPr>
                  <w:r>
                    <w:rPr>
                      <w:rFonts w:hint="eastAsia" w:ascii="Times New Roman" w:hAnsi="Times New Roman" w:cs="Times New Roman"/>
                      <w:b/>
                      <w:color w:val="auto"/>
                      <w:szCs w:val="21"/>
                      <w:highlight w:val="none"/>
                      <w:lang w:eastAsia="zh-CN"/>
                    </w:rPr>
                    <w:t>标准</w:t>
                  </w:r>
                </w:p>
              </w:tc>
            </w:tr>
            <w:tr w14:paraId="3133942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601" w:type="pct"/>
                  <w:noWrap w:val="0"/>
                  <w:vAlign w:val="center"/>
                </w:tcPr>
                <w:p w14:paraId="420AFFFA">
                  <w:pPr>
                    <w:pStyle w:val="87"/>
                    <w:adjustRightInd w:val="0"/>
                    <w:snapToGrid w:val="0"/>
                    <w:spacing w:line="320" w:lineRule="exact"/>
                    <w:jc w:val="center"/>
                    <w:rPr>
                      <w:rFonts w:ascii="Times New Roman" w:hAnsi="Times New Roman" w:cs="Times New Roman"/>
                      <w:bCs/>
                      <w:color w:val="auto"/>
                      <w:kern w:val="2"/>
                      <w:sz w:val="21"/>
                      <w:szCs w:val="21"/>
                      <w:highlight w:val="none"/>
                      <w:lang w:val="en-US" w:eastAsia="zh-CN" w:bidi="en-US"/>
                    </w:rPr>
                  </w:pPr>
                  <w:r>
                    <w:rPr>
                      <w:rFonts w:ascii="Times New Roman" w:hAnsi="Times New Roman" w:cs="Times New Roman"/>
                      <w:bCs/>
                      <w:color w:val="auto"/>
                      <w:szCs w:val="21"/>
                      <w:highlight w:val="none"/>
                      <w:lang w:eastAsia="zh-CN"/>
                    </w:rPr>
                    <w:t>1</w:t>
                  </w:r>
                </w:p>
              </w:tc>
              <w:tc>
                <w:tcPr>
                  <w:tcW w:w="1197" w:type="pct"/>
                  <w:noWrap w:val="0"/>
                  <w:vAlign w:val="center"/>
                </w:tcPr>
                <w:p w14:paraId="0135AE5D">
                  <w:pPr>
                    <w:adjustRightInd w:val="0"/>
                    <w:snapToGrid w:val="0"/>
                    <w:spacing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颗粒物</w:t>
                  </w:r>
                </w:p>
              </w:tc>
              <w:tc>
                <w:tcPr>
                  <w:tcW w:w="849" w:type="pct"/>
                  <w:noWrap w:val="0"/>
                  <w:vAlign w:val="center"/>
                </w:tcPr>
                <w:p w14:paraId="1F627D8D">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w:t>
                  </w:r>
                </w:p>
              </w:tc>
              <w:tc>
                <w:tcPr>
                  <w:tcW w:w="896" w:type="pct"/>
                  <w:vMerge w:val="restart"/>
                  <w:noWrap w:val="0"/>
                  <w:vAlign w:val="center"/>
                </w:tcPr>
                <w:p w14:paraId="26D4D2D0">
                  <w:pPr>
                    <w:pStyle w:val="87"/>
                    <w:adjustRightInd w:val="0"/>
                    <w:snapToGrid w:val="0"/>
                    <w:spacing w:line="320" w:lineRule="exact"/>
                    <w:jc w:val="center"/>
                    <w:rPr>
                      <w:rFonts w:ascii="Times New Roman" w:hAnsi="Times New Roman" w:cs="Times New Roman"/>
                      <w:bCs/>
                      <w:color w:val="auto"/>
                      <w:szCs w:val="21"/>
                      <w:highlight w:val="none"/>
                      <w:lang w:eastAsia="zh-CN"/>
                    </w:rPr>
                  </w:pPr>
                  <w:r>
                    <w:rPr>
                      <w:rFonts w:hint="eastAsia" w:ascii="Times New Roman" w:hAnsi="Times New Roman" w:cs="Times New Roman"/>
                      <w:bCs/>
                      <w:color w:val="auto"/>
                      <w:szCs w:val="21"/>
                      <w:highlight w:val="none"/>
                      <w:lang w:eastAsia="zh-CN"/>
                    </w:rPr>
                    <w:t>DA00</w:t>
                  </w:r>
                  <w:r>
                    <w:rPr>
                      <w:rFonts w:hint="eastAsia" w:ascii="Times New Roman" w:hAnsi="Times New Roman" w:cs="Times New Roman"/>
                      <w:bCs/>
                      <w:color w:val="auto"/>
                      <w:szCs w:val="21"/>
                      <w:highlight w:val="none"/>
                      <w:lang w:val="en-US" w:eastAsia="zh-CN"/>
                    </w:rPr>
                    <w:t>2</w:t>
                  </w:r>
                  <w:r>
                    <w:rPr>
                      <w:rFonts w:hint="eastAsia" w:ascii="Times New Roman" w:hAnsi="Times New Roman" w:cs="Times New Roman"/>
                      <w:bCs/>
                      <w:color w:val="auto"/>
                      <w:szCs w:val="21"/>
                      <w:highlight w:val="none"/>
                      <w:lang w:eastAsia="zh-CN"/>
                    </w:rPr>
                    <w:t>排气筒</w:t>
                  </w:r>
                </w:p>
              </w:tc>
              <w:tc>
                <w:tcPr>
                  <w:tcW w:w="1455" w:type="pct"/>
                  <w:vMerge w:val="restart"/>
                  <w:noWrap w:val="0"/>
                  <w:vAlign w:val="center"/>
                </w:tcPr>
                <w:p w14:paraId="4FC73985">
                  <w:pPr>
                    <w:pStyle w:val="87"/>
                    <w:adjustRightInd w:val="0"/>
                    <w:snapToGrid w:val="0"/>
                    <w:spacing w:line="320" w:lineRule="exact"/>
                    <w:jc w:val="center"/>
                    <w:rPr>
                      <w:rFonts w:hint="eastAsia" w:ascii="Times New Roman" w:hAnsi="Times New Roman" w:cs="Times New Roman"/>
                      <w:bCs/>
                      <w:color w:val="auto"/>
                      <w:szCs w:val="21"/>
                      <w:highlight w:val="none"/>
                      <w:lang w:eastAsia="zh-CN"/>
                    </w:rPr>
                  </w:pPr>
                  <w:r>
                    <w:rPr>
                      <w:rFonts w:hint="eastAsia" w:ascii="Times New Roman" w:hAnsi="Times New Roman" w:eastAsia="宋体" w:cs="Times New Roman"/>
                      <w:color w:val="auto"/>
                      <w:highlight w:val="none"/>
                      <w:lang w:val="en-US" w:eastAsia="zh-CN"/>
                    </w:rPr>
                    <w:t>《锅炉大气污染物排放标准》（</w:t>
                  </w:r>
                  <w:r>
                    <w:rPr>
                      <w:rFonts w:hint="default" w:ascii="Times New Roman" w:hAnsi="Times New Roman" w:eastAsia="宋体" w:cs="Times New Roman"/>
                      <w:color w:val="auto"/>
                      <w:highlight w:val="none"/>
                      <w:lang w:val="en-US" w:eastAsia="zh-CN"/>
                    </w:rPr>
                    <w:t>GB13271-2014</w:t>
                  </w:r>
                  <w:r>
                    <w:rPr>
                      <w:rFonts w:hint="eastAsia" w:ascii="Times New Roman" w:hAnsi="Times New Roman" w:eastAsia="宋体" w:cs="Times New Roman"/>
                      <w:color w:val="auto"/>
                      <w:highlight w:val="none"/>
                      <w:lang w:val="en-US" w:eastAsia="zh-CN"/>
                    </w:rPr>
                    <w:t>）</w:t>
                  </w:r>
                </w:p>
              </w:tc>
            </w:tr>
            <w:tr w14:paraId="4CB6B91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601" w:type="pct"/>
                  <w:noWrap w:val="0"/>
                  <w:vAlign w:val="center"/>
                </w:tcPr>
                <w:p w14:paraId="3A3B563C">
                  <w:pPr>
                    <w:pStyle w:val="87"/>
                    <w:adjustRightInd w:val="0"/>
                    <w:snapToGrid w:val="0"/>
                    <w:spacing w:line="320" w:lineRule="exact"/>
                    <w:jc w:val="center"/>
                    <w:rPr>
                      <w:rFonts w:ascii="Times New Roman" w:hAnsi="Times New Roman" w:cs="Times New Roman"/>
                      <w:bCs/>
                      <w:color w:val="auto"/>
                      <w:kern w:val="2"/>
                      <w:sz w:val="21"/>
                      <w:szCs w:val="21"/>
                      <w:highlight w:val="none"/>
                      <w:lang w:val="en-US" w:eastAsia="zh-CN" w:bidi="en-US"/>
                    </w:rPr>
                  </w:pPr>
                  <w:r>
                    <w:rPr>
                      <w:rFonts w:ascii="Times New Roman" w:hAnsi="Times New Roman" w:cs="Times New Roman"/>
                      <w:bCs/>
                      <w:color w:val="auto"/>
                      <w:szCs w:val="21"/>
                      <w:highlight w:val="none"/>
                      <w:lang w:eastAsia="zh-CN"/>
                    </w:rPr>
                    <w:t>2</w:t>
                  </w:r>
                </w:p>
              </w:tc>
              <w:tc>
                <w:tcPr>
                  <w:tcW w:w="1197" w:type="pct"/>
                  <w:noWrap w:val="0"/>
                  <w:vAlign w:val="center"/>
                </w:tcPr>
                <w:p w14:paraId="0189F9D1">
                  <w:pPr>
                    <w:adjustRightInd w:val="0"/>
                    <w:snapToGrid w:val="0"/>
                    <w:spacing w:line="240" w:lineRule="auto"/>
                    <w:ind w:firstLine="0" w:firstLineChars="0"/>
                    <w:jc w:val="center"/>
                    <w:rPr>
                      <w:rFonts w:ascii="Times New Roman" w:hAnsi="Times New Roman" w:cs="Times New Roman"/>
                      <w:bCs/>
                      <w:color w:val="auto"/>
                      <w:szCs w:val="21"/>
                      <w:highlight w:val="none"/>
                      <w:lang w:eastAsia="zh-CN"/>
                    </w:rPr>
                  </w:pPr>
                  <w:r>
                    <w:rPr>
                      <w:color w:val="auto"/>
                      <w:sz w:val="21"/>
                      <w:szCs w:val="21"/>
                      <w:highlight w:val="none"/>
                    </w:rPr>
                    <w:t>SO</w:t>
                  </w:r>
                  <w:r>
                    <w:rPr>
                      <w:color w:val="auto"/>
                      <w:sz w:val="21"/>
                      <w:szCs w:val="21"/>
                      <w:highlight w:val="none"/>
                      <w:vertAlign w:val="subscript"/>
                    </w:rPr>
                    <w:t>2</w:t>
                  </w:r>
                </w:p>
              </w:tc>
              <w:tc>
                <w:tcPr>
                  <w:tcW w:w="849" w:type="pct"/>
                  <w:noWrap w:val="0"/>
                  <w:vAlign w:val="center"/>
                </w:tcPr>
                <w:p w14:paraId="4158FFA8">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50</w:t>
                  </w:r>
                </w:p>
              </w:tc>
              <w:tc>
                <w:tcPr>
                  <w:tcW w:w="896" w:type="pct"/>
                  <w:vMerge w:val="continue"/>
                  <w:noWrap w:val="0"/>
                  <w:vAlign w:val="center"/>
                </w:tcPr>
                <w:p w14:paraId="2D3FE454">
                  <w:pPr>
                    <w:pStyle w:val="87"/>
                    <w:adjustRightInd w:val="0"/>
                    <w:snapToGrid w:val="0"/>
                    <w:spacing w:line="320" w:lineRule="exact"/>
                    <w:jc w:val="center"/>
                    <w:rPr>
                      <w:rFonts w:ascii="Times New Roman" w:hAnsi="Times New Roman" w:cs="Times New Roman"/>
                      <w:bCs/>
                      <w:color w:val="auto"/>
                      <w:szCs w:val="21"/>
                      <w:highlight w:val="none"/>
                      <w:lang w:eastAsia="zh-CN"/>
                    </w:rPr>
                  </w:pPr>
                </w:p>
              </w:tc>
              <w:tc>
                <w:tcPr>
                  <w:tcW w:w="1455" w:type="pct"/>
                  <w:vMerge w:val="continue"/>
                  <w:noWrap w:val="0"/>
                  <w:vAlign w:val="center"/>
                </w:tcPr>
                <w:p w14:paraId="2FD267C0">
                  <w:pPr>
                    <w:pStyle w:val="87"/>
                    <w:adjustRightInd w:val="0"/>
                    <w:snapToGrid w:val="0"/>
                    <w:spacing w:line="320" w:lineRule="exact"/>
                    <w:jc w:val="center"/>
                    <w:rPr>
                      <w:rFonts w:hint="eastAsia" w:ascii="Times New Roman" w:hAnsi="Times New Roman" w:cs="Times New Roman"/>
                      <w:bCs/>
                      <w:color w:val="auto"/>
                      <w:szCs w:val="21"/>
                      <w:highlight w:val="none"/>
                      <w:lang w:eastAsia="zh-CN"/>
                    </w:rPr>
                  </w:pPr>
                </w:p>
              </w:tc>
            </w:tr>
            <w:tr w14:paraId="22243BD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601" w:type="pct"/>
                  <w:noWrap w:val="0"/>
                  <w:vAlign w:val="center"/>
                </w:tcPr>
                <w:p w14:paraId="4805B357">
                  <w:pPr>
                    <w:pStyle w:val="87"/>
                    <w:adjustRightInd w:val="0"/>
                    <w:snapToGrid w:val="0"/>
                    <w:spacing w:line="320" w:lineRule="exact"/>
                    <w:jc w:val="center"/>
                    <w:rPr>
                      <w:rFonts w:ascii="Times New Roman" w:hAnsi="Times New Roman" w:cs="Times New Roman"/>
                      <w:bCs/>
                      <w:color w:val="auto"/>
                      <w:kern w:val="2"/>
                      <w:sz w:val="21"/>
                      <w:szCs w:val="21"/>
                      <w:highlight w:val="none"/>
                      <w:lang w:val="en-US" w:eastAsia="zh-CN" w:bidi="en-US"/>
                    </w:rPr>
                  </w:pPr>
                  <w:r>
                    <w:rPr>
                      <w:rFonts w:ascii="Times New Roman" w:hAnsi="Times New Roman" w:cs="Times New Roman"/>
                      <w:bCs/>
                      <w:color w:val="auto"/>
                      <w:szCs w:val="21"/>
                      <w:highlight w:val="none"/>
                      <w:lang w:eastAsia="zh-CN"/>
                    </w:rPr>
                    <w:t>3</w:t>
                  </w:r>
                </w:p>
              </w:tc>
              <w:tc>
                <w:tcPr>
                  <w:tcW w:w="1197" w:type="pct"/>
                  <w:noWrap w:val="0"/>
                  <w:vAlign w:val="center"/>
                </w:tcPr>
                <w:p w14:paraId="76C28FB2">
                  <w:pPr>
                    <w:adjustRightInd w:val="0"/>
                    <w:snapToGrid w:val="0"/>
                    <w:spacing w:line="240" w:lineRule="auto"/>
                    <w:ind w:firstLine="0" w:firstLineChars="0"/>
                    <w:jc w:val="center"/>
                    <w:rPr>
                      <w:bCs/>
                      <w:color w:val="auto"/>
                      <w:szCs w:val="21"/>
                      <w:highlight w:val="none"/>
                    </w:rPr>
                  </w:pPr>
                  <w:r>
                    <w:rPr>
                      <w:color w:val="auto"/>
                      <w:sz w:val="21"/>
                      <w:szCs w:val="21"/>
                      <w:highlight w:val="none"/>
                    </w:rPr>
                    <w:t>NOx</w:t>
                  </w:r>
                </w:p>
              </w:tc>
              <w:tc>
                <w:tcPr>
                  <w:tcW w:w="849" w:type="pct"/>
                  <w:noWrap w:val="0"/>
                  <w:vAlign w:val="center"/>
                </w:tcPr>
                <w:p w14:paraId="363E5588">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150</w:t>
                  </w:r>
                </w:p>
              </w:tc>
              <w:tc>
                <w:tcPr>
                  <w:tcW w:w="896" w:type="pct"/>
                  <w:vMerge w:val="continue"/>
                  <w:noWrap w:val="0"/>
                  <w:vAlign w:val="center"/>
                </w:tcPr>
                <w:p w14:paraId="02B3A03E">
                  <w:pPr>
                    <w:pStyle w:val="87"/>
                    <w:adjustRightInd w:val="0"/>
                    <w:snapToGrid w:val="0"/>
                    <w:spacing w:line="320" w:lineRule="exact"/>
                    <w:jc w:val="center"/>
                    <w:rPr>
                      <w:rFonts w:ascii="Times New Roman" w:hAnsi="Times New Roman" w:cs="Times New Roman"/>
                      <w:bCs/>
                      <w:color w:val="auto"/>
                      <w:szCs w:val="21"/>
                      <w:highlight w:val="none"/>
                      <w:lang w:eastAsia="zh-CN"/>
                    </w:rPr>
                  </w:pPr>
                </w:p>
              </w:tc>
              <w:tc>
                <w:tcPr>
                  <w:tcW w:w="1455" w:type="pct"/>
                  <w:vMerge w:val="continue"/>
                  <w:noWrap w:val="0"/>
                  <w:vAlign w:val="center"/>
                </w:tcPr>
                <w:p w14:paraId="6ECC3DFC">
                  <w:pPr>
                    <w:pStyle w:val="87"/>
                    <w:adjustRightInd w:val="0"/>
                    <w:snapToGrid w:val="0"/>
                    <w:spacing w:line="320" w:lineRule="exact"/>
                    <w:jc w:val="center"/>
                    <w:rPr>
                      <w:rFonts w:hint="eastAsia" w:ascii="Times New Roman" w:hAnsi="Times New Roman" w:cs="Times New Roman"/>
                      <w:bCs/>
                      <w:color w:val="auto"/>
                      <w:szCs w:val="21"/>
                      <w:highlight w:val="none"/>
                      <w:lang w:eastAsia="zh-CN"/>
                    </w:rPr>
                  </w:pPr>
                </w:p>
              </w:tc>
            </w:tr>
            <w:tr w14:paraId="1BBB0F2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66" w:hRule="atLeast"/>
                <w:jc w:val="center"/>
              </w:trPr>
              <w:tc>
                <w:tcPr>
                  <w:tcW w:w="601" w:type="pct"/>
                  <w:noWrap w:val="0"/>
                  <w:vAlign w:val="center"/>
                </w:tcPr>
                <w:p w14:paraId="37B00D73">
                  <w:pPr>
                    <w:pStyle w:val="87"/>
                    <w:adjustRightInd w:val="0"/>
                    <w:snapToGrid w:val="0"/>
                    <w:spacing w:line="320" w:lineRule="exact"/>
                    <w:jc w:val="center"/>
                    <w:rPr>
                      <w:rFonts w:hint="default" w:ascii="Times New Roman" w:hAnsi="Times New Roman" w:cs="Times New Roman"/>
                      <w:bCs/>
                      <w:color w:val="auto"/>
                      <w:szCs w:val="21"/>
                      <w:highlight w:val="none"/>
                      <w:lang w:val="en-US" w:eastAsia="zh-CN"/>
                    </w:rPr>
                  </w:pPr>
                  <w:r>
                    <w:rPr>
                      <w:rFonts w:hint="eastAsia" w:ascii="Times New Roman" w:hAnsi="Times New Roman" w:cs="Times New Roman"/>
                      <w:bCs/>
                      <w:color w:val="auto"/>
                      <w:szCs w:val="21"/>
                      <w:highlight w:val="none"/>
                      <w:lang w:val="en-US" w:eastAsia="zh-CN"/>
                    </w:rPr>
                    <w:t>4</w:t>
                  </w:r>
                </w:p>
              </w:tc>
              <w:tc>
                <w:tcPr>
                  <w:tcW w:w="1197" w:type="pct"/>
                  <w:noWrap w:val="0"/>
                  <w:vAlign w:val="center"/>
                </w:tcPr>
                <w:p w14:paraId="5EA0D782">
                  <w:pPr>
                    <w:adjustRightInd w:val="0"/>
                    <w:snapToGrid w:val="0"/>
                    <w:spacing w:line="240" w:lineRule="auto"/>
                    <w:ind w:firstLine="0" w:firstLineChars="0"/>
                    <w:jc w:val="center"/>
                    <w:rPr>
                      <w:rFonts w:hint="eastAsia"/>
                      <w:color w:val="auto"/>
                      <w:sz w:val="21"/>
                      <w:szCs w:val="21"/>
                      <w:highlight w:val="none"/>
                    </w:rPr>
                  </w:pPr>
                  <w:r>
                    <w:rPr>
                      <w:rFonts w:hint="eastAsia"/>
                      <w:color w:val="auto"/>
                      <w:sz w:val="21"/>
                      <w:szCs w:val="21"/>
                      <w:highlight w:val="none"/>
                    </w:rPr>
                    <w:t>烟气黑度</w:t>
                  </w:r>
                </w:p>
                <w:p w14:paraId="412067CD">
                  <w:pPr>
                    <w:adjustRightInd w:val="0"/>
                    <w:snapToGrid w:val="0"/>
                    <w:spacing w:line="240" w:lineRule="auto"/>
                    <w:ind w:firstLine="0" w:firstLineChars="0"/>
                    <w:jc w:val="center"/>
                    <w:rPr>
                      <w:bCs/>
                      <w:color w:val="auto"/>
                      <w:szCs w:val="21"/>
                      <w:highlight w:val="none"/>
                    </w:rPr>
                  </w:pPr>
                  <w:r>
                    <w:rPr>
                      <w:rFonts w:hint="eastAsia"/>
                      <w:color w:val="auto"/>
                      <w:sz w:val="21"/>
                      <w:szCs w:val="21"/>
                      <w:highlight w:val="none"/>
                    </w:rPr>
                    <w:t>（林格曼黑度，级）</w:t>
                  </w:r>
                </w:p>
              </w:tc>
              <w:tc>
                <w:tcPr>
                  <w:tcW w:w="849" w:type="pct"/>
                  <w:noWrap w:val="0"/>
                  <w:vAlign w:val="center"/>
                </w:tcPr>
                <w:p w14:paraId="1E286511">
                  <w:pPr>
                    <w:adjustRightInd w:val="0"/>
                    <w:snapToGrid w:val="0"/>
                    <w:spacing w:line="240" w:lineRule="auto"/>
                    <w:ind w:firstLine="0" w:firstLineChars="0"/>
                    <w:jc w:val="center"/>
                    <w:rPr>
                      <w:rFonts w:ascii="Times New Roman" w:hAnsi="Times New Roman" w:cs="Times New Roman"/>
                      <w:bCs/>
                      <w:color w:val="auto"/>
                      <w:szCs w:val="21"/>
                      <w:highlight w:val="none"/>
                      <w:lang w:eastAsia="zh-CN"/>
                    </w:rPr>
                  </w:pPr>
                  <w:r>
                    <w:rPr>
                      <w:rFonts w:hint="eastAsia"/>
                      <w:color w:val="auto"/>
                      <w:sz w:val="21"/>
                      <w:szCs w:val="21"/>
                      <w:highlight w:val="none"/>
                    </w:rPr>
                    <w:t>≤1</w:t>
                  </w:r>
                </w:p>
              </w:tc>
              <w:tc>
                <w:tcPr>
                  <w:tcW w:w="896" w:type="pct"/>
                  <w:vMerge w:val="continue"/>
                  <w:noWrap w:val="0"/>
                  <w:vAlign w:val="center"/>
                </w:tcPr>
                <w:p w14:paraId="20DF5C0C">
                  <w:pPr>
                    <w:pStyle w:val="87"/>
                    <w:adjustRightInd w:val="0"/>
                    <w:snapToGrid w:val="0"/>
                    <w:spacing w:line="320" w:lineRule="exact"/>
                    <w:jc w:val="center"/>
                    <w:rPr>
                      <w:rFonts w:ascii="Times New Roman" w:hAnsi="Times New Roman" w:cs="Times New Roman"/>
                      <w:bCs/>
                      <w:color w:val="auto"/>
                      <w:szCs w:val="21"/>
                      <w:highlight w:val="none"/>
                      <w:lang w:eastAsia="zh-CN"/>
                    </w:rPr>
                  </w:pPr>
                </w:p>
              </w:tc>
              <w:tc>
                <w:tcPr>
                  <w:tcW w:w="1455" w:type="pct"/>
                  <w:vMerge w:val="continue"/>
                  <w:noWrap w:val="0"/>
                  <w:vAlign w:val="center"/>
                </w:tcPr>
                <w:p w14:paraId="0DFEF94A">
                  <w:pPr>
                    <w:pStyle w:val="87"/>
                    <w:adjustRightInd w:val="0"/>
                    <w:snapToGrid w:val="0"/>
                    <w:spacing w:line="320" w:lineRule="exact"/>
                    <w:jc w:val="center"/>
                    <w:rPr>
                      <w:rFonts w:hint="eastAsia" w:ascii="Times New Roman" w:hAnsi="Times New Roman" w:cs="Times New Roman"/>
                      <w:bCs/>
                      <w:color w:val="auto"/>
                      <w:szCs w:val="21"/>
                      <w:highlight w:val="none"/>
                      <w:lang w:eastAsia="zh-CN"/>
                    </w:rPr>
                  </w:pPr>
                </w:p>
              </w:tc>
            </w:tr>
          </w:tbl>
          <w:p w14:paraId="4D75CBEA">
            <w:pPr>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③沥青烟废气</w:t>
            </w:r>
          </w:p>
          <w:p w14:paraId="2CC9082A">
            <w:pPr>
              <w:bidi w:val="0"/>
              <w:rPr>
                <w:rFonts w:hint="eastAsia"/>
                <w:color w:val="auto"/>
                <w:highlight w:val="none"/>
                <w:lang w:val="en-US" w:eastAsia="zh-CN"/>
              </w:rPr>
            </w:pPr>
            <w:r>
              <w:rPr>
                <w:rFonts w:hint="eastAsia" w:ascii="Times New Roman" w:hAnsi="Times New Roman" w:eastAsia="宋体" w:cs="Times New Roman"/>
                <w:color w:val="auto"/>
                <w:highlight w:val="none"/>
                <w:lang w:val="en-US" w:eastAsia="zh-CN"/>
              </w:rPr>
              <w:t>项目沥青储罐被间接加热时大小呼吸、沥青搅拌过程、搅拌好的沥青混凝土成品以及乳化沥青成品出料等过程中会散发沥青烟废气（沥青烟、苯并[a]芘、非甲烷总烃），沥青烟、苯并[a]芘、非甲烷总烃有组织排放执行《大气污染物综合排放标准》（</w:t>
            </w:r>
            <w:r>
              <w:rPr>
                <w:rFonts w:hint="default" w:ascii="Times New Roman" w:hAnsi="Times New Roman" w:eastAsia="宋体" w:cs="Times New Roman"/>
                <w:color w:val="auto"/>
                <w:highlight w:val="none"/>
                <w:lang w:val="en-US" w:eastAsia="zh-CN"/>
              </w:rPr>
              <w:t>GB16297-1996</w:t>
            </w:r>
            <w:r>
              <w:rPr>
                <w:rFonts w:hint="eastAsia" w:ascii="Times New Roman" w:hAnsi="Times New Roman" w:eastAsia="宋体" w:cs="Times New Roman"/>
                <w:color w:val="auto"/>
                <w:highlight w:val="none"/>
                <w:lang w:val="en-US" w:eastAsia="zh-CN"/>
              </w:rPr>
              <w:t>）表</w:t>
            </w:r>
            <w:r>
              <w:rPr>
                <w:rFonts w:hint="default" w:ascii="Times New Roman" w:hAnsi="Times New Roman" w:eastAsia="宋体" w:cs="Times New Roman"/>
                <w:color w:val="auto"/>
                <w:highlight w:val="none"/>
                <w:lang w:val="en-US" w:eastAsia="zh-CN"/>
              </w:rPr>
              <w:t>2</w:t>
            </w:r>
            <w:r>
              <w:rPr>
                <w:rFonts w:hint="eastAsia" w:ascii="Times New Roman" w:hAnsi="Times New Roman" w:eastAsia="宋体" w:cs="Times New Roman"/>
                <w:color w:val="auto"/>
                <w:highlight w:val="none"/>
                <w:lang w:val="en-US" w:eastAsia="zh-CN"/>
              </w:rPr>
              <w:t>二级标准。</w:t>
            </w:r>
            <w:r>
              <w:rPr>
                <w:rFonts w:hint="eastAsia"/>
                <w:color w:val="auto"/>
                <w:highlight w:val="none"/>
                <w:lang w:val="en-US" w:eastAsia="zh-CN"/>
              </w:rPr>
              <w:t>一期、二期</w:t>
            </w:r>
            <w:r>
              <w:rPr>
                <w:rFonts w:hint="eastAsia" w:ascii="Times New Roman" w:hAnsi="Times New Roman" w:eastAsia="宋体" w:cs="Times New Roman"/>
                <w:color w:val="auto"/>
                <w:highlight w:val="none"/>
                <w:lang w:val="en-US" w:eastAsia="zh-CN"/>
              </w:rPr>
              <w:t>沥青烟废气经“负压抽吸+喷淋塔+除雾器+活性炭吸附装置”处理后</w:t>
            </w:r>
            <w:r>
              <w:rPr>
                <w:rFonts w:hint="eastAsia" w:cs="Times New Roman"/>
                <w:color w:val="auto"/>
                <w:highlight w:val="none"/>
                <w:lang w:val="en-US" w:eastAsia="zh-CN"/>
              </w:rPr>
              <w:t>分别</w:t>
            </w:r>
            <w:r>
              <w:rPr>
                <w:rFonts w:hint="eastAsia" w:ascii="Times New Roman" w:hAnsi="Times New Roman" w:eastAsia="宋体" w:cs="Times New Roman"/>
                <w:color w:val="auto"/>
                <w:highlight w:val="none"/>
                <w:lang w:val="en-US" w:eastAsia="zh-CN"/>
              </w:rPr>
              <w:t>通过1根15m高排气筒（DA003</w:t>
            </w:r>
            <w:r>
              <w:rPr>
                <w:rFonts w:hint="eastAsia" w:cs="Times New Roman"/>
                <w:color w:val="auto"/>
                <w:highlight w:val="none"/>
                <w:lang w:val="en-US" w:eastAsia="zh-CN"/>
              </w:rPr>
              <w:t>、DA006</w:t>
            </w:r>
            <w:r>
              <w:rPr>
                <w:rFonts w:hint="eastAsia" w:ascii="Times New Roman" w:hAnsi="Times New Roman" w:eastAsia="宋体" w:cs="Times New Roman"/>
                <w:color w:val="auto"/>
                <w:highlight w:val="none"/>
                <w:lang w:val="en-US" w:eastAsia="zh-CN"/>
              </w:rPr>
              <w:t>）排放，沥青烟废气</w:t>
            </w:r>
            <w:r>
              <w:rPr>
                <w:rFonts w:hint="eastAsia"/>
                <w:color w:val="auto"/>
                <w:highlight w:val="none"/>
              </w:rPr>
              <w:t>排放执行标准</w:t>
            </w:r>
            <w:r>
              <w:rPr>
                <w:color w:val="auto"/>
                <w:highlight w:val="none"/>
              </w:rPr>
              <w:t>详见表</w:t>
            </w:r>
            <w:r>
              <w:rPr>
                <w:rFonts w:hint="eastAsia"/>
                <w:color w:val="auto"/>
                <w:highlight w:val="none"/>
              </w:rPr>
              <w:t>3.7-</w:t>
            </w:r>
            <w:r>
              <w:rPr>
                <w:rFonts w:hint="eastAsia"/>
                <w:color w:val="auto"/>
                <w:highlight w:val="none"/>
                <w:lang w:val="en-US" w:eastAsia="zh-CN"/>
              </w:rPr>
              <w:t>4。</w:t>
            </w:r>
          </w:p>
          <w:p w14:paraId="311395D2">
            <w:pPr>
              <w:bidi w:val="0"/>
              <w:ind w:left="0" w:leftChars="0" w:firstLine="0" w:firstLineChars="0"/>
              <w:jc w:val="center"/>
              <w:rPr>
                <w:rFonts w:hint="eastAsia" w:ascii="Times New Roman" w:hAnsi="Times New Roman" w:eastAsia="宋体" w:cs="Times New Roman"/>
                <w:b/>
                <w:bCs/>
                <w:color w:val="auto"/>
                <w:highlight w:val="none"/>
                <w:lang w:val="en-US" w:eastAsia="zh-CN"/>
              </w:rPr>
            </w:pPr>
            <w:r>
              <w:rPr>
                <w:rFonts w:hint="eastAsia"/>
                <w:b/>
                <w:bCs/>
                <w:color w:val="auto"/>
                <w:highlight w:val="none"/>
                <w:lang w:val="en-US" w:eastAsia="zh-CN"/>
              </w:rPr>
              <w:t>表</w:t>
            </w:r>
            <w:r>
              <w:rPr>
                <w:rFonts w:hint="eastAsia" w:ascii="Times New Roman" w:hAnsi="Times New Roman" w:eastAsia="宋体" w:cs="Times New Roman"/>
                <w:b/>
                <w:bCs/>
                <w:color w:val="auto"/>
                <w:highlight w:val="none"/>
                <w:lang w:val="en-US" w:eastAsia="zh-CN"/>
              </w:rPr>
              <w:t>3.7-</w:t>
            </w:r>
            <w:r>
              <w:rPr>
                <w:rFonts w:hint="eastAsia" w:cs="Times New Roman"/>
                <w:b/>
                <w:bCs/>
                <w:color w:val="auto"/>
                <w:highlight w:val="none"/>
                <w:lang w:val="en-US" w:eastAsia="zh-CN"/>
              </w:rPr>
              <w:t>4</w:t>
            </w:r>
            <w:r>
              <w:rPr>
                <w:rFonts w:hint="eastAsia" w:ascii="Times New Roman" w:hAnsi="Times New Roman" w:eastAsia="宋体" w:cs="Times New Roman"/>
                <w:b/>
                <w:bCs/>
                <w:color w:val="auto"/>
                <w:highlight w:val="none"/>
                <w:lang w:val="en-US" w:eastAsia="zh-CN"/>
              </w:rPr>
              <w:t xml:space="preserve">  沥青烟废气排放标准</w:t>
            </w:r>
          </w:p>
          <w:tbl>
            <w:tblPr>
              <w:tblStyle w:val="27"/>
              <w:tblW w:w="8113"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755"/>
              <w:gridCol w:w="1292"/>
              <w:gridCol w:w="1274"/>
              <w:gridCol w:w="930"/>
              <w:gridCol w:w="914"/>
              <w:gridCol w:w="1124"/>
              <w:gridCol w:w="1824"/>
            </w:tblGrid>
            <w:tr w14:paraId="254C918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75" w:hRule="atLeast"/>
                <w:jc w:val="center"/>
              </w:trPr>
              <w:tc>
                <w:tcPr>
                  <w:tcW w:w="465" w:type="pct"/>
                  <w:vMerge w:val="restart"/>
                  <w:noWrap w:val="0"/>
                  <w:vAlign w:val="center"/>
                </w:tcPr>
                <w:p w14:paraId="67786315">
                  <w:pPr>
                    <w:pStyle w:val="87"/>
                    <w:adjustRightInd w:val="0"/>
                    <w:snapToGrid w:val="0"/>
                    <w:spacing w:line="320" w:lineRule="exact"/>
                    <w:jc w:val="center"/>
                    <w:rPr>
                      <w:rFonts w:ascii="Times New Roman" w:hAnsi="Times New Roman" w:cs="Times New Roman"/>
                      <w:b/>
                      <w:color w:val="auto"/>
                      <w:szCs w:val="21"/>
                      <w:highlight w:val="none"/>
                      <w:lang w:eastAsia="zh-CN"/>
                    </w:rPr>
                  </w:pPr>
                  <w:r>
                    <w:rPr>
                      <w:rFonts w:ascii="Times New Roman" w:hAnsi="Times New Roman" w:cs="Times New Roman"/>
                      <w:b/>
                      <w:color w:val="auto"/>
                      <w:szCs w:val="21"/>
                      <w:highlight w:val="none"/>
                      <w:lang w:eastAsia="zh-CN"/>
                    </w:rPr>
                    <w:t>序号</w:t>
                  </w:r>
                </w:p>
              </w:tc>
              <w:tc>
                <w:tcPr>
                  <w:tcW w:w="796" w:type="pct"/>
                  <w:vMerge w:val="restart"/>
                  <w:noWrap w:val="0"/>
                  <w:vAlign w:val="center"/>
                </w:tcPr>
                <w:p w14:paraId="2DAF652D">
                  <w:pPr>
                    <w:pStyle w:val="87"/>
                    <w:adjustRightInd w:val="0"/>
                    <w:snapToGrid w:val="0"/>
                    <w:spacing w:line="320" w:lineRule="exact"/>
                    <w:jc w:val="center"/>
                    <w:rPr>
                      <w:rFonts w:ascii="Times New Roman" w:hAnsi="Times New Roman" w:cs="Times New Roman"/>
                      <w:b/>
                      <w:color w:val="auto"/>
                      <w:szCs w:val="21"/>
                      <w:highlight w:val="none"/>
                      <w:lang w:eastAsia="zh-CN"/>
                    </w:rPr>
                  </w:pPr>
                  <w:r>
                    <w:rPr>
                      <w:rFonts w:ascii="Times New Roman" w:hAnsi="Times New Roman" w:cs="Times New Roman"/>
                      <w:b/>
                      <w:color w:val="auto"/>
                      <w:szCs w:val="21"/>
                      <w:highlight w:val="none"/>
                      <w:lang w:eastAsia="zh-CN"/>
                    </w:rPr>
                    <w:t>污染物项目</w:t>
                  </w:r>
                </w:p>
              </w:tc>
              <w:tc>
                <w:tcPr>
                  <w:tcW w:w="785" w:type="pct"/>
                  <w:vMerge w:val="restart"/>
                  <w:noWrap w:val="0"/>
                  <w:vAlign w:val="center"/>
                </w:tcPr>
                <w:p w14:paraId="789B773C">
                  <w:pPr>
                    <w:pStyle w:val="87"/>
                    <w:adjustRightInd w:val="0"/>
                    <w:snapToGrid w:val="0"/>
                    <w:spacing w:line="320" w:lineRule="exact"/>
                    <w:jc w:val="center"/>
                    <w:rPr>
                      <w:rFonts w:ascii="Times New Roman" w:hAnsi="Times New Roman" w:cs="Times New Roman"/>
                      <w:b/>
                      <w:color w:val="auto"/>
                      <w:szCs w:val="21"/>
                      <w:highlight w:val="none"/>
                      <w:lang w:eastAsia="zh-CN"/>
                    </w:rPr>
                  </w:pPr>
                  <w:r>
                    <w:rPr>
                      <w:rFonts w:hint="eastAsia" w:ascii="Times New Roman" w:hAnsi="Times New Roman" w:cs="Times New Roman"/>
                      <w:b/>
                      <w:color w:val="auto"/>
                      <w:szCs w:val="21"/>
                      <w:highlight w:val="none"/>
                      <w:lang w:eastAsia="zh-CN"/>
                    </w:rPr>
                    <w:t>最高允许排放浓度</w:t>
                  </w:r>
                  <w:r>
                    <w:rPr>
                      <w:rFonts w:ascii="Times New Roman" w:hAnsi="Times New Roman" w:cs="Times New Roman"/>
                      <w:b/>
                      <w:color w:val="auto"/>
                      <w:szCs w:val="21"/>
                      <w:highlight w:val="none"/>
                      <w:lang w:eastAsia="zh-CN"/>
                    </w:rPr>
                    <w:t>（mg/m</w:t>
                  </w:r>
                  <w:r>
                    <w:rPr>
                      <w:rFonts w:ascii="Times New Roman" w:hAnsi="Times New Roman" w:cs="Times New Roman"/>
                      <w:b/>
                      <w:color w:val="auto"/>
                      <w:szCs w:val="21"/>
                      <w:highlight w:val="none"/>
                      <w:vertAlign w:val="superscript"/>
                      <w:lang w:eastAsia="zh-CN"/>
                    </w:rPr>
                    <w:t>3</w:t>
                  </w:r>
                  <w:r>
                    <w:rPr>
                      <w:rFonts w:ascii="Times New Roman" w:hAnsi="Times New Roman" w:cs="Times New Roman"/>
                      <w:b/>
                      <w:color w:val="auto"/>
                      <w:szCs w:val="21"/>
                      <w:highlight w:val="none"/>
                      <w:lang w:eastAsia="zh-CN"/>
                    </w:rPr>
                    <w:t>）</w:t>
                  </w:r>
                </w:p>
              </w:tc>
              <w:tc>
                <w:tcPr>
                  <w:tcW w:w="1136" w:type="pct"/>
                  <w:gridSpan w:val="2"/>
                  <w:noWrap w:val="0"/>
                  <w:vAlign w:val="center"/>
                </w:tcPr>
                <w:p w14:paraId="4A7E2A16">
                  <w:pPr>
                    <w:pStyle w:val="87"/>
                    <w:adjustRightInd w:val="0"/>
                    <w:snapToGrid w:val="0"/>
                    <w:spacing w:line="320" w:lineRule="exact"/>
                    <w:jc w:val="center"/>
                    <w:rPr>
                      <w:rFonts w:ascii="Times New Roman" w:hAnsi="Times New Roman" w:eastAsia="宋体" w:cs="Times New Roman"/>
                      <w:b/>
                      <w:color w:val="auto"/>
                      <w:szCs w:val="21"/>
                      <w:highlight w:val="none"/>
                      <w:lang w:eastAsia="zh-CN"/>
                    </w:rPr>
                  </w:pPr>
                  <w:r>
                    <w:rPr>
                      <w:rFonts w:hint="eastAsia" w:ascii="Times New Roman" w:hAnsi="Times New Roman" w:eastAsia="宋体" w:cs="Times New Roman"/>
                      <w:b/>
                      <w:color w:val="auto"/>
                      <w:szCs w:val="21"/>
                      <w:highlight w:val="none"/>
                      <w:lang w:eastAsia="zh-CN"/>
                    </w:rPr>
                    <w:t>最高允许排放速率（kg/h）</w:t>
                  </w:r>
                </w:p>
              </w:tc>
              <w:tc>
                <w:tcPr>
                  <w:tcW w:w="692" w:type="pct"/>
                  <w:vMerge w:val="restart"/>
                  <w:noWrap w:val="0"/>
                  <w:vAlign w:val="center"/>
                </w:tcPr>
                <w:p w14:paraId="23068673">
                  <w:pPr>
                    <w:pStyle w:val="87"/>
                    <w:adjustRightInd w:val="0"/>
                    <w:snapToGrid w:val="0"/>
                    <w:spacing w:line="320" w:lineRule="exact"/>
                    <w:jc w:val="center"/>
                    <w:rPr>
                      <w:rFonts w:ascii="Times New Roman" w:hAnsi="Times New Roman" w:cs="Times New Roman"/>
                      <w:b/>
                      <w:color w:val="auto"/>
                      <w:szCs w:val="21"/>
                      <w:highlight w:val="none"/>
                      <w:lang w:eastAsia="zh-CN"/>
                    </w:rPr>
                  </w:pPr>
                  <w:r>
                    <w:rPr>
                      <w:rFonts w:ascii="Times New Roman" w:hAnsi="Times New Roman" w:cs="Times New Roman"/>
                      <w:b/>
                      <w:color w:val="auto"/>
                      <w:szCs w:val="21"/>
                      <w:highlight w:val="none"/>
                      <w:lang w:eastAsia="zh-CN"/>
                    </w:rPr>
                    <w:t>污染物排放监控位置</w:t>
                  </w:r>
                </w:p>
              </w:tc>
              <w:tc>
                <w:tcPr>
                  <w:tcW w:w="1124" w:type="pct"/>
                  <w:vMerge w:val="restart"/>
                  <w:noWrap w:val="0"/>
                  <w:vAlign w:val="center"/>
                </w:tcPr>
                <w:p w14:paraId="2E925E34">
                  <w:pPr>
                    <w:pStyle w:val="87"/>
                    <w:adjustRightInd w:val="0"/>
                    <w:snapToGrid w:val="0"/>
                    <w:spacing w:line="320" w:lineRule="exact"/>
                    <w:jc w:val="center"/>
                    <w:rPr>
                      <w:rFonts w:ascii="Times New Roman" w:hAnsi="Times New Roman" w:cs="Times New Roman"/>
                      <w:b/>
                      <w:color w:val="auto"/>
                      <w:szCs w:val="21"/>
                      <w:highlight w:val="none"/>
                      <w:lang w:eastAsia="zh-CN"/>
                    </w:rPr>
                  </w:pPr>
                  <w:r>
                    <w:rPr>
                      <w:rFonts w:hint="eastAsia" w:ascii="Times New Roman" w:hAnsi="Times New Roman" w:cs="Times New Roman"/>
                      <w:b/>
                      <w:color w:val="auto"/>
                      <w:szCs w:val="21"/>
                      <w:highlight w:val="none"/>
                      <w:lang w:eastAsia="zh-CN"/>
                    </w:rPr>
                    <w:t>标准</w:t>
                  </w:r>
                </w:p>
              </w:tc>
            </w:tr>
            <w:tr w14:paraId="5C6830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75" w:hRule="atLeast"/>
                <w:jc w:val="center"/>
              </w:trPr>
              <w:tc>
                <w:tcPr>
                  <w:tcW w:w="465" w:type="pct"/>
                  <w:vMerge w:val="continue"/>
                  <w:noWrap w:val="0"/>
                  <w:vAlign w:val="center"/>
                </w:tcPr>
                <w:p w14:paraId="3AD1FD3C">
                  <w:pPr>
                    <w:pStyle w:val="87"/>
                    <w:adjustRightInd w:val="0"/>
                    <w:snapToGrid w:val="0"/>
                    <w:spacing w:line="320" w:lineRule="exact"/>
                    <w:jc w:val="center"/>
                    <w:rPr>
                      <w:color w:val="auto"/>
                      <w:highlight w:val="none"/>
                    </w:rPr>
                  </w:pPr>
                </w:p>
              </w:tc>
              <w:tc>
                <w:tcPr>
                  <w:tcW w:w="796" w:type="pct"/>
                  <w:vMerge w:val="continue"/>
                  <w:noWrap w:val="0"/>
                  <w:vAlign w:val="center"/>
                </w:tcPr>
                <w:p w14:paraId="01913817">
                  <w:pPr>
                    <w:pStyle w:val="87"/>
                    <w:adjustRightInd w:val="0"/>
                    <w:snapToGrid w:val="0"/>
                    <w:spacing w:line="320" w:lineRule="exact"/>
                    <w:jc w:val="center"/>
                    <w:rPr>
                      <w:color w:val="auto"/>
                      <w:highlight w:val="none"/>
                    </w:rPr>
                  </w:pPr>
                </w:p>
              </w:tc>
              <w:tc>
                <w:tcPr>
                  <w:tcW w:w="785" w:type="pct"/>
                  <w:vMerge w:val="continue"/>
                  <w:noWrap w:val="0"/>
                  <w:vAlign w:val="center"/>
                </w:tcPr>
                <w:p w14:paraId="46CD13FF">
                  <w:pPr>
                    <w:pStyle w:val="87"/>
                    <w:adjustRightInd w:val="0"/>
                    <w:snapToGrid w:val="0"/>
                    <w:spacing w:line="320" w:lineRule="exact"/>
                    <w:jc w:val="center"/>
                    <w:rPr>
                      <w:color w:val="auto"/>
                      <w:highlight w:val="none"/>
                    </w:rPr>
                  </w:pPr>
                </w:p>
              </w:tc>
              <w:tc>
                <w:tcPr>
                  <w:tcW w:w="573" w:type="pct"/>
                  <w:noWrap w:val="0"/>
                  <w:vAlign w:val="center"/>
                </w:tcPr>
                <w:p w14:paraId="6E525E75">
                  <w:pPr>
                    <w:pStyle w:val="87"/>
                    <w:adjustRightInd w:val="0"/>
                    <w:snapToGrid w:val="0"/>
                    <w:spacing w:line="320" w:lineRule="exact"/>
                    <w:jc w:val="center"/>
                    <w:rPr>
                      <w:rFonts w:hint="eastAsia" w:ascii="Times New Roman" w:hAnsi="Times New Roman" w:eastAsia="宋体" w:cs="Times New Roman"/>
                      <w:b/>
                      <w:color w:val="auto"/>
                      <w:szCs w:val="21"/>
                      <w:highlight w:val="none"/>
                      <w:lang w:eastAsia="zh-CN"/>
                    </w:rPr>
                  </w:pPr>
                  <w:r>
                    <w:rPr>
                      <w:rFonts w:hint="eastAsia" w:ascii="Times New Roman" w:hAnsi="Times New Roman" w:eastAsia="宋体" w:cs="Times New Roman"/>
                      <w:b/>
                      <w:color w:val="auto"/>
                      <w:szCs w:val="21"/>
                      <w:highlight w:val="none"/>
                      <w:lang w:eastAsia="zh-CN"/>
                    </w:rPr>
                    <w:t>排气筒高度（m）</w:t>
                  </w:r>
                </w:p>
              </w:tc>
              <w:tc>
                <w:tcPr>
                  <w:tcW w:w="563" w:type="pct"/>
                  <w:noWrap w:val="0"/>
                  <w:vAlign w:val="center"/>
                </w:tcPr>
                <w:p w14:paraId="0111265D">
                  <w:pPr>
                    <w:pStyle w:val="87"/>
                    <w:adjustRightInd w:val="0"/>
                    <w:snapToGrid w:val="0"/>
                    <w:spacing w:line="320" w:lineRule="exact"/>
                    <w:jc w:val="center"/>
                    <w:rPr>
                      <w:rFonts w:hint="eastAsia" w:ascii="Times New Roman" w:hAnsi="Times New Roman" w:eastAsia="宋体" w:cs="Times New Roman"/>
                      <w:b/>
                      <w:color w:val="auto"/>
                      <w:szCs w:val="21"/>
                      <w:highlight w:val="none"/>
                      <w:lang w:eastAsia="zh-CN"/>
                    </w:rPr>
                  </w:pPr>
                  <w:r>
                    <w:rPr>
                      <w:rFonts w:hint="eastAsia" w:ascii="Times New Roman" w:hAnsi="Times New Roman" w:eastAsia="宋体" w:cs="Times New Roman"/>
                      <w:b/>
                      <w:color w:val="auto"/>
                      <w:szCs w:val="21"/>
                      <w:highlight w:val="none"/>
                      <w:lang w:val="en-US" w:eastAsia="zh-CN"/>
                    </w:rPr>
                    <w:t>二级</w:t>
                  </w:r>
                </w:p>
              </w:tc>
              <w:tc>
                <w:tcPr>
                  <w:tcW w:w="692" w:type="pct"/>
                  <w:vMerge w:val="continue"/>
                  <w:noWrap w:val="0"/>
                  <w:vAlign w:val="center"/>
                </w:tcPr>
                <w:p w14:paraId="23A2A23A">
                  <w:pPr>
                    <w:pStyle w:val="87"/>
                    <w:adjustRightInd w:val="0"/>
                    <w:snapToGrid w:val="0"/>
                    <w:spacing w:line="320" w:lineRule="exact"/>
                    <w:jc w:val="center"/>
                    <w:rPr>
                      <w:rFonts w:hint="eastAsia" w:ascii="Times New Roman" w:hAnsi="Times New Roman" w:cs="Times New Roman"/>
                      <w:b/>
                      <w:color w:val="auto"/>
                      <w:szCs w:val="21"/>
                      <w:highlight w:val="none"/>
                      <w:lang w:eastAsia="zh-CN"/>
                    </w:rPr>
                  </w:pPr>
                </w:p>
              </w:tc>
              <w:tc>
                <w:tcPr>
                  <w:tcW w:w="1124" w:type="pct"/>
                  <w:vMerge w:val="continue"/>
                  <w:noWrap w:val="0"/>
                  <w:vAlign w:val="center"/>
                </w:tcPr>
                <w:p w14:paraId="77A336C2">
                  <w:pPr>
                    <w:pStyle w:val="87"/>
                    <w:adjustRightInd w:val="0"/>
                    <w:snapToGrid w:val="0"/>
                    <w:spacing w:line="320" w:lineRule="exact"/>
                    <w:jc w:val="center"/>
                    <w:rPr>
                      <w:rFonts w:hint="eastAsia" w:ascii="Times New Roman" w:hAnsi="Times New Roman" w:cs="Times New Roman"/>
                      <w:b/>
                      <w:color w:val="auto"/>
                      <w:szCs w:val="21"/>
                      <w:highlight w:val="none"/>
                      <w:lang w:eastAsia="zh-CN"/>
                    </w:rPr>
                  </w:pPr>
                </w:p>
              </w:tc>
            </w:tr>
            <w:tr w14:paraId="5C24A35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8" w:hRule="atLeast"/>
                <w:jc w:val="center"/>
              </w:trPr>
              <w:tc>
                <w:tcPr>
                  <w:tcW w:w="465" w:type="pct"/>
                  <w:noWrap w:val="0"/>
                  <w:vAlign w:val="center"/>
                </w:tcPr>
                <w:p w14:paraId="6B62419E">
                  <w:pPr>
                    <w:pStyle w:val="87"/>
                    <w:adjustRightInd w:val="0"/>
                    <w:snapToGrid w:val="0"/>
                    <w:spacing w:line="320" w:lineRule="exact"/>
                    <w:jc w:val="center"/>
                    <w:rPr>
                      <w:rFonts w:hint="default" w:ascii="Times New Roman" w:hAnsi="Times New Roman" w:cs="Times New Roman"/>
                      <w:bCs/>
                      <w:color w:val="auto"/>
                      <w:szCs w:val="21"/>
                      <w:highlight w:val="none"/>
                      <w:lang w:val="en-US" w:eastAsia="zh-CN"/>
                    </w:rPr>
                  </w:pPr>
                  <w:r>
                    <w:rPr>
                      <w:rFonts w:hint="eastAsia" w:ascii="Times New Roman" w:hAnsi="Times New Roman" w:cs="Times New Roman"/>
                      <w:bCs/>
                      <w:color w:val="auto"/>
                      <w:szCs w:val="21"/>
                      <w:highlight w:val="none"/>
                      <w:lang w:val="en-US" w:eastAsia="zh-CN"/>
                    </w:rPr>
                    <w:t>1</w:t>
                  </w:r>
                </w:p>
              </w:tc>
              <w:tc>
                <w:tcPr>
                  <w:tcW w:w="796" w:type="pct"/>
                  <w:noWrap w:val="0"/>
                  <w:vAlign w:val="center"/>
                </w:tcPr>
                <w:p w14:paraId="48E208F7">
                  <w:pPr>
                    <w:adjustRightInd w:val="0"/>
                    <w:snapToGrid w:val="0"/>
                    <w:spacing w:line="240" w:lineRule="auto"/>
                    <w:ind w:firstLine="0" w:firstLineChars="0"/>
                    <w:jc w:val="center"/>
                    <w:rPr>
                      <w:rFonts w:hint="eastAsia" w:eastAsia="宋体"/>
                      <w:bCs/>
                      <w:color w:val="auto"/>
                      <w:szCs w:val="21"/>
                      <w:highlight w:val="none"/>
                      <w:lang w:eastAsia="zh-CN"/>
                    </w:rPr>
                  </w:pPr>
                  <w:r>
                    <w:rPr>
                      <w:rFonts w:hint="eastAsia"/>
                      <w:color w:val="auto"/>
                      <w:sz w:val="21"/>
                      <w:szCs w:val="21"/>
                      <w:highlight w:val="none"/>
                      <w:lang w:val="en-US" w:eastAsia="zh-CN"/>
                    </w:rPr>
                    <w:t>沥青烟</w:t>
                  </w:r>
                </w:p>
              </w:tc>
              <w:tc>
                <w:tcPr>
                  <w:tcW w:w="785" w:type="pct"/>
                  <w:noWrap w:val="0"/>
                  <w:vAlign w:val="center"/>
                </w:tcPr>
                <w:p w14:paraId="310CC3A3">
                  <w:pPr>
                    <w:pStyle w:val="87"/>
                    <w:adjustRightInd w:val="0"/>
                    <w:snapToGrid w:val="0"/>
                    <w:spacing w:line="320" w:lineRule="exact"/>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75（建筑搅拌）</w:t>
                  </w:r>
                </w:p>
              </w:tc>
              <w:tc>
                <w:tcPr>
                  <w:tcW w:w="573" w:type="pct"/>
                  <w:vMerge w:val="restart"/>
                  <w:noWrap w:val="0"/>
                  <w:vAlign w:val="center"/>
                </w:tcPr>
                <w:p w14:paraId="3D043DA9">
                  <w:pPr>
                    <w:pStyle w:val="87"/>
                    <w:adjustRightInd w:val="0"/>
                    <w:snapToGrid w:val="0"/>
                    <w:spacing w:line="320" w:lineRule="exact"/>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15</w:t>
                  </w:r>
                </w:p>
              </w:tc>
              <w:tc>
                <w:tcPr>
                  <w:tcW w:w="563" w:type="pct"/>
                  <w:noWrap w:val="0"/>
                  <w:vAlign w:val="center"/>
                </w:tcPr>
                <w:p w14:paraId="66BCC815">
                  <w:pPr>
                    <w:pStyle w:val="87"/>
                    <w:adjustRightInd w:val="0"/>
                    <w:snapToGrid w:val="0"/>
                    <w:spacing w:line="320" w:lineRule="exact"/>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0.18</w:t>
                  </w:r>
                </w:p>
              </w:tc>
              <w:tc>
                <w:tcPr>
                  <w:tcW w:w="692" w:type="pct"/>
                  <w:vMerge w:val="restart"/>
                  <w:noWrap w:val="0"/>
                  <w:vAlign w:val="center"/>
                </w:tcPr>
                <w:p w14:paraId="373F77C0">
                  <w:pPr>
                    <w:pStyle w:val="87"/>
                    <w:adjustRightInd w:val="0"/>
                    <w:snapToGrid w:val="0"/>
                    <w:spacing w:line="320" w:lineRule="exact"/>
                    <w:jc w:val="center"/>
                    <w:rPr>
                      <w:rFonts w:ascii="Times New Roman" w:hAnsi="Times New Roman" w:cs="Times New Roman"/>
                      <w:bCs/>
                      <w:color w:val="auto"/>
                      <w:szCs w:val="21"/>
                      <w:highlight w:val="none"/>
                      <w:lang w:eastAsia="zh-CN"/>
                    </w:rPr>
                  </w:pPr>
                  <w:r>
                    <w:rPr>
                      <w:rFonts w:hint="eastAsia" w:ascii="Times New Roman" w:hAnsi="Times New Roman" w:cs="Times New Roman"/>
                      <w:bCs/>
                      <w:color w:val="auto"/>
                      <w:szCs w:val="21"/>
                      <w:highlight w:val="none"/>
                      <w:lang w:eastAsia="zh-CN"/>
                    </w:rPr>
                    <w:t>DA00</w:t>
                  </w:r>
                  <w:r>
                    <w:rPr>
                      <w:rFonts w:hint="eastAsia" w:ascii="Times New Roman" w:hAnsi="Times New Roman" w:cs="Times New Roman"/>
                      <w:bCs/>
                      <w:color w:val="auto"/>
                      <w:szCs w:val="21"/>
                      <w:highlight w:val="none"/>
                      <w:lang w:val="en-US" w:eastAsia="zh-CN"/>
                    </w:rPr>
                    <w:t>3</w:t>
                  </w:r>
                  <w:r>
                    <w:rPr>
                      <w:rFonts w:hint="eastAsia" w:ascii="Times New Roman" w:hAnsi="Times New Roman" w:cs="Times New Roman"/>
                      <w:bCs/>
                      <w:color w:val="auto"/>
                      <w:szCs w:val="21"/>
                      <w:highlight w:val="none"/>
                      <w:lang w:eastAsia="zh-CN"/>
                    </w:rPr>
                    <w:t>排气筒</w:t>
                  </w:r>
                </w:p>
              </w:tc>
              <w:tc>
                <w:tcPr>
                  <w:tcW w:w="1124" w:type="pct"/>
                  <w:vMerge w:val="restart"/>
                  <w:noWrap w:val="0"/>
                  <w:vAlign w:val="center"/>
                </w:tcPr>
                <w:p w14:paraId="67AFFE45">
                  <w:pPr>
                    <w:pStyle w:val="87"/>
                    <w:adjustRightInd w:val="0"/>
                    <w:snapToGrid w:val="0"/>
                    <w:spacing w:line="320" w:lineRule="exact"/>
                    <w:jc w:val="center"/>
                    <w:rPr>
                      <w:rFonts w:hint="eastAsia" w:ascii="Times New Roman" w:hAnsi="Times New Roman" w:cs="Times New Roman"/>
                      <w:bCs/>
                      <w:color w:val="auto"/>
                      <w:szCs w:val="21"/>
                      <w:highlight w:val="none"/>
                      <w:lang w:eastAsia="zh-CN"/>
                    </w:rPr>
                  </w:pPr>
                  <w:r>
                    <w:rPr>
                      <w:rFonts w:hint="eastAsia" w:ascii="Times New Roman" w:hAnsi="Times New Roman" w:cs="Times New Roman"/>
                      <w:bCs/>
                      <w:color w:val="auto"/>
                      <w:szCs w:val="21"/>
                      <w:highlight w:val="none"/>
                      <w:lang w:eastAsia="zh-CN"/>
                    </w:rPr>
                    <w:t>《大气污染物综合排放标准》（GB16297-1996）</w:t>
                  </w:r>
                </w:p>
              </w:tc>
            </w:tr>
            <w:tr w14:paraId="1ABCF24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8" w:hRule="atLeast"/>
                <w:jc w:val="center"/>
              </w:trPr>
              <w:tc>
                <w:tcPr>
                  <w:tcW w:w="465" w:type="pct"/>
                  <w:noWrap w:val="0"/>
                  <w:vAlign w:val="center"/>
                </w:tcPr>
                <w:p w14:paraId="4AE65272">
                  <w:pPr>
                    <w:pStyle w:val="87"/>
                    <w:adjustRightInd w:val="0"/>
                    <w:snapToGrid w:val="0"/>
                    <w:spacing w:line="320" w:lineRule="exact"/>
                    <w:jc w:val="center"/>
                    <w:rPr>
                      <w:rFonts w:hint="default" w:ascii="Times New Roman" w:hAnsi="Times New Roman" w:cs="Times New Roman"/>
                      <w:bCs/>
                      <w:color w:val="auto"/>
                      <w:szCs w:val="21"/>
                      <w:highlight w:val="none"/>
                      <w:lang w:val="en-US" w:eastAsia="zh-CN"/>
                    </w:rPr>
                  </w:pPr>
                  <w:r>
                    <w:rPr>
                      <w:rFonts w:hint="eastAsia" w:ascii="Times New Roman" w:hAnsi="Times New Roman" w:cs="Times New Roman"/>
                      <w:bCs/>
                      <w:color w:val="auto"/>
                      <w:szCs w:val="21"/>
                      <w:highlight w:val="none"/>
                      <w:lang w:val="en-US" w:eastAsia="zh-CN"/>
                    </w:rPr>
                    <w:t>2</w:t>
                  </w:r>
                </w:p>
              </w:tc>
              <w:tc>
                <w:tcPr>
                  <w:tcW w:w="796" w:type="pct"/>
                  <w:noWrap w:val="0"/>
                  <w:vAlign w:val="center"/>
                </w:tcPr>
                <w:p w14:paraId="1E97DCDD">
                  <w:pPr>
                    <w:pStyle w:val="87"/>
                    <w:adjustRightInd w:val="0"/>
                    <w:snapToGrid w:val="0"/>
                    <w:spacing w:line="320" w:lineRule="exact"/>
                    <w:jc w:val="center"/>
                    <w:rPr>
                      <w:rFonts w:ascii="Times New Roman" w:hAnsi="Times New Roman" w:cs="Times New Roman"/>
                      <w:bCs/>
                      <w:color w:val="auto"/>
                      <w:szCs w:val="21"/>
                      <w:highlight w:val="none"/>
                      <w:lang w:eastAsia="zh-CN"/>
                    </w:rPr>
                  </w:pPr>
                  <w:r>
                    <w:rPr>
                      <w:rFonts w:hint="eastAsia" w:ascii="Times New Roman" w:hAnsi="Times New Roman" w:eastAsia="宋体" w:cs="Times New Roman"/>
                      <w:color w:val="auto"/>
                      <w:highlight w:val="none"/>
                      <w:lang w:val="en-US" w:eastAsia="zh-CN"/>
                    </w:rPr>
                    <w:t>苯并[a]芘</w:t>
                  </w:r>
                </w:p>
              </w:tc>
              <w:tc>
                <w:tcPr>
                  <w:tcW w:w="785" w:type="pct"/>
                  <w:noWrap w:val="0"/>
                  <w:vAlign w:val="center"/>
                </w:tcPr>
                <w:p w14:paraId="1316ADE3">
                  <w:pPr>
                    <w:adjustRightInd w:val="0"/>
                    <w:snapToGrid w:val="0"/>
                    <w:spacing w:line="240" w:lineRule="auto"/>
                    <w:ind w:firstLine="0" w:firstLineChars="0"/>
                    <w:jc w:val="center"/>
                    <w:rPr>
                      <w:rFonts w:ascii="Times New Roman" w:hAnsi="Times New Roman" w:cs="Times New Roman"/>
                      <w:bCs/>
                      <w:color w:val="auto"/>
                      <w:szCs w:val="21"/>
                      <w:highlight w:val="none"/>
                      <w:lang w:eastAsia="zh-CN"/>
                    </w:rPr>
                  </w:pPr>
                  <w:r>
                    <w:rPr>
                      <w:rFonts w:hint="eastAsia"/>
                      <w:color w:val="auto"/>
                      <w:sz w:val="21"/>
                      <w:szCs w:val="21"/>
                      <w:highlight w:val="none"/>
                      <w:lang w:val="en-US" w:eastAsia="zh-CN"/>
                    </w:rPr>
                    <w:t>0.3</w:t>
                  </w:r>
                  <w:r>
                    <w:rPr>
                      <w:rFonts w:hint="default" w:ascii="Arial" w:hAnsi="Arial" w:cs="Arial"/>
                      <w:color w:val="auto"/>
                      <w:sz w:val="21"/>
                      <w:szCs w:val="21"/>
                      <w:highlight w:val="none"/>
                      <w:lang w:val="en-US" w:eastAsia="zh-CN"/>
                    </w:rPr>
                    <w:t>×</w:t>
                  </w:r>
                  <w:r>
                    <w:rPr>
                      <w:rFonts w:hint="eastAsia"/>
                      <w:color w:val="auto"/>
                      <w:sz w:val="21"/>
                      <w:szCs w:val="21"/>
                      <w:highlight w:val="none"/>
                      <w:lang w:val="en-US" w:eastAsia="zh-CN"/>
                    </w:rPr>
                    <w:t>10</w:t>
                  </w:r>
                  <w:r>
                    <w:rPr>
                      <w:rFonts w:hint="eastAsia"/>
                      <w:color w:val="auto"/>
                      <w:sz w:val="21"/>
                      <w:szCs w:val="21"/>
                      <w:highlight w:val="none"/>
                      <w:vertAlign w:val="superscript"/>
                      <w:lang w:val="en-US" w:eastAsia="zh-CN"/>
                    </w:rPr>
                    <w:t>-3</w:t>
                  </w:r>
                </w:p>
              </w:tc>
              <w:tc>
                <w:tcPr>
                  <w:tcW w:w="573" w:type="pct"/>
                  <w:vMerge w:val="continue"/>
                  <w:noWrap w:val="0"/>
                  <w:vAlign w:val="center"/>
                </w:tcPr>
                <w:p w14:paraId="22D6785F">
                  <w:pPr>
                    <w:pStyle w:val="87"/>
                    <w:adjustRightInd w:val="0"/>
                    <w:snapToGrid w:val="0"/>
                    <w:spacing w:line="320" w:lineRule="exact"/>
                    <w:jc w:val="center"/>
                    <w:rPr>
                      <w:rFonts w:hint="eastAsia" w:ascii="Times New Roman" w:hAnsi="Times New Roman" w:eastAsia="宋体" w:cs="Times New Roman"/>
                      <w:bCs/>
                      <w:color w:val="auto"/>
                      <w:szCs w:val="21"/>
                      <w:highlight w:val="none"/>
                      <w:lang w:val="en-US" w:eastAsia="zh-CN"/>
                    </w:rPr>
                  </w:pPr>
                </w:p>
              </w:tc>
              <w:tc>
                <w:tcPr>
                  <w:tcW w:w="563" w:type="pct"/>
                  <w:noWrap w:val="0"/>
                  <w:vAlign w:val="center"/>
                </w:tcPr>
                <w:p w14:paraId="1AB58945">
                  <w:pPr>
                    <w:pStyle w:val="87"/>
                    <w:adjustRightInd w:val="0"/>
                    <w:snapToGrid w:val="0"/>
                    <w:spacing w:line="320" w:lineRule="exact"/>
                    <w:jc w:val="center"/>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0.05</w:t>
                  </w:r>
                  <w:r>
                    <w:rPr>
                      <w:rFonts w:hint="default" w:ascii="Times New Roman" w:hAnsi="Times New Roman" w:eastAsia="宋体" w:cs="Times New Roman"/>
                      <w:bCs/>
                      <w:color w:val="auto"/>
                      <w:szCs w:val="21"/>
                      <w:highlight w:val="none"/>
                      <w:lang w:val="en-US" w:eastAsia="zh-CN"/>
                    </w:rPr>
                    <w:t>×</w:t>
                  </w:r>
                  <w:r>
                    <w:rPr>
                      <w:rFonts w:hint="eastAsia" w:ascii="Times New Roman" w:hAnsi="Times New Roman" w:eastAsia="宋体" w:cs="Times New Roman"/>
                      <w:bCs/>
                      <w:color w:val="auto"/>
                      <w:szCs w:val="21"/>
                      <w:highlight w:val="none"/>
                      <w:lang w:val="en-US" w:eastAsia="zh-CN"/>
                    </w:rPr>
                    <w:t>10</w:t>
                  </w:r>
                  <w:r>
                    <w:rPr>
                      <w:rFonts w:hint="eastAsia" w:ascii="Times New Roman" w:hAnsi="Times New Roman" w:eastAsia="宋体" w:cs="Times New Roman"/>
                      <w:bCs/>
                      <w:color w:val="auto"/>
                      <w:szCs w:val="21"/>
                      <w:highlight w:val="none"/>
                      <w:vertAlign w:val="superscript"/>
                      <w:lang w:val="en-US" w:eastAsia="zh-CN"/>
                    </w:rPr>
                    <w:t>-3</w:t>
                  </w:r>
                </w:p>
              </w:tc>
              <w:tc>
                <w:tcPr>
                  <w:tcW w:w="692" w:type="pct"/>
                  <w:vMerge w:val="continue"/>
                  <w:noWrap w:val="0"/>
                  <w:vAlign w:val="center"/>
                </w:tcPr>
                <w:p w14:paraId="1282CC2C">
                  <w:pPr>
                    <w:pStyle w:val="87"/>
                    <w:adjustRightInd w:val="0"/>
                    <w:snapToGrid w:val="0"/>
                    <w:spacing w:line="320" w:lineRule="exact"/>
                    <w:jc w:val="center"/>
                    <w:rPr>
                      <w:rFonts w:ascii="Times New Roman" w:hAnsi="Times New Roman" w:cs="Times New Roman"/>
                      <w:bCs/>
                      <w:color w:val="auto"/>
                      <w:szCs w:val="21"/>
                      <w:highlight w:val="none"/>
                      <w:lang w:eastAsia="zh-CN"/>
                    </w:rPr>
                  </w:pPr>
                </w:p>
              </w:tc>
              <w:tc>
                <w:tcPr>
                  <w:tcW w:w="1124" w:type="pct"/>
                  <w:vMerge w:val="continue"/>
                  <w:noWrap w:val="0"/>
                  <w:vAlign w:val="center"/>
                </w:tcPr>
                <w:p w14:paraId="70BA5FBA">
                  <w:pPr>
                    <w:pStyle w:val="87"/>
                    <w:adjustRightInd w:val="0"/>
                    <w:snapToGrid w:val="0"/>
                    <w:spacing w:line="320" w:lineRule="exact"/>
                    <w:jc w:val="center"/>
                    <w:rPr>
                      <w:rFonts w:hint="eastAsia" w:ascii="Times New Roman" w:hAnsi="Times New Roman" w:cs="Times New Roman"/>
                      <w:bCs/>
                      <w:color w:val="auto"/>
                      <w:szCs w:val="21"/>
                      <w:highlight w:val="none"/>
                      <w:lang w:eastAsia="zh-CN"/>
                    </w:rPr>
                  </w:pPr>
                </w:p>
              </w:tc>
            </w:tr>
            <w:tr w14:paraId="18232D2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8" w:hRule="atLeast"/>
                <w:jc w:val="center"/>
              </w:trPr>
              <w:tc>
                <w:tcPr>
                  <w:tcW w:w="465" w:type="pct"/>
                  <w:noWrap w:val="0"/>
                  <w:vAlign w:val="center"/>
                </w:tcPr>
                <w:p w14:paraId="5E2311AC">
                  <w:pPr>
                    <w:pStyle w:val="87"/>
                    <w:adjustRightInd w:val="0"/>
                    <w:snapToGrid w:val="0"/>
                    <w:spacing w:line="320" w:lineRule="exact"/>
                    <w:jc w:val="center"/>
                    <w:rPr>
                      <w:rFonts w:hint="default" w:ascii="Times New Roman" w:hAnsi="Times New Roman" w:cs="Times New Roman"/>
                      <w:bCs/>
                      <w:color w:val="auto"/>
                      <w:szCs w:val="21"/>
                      <w:highlight w:val="none"/>
                      <w:lang w:val="en-US" w:eastAsia="zh-CN"/>
                    </w:rPr>
                  </w:pPr>
                  <w:r>
                    <w:rPr>
                      <w:rFonts w:hint="eastAsia" w:ascii="Times New Roman" w:hAnsi="Times New Roman" w:cs="Times New Roman"/>
                      <w:bCs/>
                      <w:color w:val="auto"/>
                      <w:szCs w:val="21"/>
                      <w:highlight w:val="none"/>
                      <w:lang w:val="en-US" w:eastAsia="zh-CN"/>
                    </w:rPr>
                    <w:t>3</w:t>
                  </w:r>
                </w:p>
              </w:tc>
              <w:tc>
                <w:tcPr>
                  <w:tcW w:w="796" w:type="pct"/>
                  <w:noWrap w:val="0"/>
                  <w:vAlign w:val="center"/>
                </w:tcPr>
                <w:p w14:paraId="21AD0E51">
                  <w:pPr>
                    <w:pStyle w:val="87"/>
                    <w:adjustRightInd w:val="0"/>
                    <w:snapToGrid w:val="0"/>
                    <w:spacing w:line="320" w:lineRule="exact"/>
                    <w:jc w:val="center"/>
                    <w:rPr>
                      <w:rFonts w:ascii="Times New Roman" w:hAnsi="Times New Roman" w:cs="Times New Roman"/>
                      <w:bCs/>
                      <w:color w:val="auto"/>
                      <w:szCs w:val="21"/>
                      <w:highlight w:val="none"/>
                      <w:lang w:eastAsia="zh-CN"/>
                    </w:rPr>
                  </w:pPr>
                  <w:r>
                    <w:rPr>
                      <w:rFonts w:hint="eastAsia" w:ascii="Times New Roman" w:hAnsi="Times New Roman" w:eastAsia="宋体" w:cs="Times New Roman"/>
                      <w:color w:val="auto"/>
                      <w:highlight w:val="none"/>
                      <w:lang w:val="en-US" w:eastAsia="zh-CN"/>
                    </w:rPr>
                    <w:t>非甲烷总烃</w:t>
                  </w:r>
                </w:p>
              </w:tc>
              <w:tc>
                <w:tcPr>
                  <w:tcW w:w="785" w:type="pct"/>
                  <w:noWrap w:val="0"/>
                  <w:vAlign w:val="center"/>
                </w:tcPr>
                <w:p w14:paraId="294E5990">
                  <w:pPr>
                    <w:pStyle w:val="87"/>
                    <w:adjustRightInd w:val="0"/>
                    <w:snapToGrid w:val="0"/>
                    <w:spacing w:line="320" w:lineRule="exact"/>
                    <w:jc w:val="center"/>
                    <w:rPr>
                      <w:rFonts w:hint="default" w:ascii="Times New Roman" w:hAnsi="Times New Roman" w:cs="Times New Roman"/>
                      <w:bCs/>
                      <w:color w:val="auto"/>
                      <w:szCs w:val="21"/>
                      <w:highlight w:val="none"/>
                      <w:lang w:val="en-US" w:eastAsia="zh-CN"/>
                    </w:rPr>
                  </w:pPr>
                  <w:r>
                    <w:rPr>
                      <w:rFonts w:hint="eastAsia" w:ascii="Times New Roman" w:hAnsi="Times New Roman" w:cs="Times New Roman"/>
                      <w:bCs/>
                      <w:color w:val="auto"/>
                      <w:szCs w:val="21"/>
                      <w:highlight w:val="none"/>
                      <w:lang w:val="en-US" w:eastAsia="zh-CN"/>
                    </w:rPr>
                    <w:t>120</w:t>
                  </w:r>
                </w:p>
              </w:tc>
              <w:tc>
                <w:tcPr>
                  <w:tcW w:w="573" w:type="pct"/>
                  <w:vMerge w:val="continue"/>
                  <w:noWrap w:val="0"/>
                  <w:vAlign w:val="center"/>
                </w:tcPr>
                <w:p w14:paraId="5601A744">
                  <w:pPr>
                    <w:pStyle w:val="87"/>
                    <w:adjustRightInd w:val="0"/>
                    <w:snapToGrid w:val="0"/>
                    <w:spacing w:line="320" w:lineRule="exact"/>
                    <w:jc w:val="center"/>
                    <w:rPr>
                      <w:rFonts w:hint="eastAsia" w:ascii="Times New Roman" w:hAnsi="Times New Roman" w:eastAsia="宋体" w:cs="Times New Roman"/>
                      <w:bCs/>
                      <w:color w:val="auto"/>
                      <w:szCs w:val="21"/>
                      <w:highlight w:val="none"/>
                      <w:lang w:val="en-US" w:eastAsia="zh-CN"/>
                    </w:rPr>
                  </w:pPr>
                </w:p>
              </w:tc>
              <w:tc>
                <w:tcPr>
                  <w:tcW w:w="563" w:type="pct"/>
                  <w:noWrap w:val="0"/>
                  <w:vAlign w:val="center"/>
                </w:tcPr>
                <w:p w14:paraId="32B97781">
                  <w:pPr>
                    <w:pStyle w:val="87"/>
                    <w:adjustRightInd w:val="0"/>
                    <w:snapToGrid w:val="0"/>
                    <w:spacing w:line="320" w:lineRule="exact"/>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10</w:t>
                  </w:r>
                </w:p>
              </w:tc>
              <w:tc>
                <w:tcPr>
                  <w:tcW w:w="692" w:type="pct"/>
                  <w:vMerge w:val="continue"/>
                  <w:noWrap w:val="0"/>
                  <w:vAlign w:val="center"/>
                </w:tcPr>
                <w:p w14:paraId="0CDF8E33">
                  <w:pPr>
                    <w:pStyle w:val="87"/>
                    <w:adjustRightInd w:val="0"/>
                    <w:snapToGrid w:val="0"/>
                    <w:spacing w:line="320" w:lineRule="exact"/>
                    <w:jc w:val="center"/>
                    <w:rPr>
                      <w:rFonts w:ascii="Times New Roman" w:hAnsi="Times New Roman" w:cs="Times New Roman"/>
                      <w:bCs/>
                      <w:color w:val="auto"/>
                      <w:szCs w:val="21"/>
                      <w:highlight w:val="none"/>
                      <w:lang w:eastAsia="zh-CN"/>
                    </w:rPr>
                  </w:pPr>
                </w:p>
              </w:tc>
              <w:tc>
                <w:tcPr>
                  <w:tcW w:w="1124" w:type="pct"/>
                  <w:vMerge w:val="continue"/>
                  <w:noWrap w:val="0"/>
                  <w:vAlign w:val="center"/>
                </w:tcPr>
                <w:p w14:paraId="729BF4D8">
                  <w:pPr>
                    <w:pStyle w:val="87"/>
                    <w:adjustRightInd w:val="0"/>
                    <w:snapToGrid w:val="0"/>
                    <w:spacing w:line="320" w:lineRule="exact"/>
                    <w:jc w:val="center"/>
                    <w:rPr>
                      <w:rFonts w:ascii="Times New Roman" w:hAnsi="Times New Roman" w:cs="Times New Roman"/>
                      <w:bCs/>
                      <w:color w:val="auto"/>
                      <w:szCs w:val="21"/>
                      <w:highlight w:val="none"/>
                      <w:lang w:eastAsia="zh-CN"/>
                    </w:rPr>
                  </w:pPr>
                </w:p>
              </w:tc>
            </w:tr>
            <w:tr w14:paraId="0FE3010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56" w:hRule="atLeast"/>
                <w:jc w:val="center"/>
              </w:trPr>
              <w:tc>
                <w:tcPr>
                  <w:tcW w:w="465" w:type="pct"/>
                  <w:noWrap w:val="0"/>
                  <w:vAlign w:val="center"/>
                </w:tcPr>
                <w:p w14:paraId="067DEC42">
                  <w:pPr>
                    <w:pStyle w:val="87"/>
                    <w:adjustRightInd w:val="0"/>
                    <w:snapToGrid w:val="0"/>
                    <w:spacing w:line="320" w:lineRule="exact"/>
                    <w:jc w:val="center"/>
                    <w:rPr>
                      <w:rFonts w:hint="default" w:ascii="Times New Roman" w:hAnsi="Times New Roman" w:cs="Times New Roman"/>
                      <w:bCs/>
                      <w:color w:val="auto"/>
                      <w:szCs w:val="21"/>
                      <w:highlight w:val="none"/>
                      <w:lang w:val="en-US" w:eastAsia="zh-CN"/>
                    </w:rPr>
                  </w:pPr>
                  <w:r>
                    <w:rPr>
                      <w:rFonts w:hint="eastAsia" w:ascii="Times New Roman" w:hAnsi="Times New Roman" w:cs="Times New Roman"/>
                      <w:bCs/>
                      <w:color w:val="auto"/>
                      <w:szCs w:val="21"/>
                      <w:highlight w:val="none"/>
                      <w:lang w:val="en-US" w:eastAsia="zh-CN"/>
                    </w:rPr>
                    <w:t>4</w:t>
                  </w:r>
                </w:p>
              </w:tc>
              <w:tc>
                <w:tcPr>
                  <w:tcW w:w="796" w:type="pct"/>
                  <w:noWrap w:val="0"/>
                  <w:vAlign w:val="center"/>
                </w:tcPr>
                <w:p w14:paraId="4326B6C5">
                  <w:pPr>
                    <w:pStyle w:val="87"/>
                    <w:adjustRightInd w:val="0"/>
                    <w:snapToGrid w:val="0"/>
                    <w:spacing w:line="320" w:lineRule="exact"/>
                    <w:jc w:val="center"/>
                    <w:rPr>
                      <w:rFonts w:ascii="Times New Roman" w:hAnsi="Times New Roman" w:cs="Times New Roman"/>
                      <w:bCs/>
                      <w:color w:val="auto"/>
                      <w:szCs w:val="21"/>
                      <w:highlight w:val="none"/>
                      <w:lang w:eastAsia="zh-CN"/>
                    </w:rPr>
                  </w:pPr>
                  <w:r>
                    <w:rPr>
                      <w:rFonts w:hint="eastAsia" w:ascii="Times New Roman" w:hAnsi="Times New Roman" w:cs="Times New Roman"/>
                      <w:bCs/>
                      <w:color w:val="auto"/>
                      <w:szCs w:val="21"/>
                      <w:highlight w:val="none"/>
                      <w:lang w:eastAsia="zh-CN"/>
                    </w:rPr>
                    <w:t>臭气浓度</w:t>
                  </w:r>
                </w:p>
              </w:tc>
              <w:tc>
                <w:tcPr>
                  <w:tcW w:w="785" w:type="pct"/>
                  <w:noWrap w:val="0"/>
                  <w:vAlign w:val="center"/>
                </w:tcPr>
                <w:p w14:paraId="6F09C74C">
                  <w:pPr>
                    <w:pStyle w:val="87"/>
                    <w:adjustRightInd w:val="0"/>
                    <w:snapToGrid w:val="0"/>
                    <w:spacing w:line="320" w:lineRule="exact"/>
                    <w:jc w:val="center"/>
                    <w:rPr>
                      <w:rFonts w:ascii="Times New Roman" w:hAnsi="Times New Roman" w:cs="Times New Roman"/>
                      <w:bCs/>
                      <w:color w:val="auto"/>
                      <w:szCs w:val="21"/>
                      <w:highlight w:val="none"/>
                      <w:lang w:eastAsia="zh-CN"/>
                    </w:rPr>
                  </w:pPr>
                  <w:r>
                    <w:rPr>
                      <w:rFonts w:hint="eastAsia" w:ascii="Times New Roman" w:hAnsi="Times New Roman" w:cs="Times New Roman"/>
                      <w:bCs/>
                      <w:color w:val="auto"/>
                      <w:szCs w:val="21"/>
                      <w:highlight w:val="none"/>
                      <w:lang w:eastAsia="zh-CN"/>
                    </w:rPr>
                    <w:t>/</w:t>
                  </w:r>
                </w:p>
              </w:tc>
              <w:tc>
                <w:tcPr>
                  <w:tcW w:w="573" w:type="pct"/>
                  <w:vMerge w:val="continue"/>
                  <w:noWrap w:val="0"/>
                  <w:vAlign w:val="center"/>
                </w:tcPr>
                <w:p w14:paraId="244EFE06">
                  <w:pPr>
                    <w:pStyle w:val="87"/>
                    <w:adjustRightInd w:val="0"/>
                    <w:snapToGrid w:val="0"/>
                    <w:spacing w:line="320" w:lineRule="exact"/>
                    <w:jc w:val="center"/>
                    <w:rPr>
                      <w:rFonts w:hint="default" w:ascii="Times New Roman" w:hAnsi="Times New Roman" w:cs="Times New Roman"/>
                      <w:bCs/>
                      <w:color w:val="auto"/>
                      <w:szCs w:val="21"/>
                      <w:highlight w:val="none"/>
                      <w:lang w:val="en-US" w:eastAsia="zh-CN"/>
                    </w:rPr>
                  </w:pPr>
                </w:p>
              </w:tc>
              <w:tc>
                <w:tcPr>
                  <w:tcW w:w="563" w:type="pct"/>
                  <w:noWrap w:val="0"/>
                  <w:vAlign w:val="center"/>
                </w:tcPr>
                <w:p w14:paraId="3D87FF64">
                  <w:pPr>
                    <w:pStyle w:val="87"/>
                    <w:adjustRightInd w:val="0"/>
                    <w:snapToGrid w:val="0"/>
                    <w:spacing w:line="320" w:lineRule="exact"/>
                    <w:jc w:val="center"/>
                    <w:rPr>
                      <w:rFonts w:ascii="Times New Roman" w:hAnsi="Times New Roman" w:cs="Times New Roman"/>
                      <w:bCs/>
                      <w:color w:val="auto"/>
                      <w:szCs w:val="21"/>
                      <w:highlight w:val="none"/>
                      <w:lang w:eastAsia="zh-CN"/>
                    </w:rPr>
                  </w:pPr>
                  <w:r>
                    <w:rPr>
                      <w:rFonts w:hint="eastAsia" w:ascii="Times New Roman" w:hAnsi="Times New Roman" w:cs="Times New Roman"/>
                      <w:bCs/>
                      <w:color w:val="auto"/>
                      <w:szCs w:val="21"/>
                      <w:highlight w:val="none"/>
                      <w:lang w:val="en-US" w:eastAsia="zh-CN"/>
                    </w:rPr>
                    <w:t>2</w:t>
                  </w:r>
                  <w:r>
                    <w:rPr>
                      <w:rFonts w:hint="eastAsia" w:ascii="Times New Roman" w:hAnsi="Times New Roman" w:cs="Times New Roman"/>
                      <w:bCs/>
                      <w:color w:val="auto"/>
                      <w:szCs w:val="21"/>
                      <w:highlight w:val="none"/>
                      <w:lang w:eastAsia="zh-CN"/>
                    </w:rPr>
                    <w:t>000（无量纲）</w:t>
                  </w:r>
                </w:p>
              </w:tc>
              <w:tc>
                <w:tcPr>
                  <w:tcW w:w="692" w:type="pct"/>
                  <w:vMerge w:val="continue"/>
                  <w:noWrap w:val="0"/>
                  <w:vAlign w:val="center"/>
                </w:tcPr>
                <w:p w14:paraId="3E6506C7">
                  <w:pPr>
                    <w:pStyle w:val="87"/>
                    <w:adjustRightInd w:val="0"/>
                    <w:snapToGrid w:val="0"/>
                    <w:spacing w:line="320" w:lineRule="exact"/>
                    <w:jc w:val="center"/>
                    <w:rPr>
                      <w:rFonts w:ascii="Times New Roman" w:hAnsi="Times New Roman" w:cs="Times New Roman"/>
                      <w:bCs/>
                      <w:color w:val="auto"/>
                      <w:szCs w:val="21"/>
                      <w:highlight w:val="none"/>
                      <w:lang w:eastAsia="zh-CN"/>
                    </w:rPr>
                  </w:pPr>
                </w:p>
              </w:tc>
              <w:tc>
                <w:tcPr>
                  <w:tcW w:w="1124" w:type="pct"/>
                  <w:noWrap w:val="0"/>
                  <w:vAlign w:val="center"/>
                </w:tcPr>
                <w:p w14:paraId="092E5F00">
                  <w:pPr>
                    <w:pStyle w:val="87"/>
                    <w:adjustRightInd w:val="0"/>
                    <w:snapToGrid w:val="0"/>
                    <w:spacing w:line="320" w:lineRule="exact"/>
                    <w:jc w:val="center"/>
                    <w:rPr>
                      <w:rFonts w:ascii="Times New Roman" w:hAnsi="Times New Roman" w:cs="Times New Roman"/>
                      <w:bCs/>
                      <w:color w:val="auto"/>
                      <w:szCs w:val="21"/>
                      <w:highlight w:val="none"/>
                      <w:lang w:eastAsia="zh-CN"/>
                    </w:rPr>
                  </w:pPr>
                  <w:r>
                    <w:rPr>
                      <w:rFonts w:hint="eastAsia" w:ascii="Times New Roman" w:hAnsi="Times New Roman" w:cs="Times New Roman"/>
                      <w:bCs/>
                      <w:color w:val="auto"/>
                      <w:szCs w:val="21"/>
                      <w:highlight w:val="none"/>
                      <w:lang w:eastAsia="zh-CN"/>
                    </w:rPr>
                    <w:t>《恶臭污染物排放标准》（</w:t>
                  </w:r>
                  <w:r>
                    <w:rPr>
                      <w:rFonts w:ascii="Times New Roman" w:hAnsi="Times New Roman" w:cs="Times New Roman"/>
                      <w:bCs/>
                      <w:color w:val="auto"/>
                      <w:szCs w:val="21"/>
                      <w:highlight w:val="none"/>
                      <w:lang w:eastAsia="zh-CN"/>
                    </w:rPr>
                    <w:t>GB 14554-93</w:t>
                  </w:r>
                  <w:r>
                    <w:rPr>
                      <w:rFonts w:hint="eastAsia" w:ascii="Times New Roman" w:hAnsi="Times New Roman" w:cs="Times New Roman"/>
                      <w:bCs/>
                      <w:color w:val="auto"/>
                      <w:szCs w:val="21"/>
                      <w:highlight w:val="none"/>
                      <w:lang w:eastAsia="zh-CN"/>
                    </w:rPr>
                    <w:t>）</w:t>
                  </w:r>
                </w:p>
              </w:tc>
            </w:tr>
          </w:tbl>
          <w:p w14:paraId="60D44A54">
            <w:pPr>
              <w:ind w:firstLine="480"/>
              <w:rPr>
                <w:rFonts w:hint="eastAsia"/>
                <w:color w:val="auto"/>
                <w:highlight w:val="none"/>
              </w:rPr>
            </w:pPr>
            <w:r>
              <w:rPr>
                <w:rFonts w:hint="eastAsia"/>
                <w:color w:val="auto"/>
                <w:highlight w:val="none"/>
                <w:lang w:val="en-US" w:eastAsia="zh-CN"/>
              </w:rPr>
              <w:t>④</w:t>
            </w:r>
            <w:r>
              <w:rPr>
                <w:rFonts w:hint="eastAsia"/>
                <w:color w:val="auto"/>
                <w:highlight w:val="none"/>
              </w:rPr>
              <w:t>油烟</w:t>
            </w:r>
          </w:p>
          <w:p w14:paraId="4CE05B35">
            <w:pPr>
              <w:ind w:firstLine="480"/>
              <w:rPr>
                <w:b/>
                <w:bCs/>
                <w:color w:val="auto"/>
                <w:highlight w:val="none"/>
                <w:lang w:val="zh-CN"/>
              </w:rPr>
            </w:pPr>
            <w:r>
              <w:rPr>
                <w:color w:val="auto"/>
                <w:highlight w:val="none"/>
              </w:rPr>
              <w:t>项目营运期食堂厨房烹饪产生的油烟废气执行</w:t>
            </w:r>
            <w:r>
              <w:rPr>
                <w:color w:val="auto"/>
                <w:highlight w:val="none"/>
              </w:rPr>
              <w:fldChar w:fldCharType="begin"/>
            </w:r>
            <w:r>
              <w:rPr>
                <w:color w:val="auto"/>
                <w:highlight w:val="none"/>
              </w:rPr>
              <w:instrText xml:space="preserve"> HYPERLINK "https://www.so.com/link?m=aCXGUMiagOefT7Zs105TTwBxKjz9HLm8nLTxnQAc8fHSrQvp19+bYlpOgAYnd6UlLHjiZHt3kHlQa4EFYMhVp58JzEQrh2KUmFHSI40HdeHRfslvIZX3U+SQN4IIT0rtC0KMr/lPnuZGkSr+YMuWSUI5ayToenMn4g1NGwH4HKN5ZsIouKEFrZFgseeJnzlj+m8vfwzhrxIKCejKR2gADF6zJhjvHUX/6qkdS0A==" \t "https://www.so.com/_blank" </w:instrText>
            </w:r>
            <w:r>
              <w:rPr>
                <w:color w:val="auto"/>
                <w:highlight w:val="none"/>
              </w:rPr>
              <w:fldChar w:fldCharType="separate"/>
            </w:r>
            <w:r>
              <w:rPr>
                <w:rFonts w:hint="eastAsia"/>
                <w:color w:val="auto"/>
                <w:highlight w:val="none"/>
              </w:rPr>
              <w:t>《</w:t>
            </w:r>
            <w:r>
              <w:rPr>
                <w:color w:val="auto"/>
                <w:highlight w:val="none"/>
              </w:rPr>
              <w:t>饮食业油烟排放标准</w:t>
            </w:r>
            <w:r>
              <w:rPr>
                <w:rFonts w:hint="eastAsia"/>
                <w:color w:val="auto"/>
                <w:highlight w:val="none"/>
              </w:rPr>
              <w:t>（试行）》（</w:t>
            </w:r>
            <w:r>
              <w:rPr>
                <w:color w:val="auto"/>
                <w:highlight w:val="none"/>
              </w:rPr>
              <w:t>GB18483-2001</w:t>
            </w:r>
            <w:r>
              <w:rPr>
                <w:rFonts w:hint="eastAsia"/>
                <w:color w:val="auto"/>
                <w:highlight w:val="none"/>
              </w:rPr>
              <w:t>）</w:t>
            </w:r>
            <w:r>
              <w:rPr>
                <w:color w:val="auto"/>
                <w:highlight w:val="none"/>
              </w:rPr>
              <w:fldChar w:fldCharType="end"/>
            </w:r>
            <w:r>
              <w:rPr>
                <w:color w:val="auto"/>
                <w:highlight w:val="none"/>
              </w:rPr>
              <w:t>表2中的</w:t>
            </w:r>
            <w:r>
              <w:rPr>
                <w:rFonts w:hint="eastAsia"/>
                <w:color w:val="auto"/>
                <w:highlight w:val="none"/>
                <w:lang w:val="en-US" w:eastAsia="zh-CN"/>
              </w:rPr>
              <w:t>小</w:t>
            </w:r>
            <w:r>
              <w:rPr>
                <w:color w:val="auto"/>
                <w:highlight w:val="none"/>
              </w:rPr>
              <w:t>型规模厨房排放标准，详见表3.</w:t>
            </w:r>
            <w:r>
              <w:rPr>
                <w:rFonts w:hint="eastAsia"/>
                <w:color w:val="auto"/>
                <w:highlight w:val="none"/>
                <w:lang w:val="en-US" w:eastAsia="zh-CN"/>
              </w:rPr>
              <w:t>7</w:t>
            </w:r>
            <w:r>
              <w:rPr>
                <w:color w:val="auto"/>
                <w:highlight w:val="none"/>
              </w:rPr>
              <w:t>-</w:t>
            </w:r>
            <w:r>
              <w:rPr>
                <w:rFonts w:hint="eastAsia"/>
                <w:color w:val="auto"/>
                <w:highlight w:val="none"/>
                <w:lang w:val="en-US" w:eastAsia="zh-CN"/>
              </w:rPr>
              <w:t>5</w:t>
            </w:r>
            <w:r>
              <w:rPr>
                <w:color w:val="auto"/>
                <w:highlight w:val="none"/>
              </w:rPr>
              <w:t>。</w:t>
            </w:r>
          </w:p>
          <w:p w14:paraId="6D93B63A">
            <w:pPr>
              <w:wordWrap w:val="0"/>
              <w:ind w:right="360" w:firstLine="0" w:firstLineChars="0"/>
              <w:jc w:val="center"/>
              <w:rPr>
                <w:b/>
                <w:bCs/>
                <w:color w:val="auto"/>
                <w:highlight w:val="none"/>
                <w:lang w:val="zh-CN"/>
              </w:rPr>
            </w:pPr>
            <w:r>
              <w:rPr>
                <w:b/>
                <w:bCs/>
                <w:color w:val="auto"/>
                <w:highlight w:val="none"/>
                <w:lang w:val="zh-CN"/>
              </w:rPr>
              <w:t>表3.</w:t>
            </w:r>
            <w:r>
              <w:rPr>
                <w:rFonts w:hint="eastAsia"/>
                <w:b/>
                <w:bCs/>
                <w:color w:val="auto"/>
                <w:highlight w:val="none"/>
                <w:lang w:val="en-US" w:eastAsia="zh-CN"/>
              </w:rPr>
              <w:t>7</w:t>
            </w:r>
            <w:r>
              <w:rPr>
                <w:b/>
                <w:bCs/>
                <w:color w:val="auto"/>
                <w:highlight w:val="none"/>
                <w:lang w:val="zh-CN"/>
              </w:rPr>
              <w:t>-</w:t>
            </w:r>
            <w:r>
              <w:rPr>
                <w:rFonts w:hint="eastAsia"/>
                <w:b/>
                <w:bCs/>
                <w:color w:val="auto"/>
                <w:highlight w:val="none"/>
                <w:lang w:val="en-US" w:eastAsia="zh-CN"/>
              </w:rPr>
              <w:t>5</w:t>
            </w:r>
            <w:r>
              <w:rPr>
                <w:rFonts w:hint="eastAsia"/>
                <w:b/>
                <w:bCs/>
                <w:color w:val="auto"/>
                <w:highlight w:val="none"/>
              </w:rPr>
              <w:t xml:space="preserve"> </w:t>
            </w:r>
            <w:r>
              <w:rPr>
                <w:b/>
                <w:bCs/>
                <w:color w:val="auto"/>
                <w:highlight w:val="none"/>
                <w:lang w:val="zh-CN"/>
              </w:rPr>
              <w:t xml:space="preserve"> </w:t>
            </w:r>
            <w:r>
              <w:rPr>
                <w:rFonts w:hint="eastAsia"/>
                <w:b/>
                <w:bCs/>
                <w:color w:val="auto"/>
                <w:highlight w:val="none"/>
              </w:rPr>
              <w:t>食堂油烟</w:t>
            </w:r>
            <w:r>
              <w:rPr>
                <w:b/>
                <w:bCs/>
                <w:color w:val="auto"/>
                <w:highlight w:val="none"/>
                <w:lang w:val="zh-CN"/>
              </w:rPr>
              <w:t>最高允许排放浓度和净化设施最低去除效率</w:t>
            </w:r>
          </w:p>
          <w:tbl>
            <w:tblPr>
              <w:tblStyle w:val="27"/>
              <w:tblW w:w="80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85"/>
              <w:gridCol w:w="1587"/>
              <w:gridCol w:w="1833"/>
              <w:gridCol w:w="1833"/>
            </w:tblGrid>
            <w:tr w14:paraId="7135C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2785" w:type="dxa"/>
                  <w:tcBorders>
                    <w:top w:val="single" w:color="auto" w:sz="12" w:space="0"/>
                    <w:left w:val="nil"/>
                  </w:tcBorders>
                  <w:shd w:val="clear" w:color="auto" w:fill="auto"/>
                  <w:noWrap w:val="0"/>
                  <w:vAlign w:val="center"/>
                </w:tcPr>
                <w:p w14:paraId="420721AB">
                  <w:pPr>
                    <w:pStyle w:val="98"/>
                    <w:adjustRightInd/>
                    <w:snapToGrid/>
                    <w:rPr>
                      <w:b/>
                      <w:bCs/>
                      <w:color w:val="auto"/>
                      <w:highlight w:val="none"/>
                    </w:rPr>
                  </w:pPr>
                  <w:r>
                    <w:rPr>
                      <w:b/>
                      <w:bCs/>
                      <w:color w:val="auto"/>
                      <w:highlight w:val="none"/>
                    </w:rPr>
                    <w:t>规模</w:t>
                  </w:r>
                </w:p>
              </w:tc>
              <w:tc>
                <w:tcPr>
                  <w:tcW w:w="1587" w:type="dxa"/>
                  <w:tcBorders>
                    <w:top w:val="single" w:color="auto" w:sz="12" w:space="0"/>
                  </w:tcBorders>
                  <w:shd w:val="clear" w:color="auto" w:fill="D7D7D7"/>
                  <w:noWrap w:val="0"/>
                  <w:vAlign w:val="center"/>
                </w:tcPr>
                <w:p w14:paraId="5E5BE018">
                  <w:pPr>
                    <w:pStyle w:val="98"/>
                    <w:adjustRightInd/>
                    <w:snapToGrid/>
                    <w:rPr>
                      <w:b/>
                      <w:bCs/>
                      <w:color w:val="auto"/>
                      <w:highlight w:val="none"/>
                    </w:rPr>
                  </w:pPr>
                  <w:r>
                    <w:rPr>
                      <w:b/>
                      <w:bCs/>
                      <w:color w:val="auto"/>
                      <w:highlight w:val="none"/>
                    </w:rPr>
                    <w:t>小型</w:t>
                  </w:r>
                </w:p>
              </w:tc>
              <w:tc>
                <w:tcPr>
                  <w:tcW w:w="1833" w:type="dxa"/>
                  <w:tcBorders>
                    <w:top w:val="single" w:color="auto" w:sz="12" w:space="0"/>
                  </w:tcBorders>
                  <w:noWrap w:val="0"/>
                  <w:vAlign w:val="center"/>
                </w:tcPr>
                <w:p w14:paraId="2FC2BD85">
                  <w:pPr>
                    <w:pStyle w:val="98"/>
                    <w:adjustRightInd/>
                    <w:snapToGrid/>
                    <w:rPr>
                      <w:b/>
                      <w:bCs/>
                      <w:color w:val="auto"/>
                      <w:highlight w:val="none"/>
                    </w:rPr>
                  </w:pPr>
                  <w:r>
                    <w:rPr>
                      <w:b/>
                      <w:bCs/>
                      <w:color w:val="auto"/>
                      <w:highlight w:val="none"/>
                    </w:rPr>
                    <w:t>中型</w:t>
                  </w:r>
                </w:p>
              </w:tc>
              <w:tc>
                <w:tcPr>
                  <w:tcW w:w="1833" w:type="dxa"/>
                  <w:tcBorders>
                    <w:top w:val="single" w:color="auto" w:sz="12" w:space="0"/>
                    <w:right w:val="nil"/>
                  </w:tcBorders>
                  <w:noWrap w:val="0"/>
                  <w:vAlign w:val="center"/>
                </w:tcPr>
                <w:p w14:paraId="3B21339E">
                  <w:pPr>
                    <w:pStyle w:val="98"/>
                    <w:adjustRightInd/>
                    <w:snapToGrid/>
                    <w:rPr>
                      <w:b/>
                      <w:bCs/>
                      <w:color w:val="auto"/>
                      <w:highlight w:val="none"/>
                    </w:rPr>
                  </w:pPr>
                  <w:r>
                    <w:rPr>
                      <w:b/>
                      <w:bCs/>
                      <w:color w:val="auto"/>
                      <w:highlight w:val="none"/>
                    </w:rPr>
                    <w:t>大型</w:t>
                  </w:r>
                </w:p>
              </w:tc>
            </w:tr>
            <w:tr w14:paraId="05A33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2785" w:type="dxa"/>
                  <w:tcBorders>
                    <w:left w:val="nil"/>
                  </w:tcBorders>
                  <w:shd w:val="clear" w:color="auto" w:fill="auto"/>
                  <w:noWrap w:val="0"/>
                  <w:vAlign w:val="center"/>
                </w:tcPr>
                <w:p w14:paraId="76C16C52">
                  <w:pPr>
                    <w:pStyle w:val="98"/>
                    <w:adjustRightInd/>
                    <w:snapToGrid/>
                    <w:rPr>
                      <w:color w:val="auto"/>
                      <w:highlight w:val="none"/>
                    </w:rPr>
                  </w:pPr>
                  <w:r>
                    <w:rPr>
                      <w:color w:val="auto"/>
                      <w:highlight w:val="none"/>
                    </w:rPr>
                    <w:t>最高允许排放浓度（mg/m</w:t>
                  </w:r>
                  <w:r>
                    <w:rPr>
                      <w:color w:val="auto"/>
                      <w:highlight w:val="none"/>
                      <w:vertAlign w:val="superscript"/>
                    </w:rPr>
                    <w:t>3</w:t>
                  </w:r>
                  <w:r>
                    <w:rPr>
                      <w:color w:val="auto"/>
                      <w:highlight w:val="none"/>
                    </w:rPr>
                    <w:t>）</w:t>
                  </w:r>
                </w:p>
              </w:tc>
              <w:tc>
                <w:tcPr>
                  <w:tcW w:w="5253" w:type="dxa"/>
                  <w:gridSpan w:val="3"/>
                  <w:tcBorders>
                    <w:right w:val="nil"/>
                  </w:tcBorders>
                  <w:shd w:val="clear" w:color="auto" w:fill="D7D7D7"/>
                  <w:noWrap w:val="0"/>
                  <w:vAlign w:val="center"/>
                </w:tcPr>
                <w:p w14:paraId="7ED6A578">
                  <w:pPr>
                    <w:pStyle w:val="98"/>
                    <w:adjustRightInd/>
                    <w:snapToGrid/>
                    <w:rPr>
                      <w:color w:val="auto"/>
                      <w:highlight w:val="none"/>
                    </w:rPr>
                  </w:pPr>
                  <w:r>
                    <w:rPr>
                      <w:color w:val="auto"/>
                      <w:highlight w:val="none"/>
                    </w:rPr>
                    <w:t>2</w:t>
                  </w:r>
                </w:p>
              </w:tc>
            </w:tr>
            <w:tr w14:paraId="2A30F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785" w:type="dxa"/>
                  <w:tcBorders>
                    <w:left w:val="nil"/>
                    <w:bottom w:val="single" w:color="auto" w:sz="12" w:space="0"/>
                  </w:tcBorders>
                  <w:shd w:val="clear" w:color="auto" w:fill="auto"/>
                  <w:noWrap w:val="0"/>
                  <w:vAlign w:val="center"/>
                </w:tcPr>
                <w:p w14:paraId="2FB4FB3B">
                  <w:pPr>
                    <w:pStyle w:val="98"/>
                    <w:adjustRightInd/>
                    <w:snapToGrid/>
                    <w:rPr>
                      <w:color w:val="auto"/>
                      <w:highlight w:val="none"/>
                    </w:rPr>
                  </w:pPr>
                  <w:r>
                    <w:rPr>
                      <w:color w:val="auto"/>
                      <w:highlight w:val="none"/>
                    </w:rPr>
                    <w:t>净化设施最低去除效率（%）</w:t>
                  </w:r>
                </w:p>
              </w:tc>
              <w:tc>
                <w:tcPr>
                  <w:tcW w:w="1587" w:type="dxa"/>
                  <w:tcBorders>
                    <w:bottom w:val="single" w:color="auto" w:sz="12" w:space="0"/>
                  </w:tcBorders>
                  <w:shd w:val="clear" w:color="auto" w:fill="D7D7D7"/>
                  <w:noWrap w:val="0"/>
                  <w:vAlign w:val="center"/>
                </w:tcPr>
                <w:p w14:paraId="02FE6FB7">
                  <w:pPr>
                    <w:pStyle w:val="98"/>
                    <w:adjustRightInd/>
                    <w:snapToGrid/>
                    <w:rPr>
                      <w:color w:val="auto"/>
                      <w:highlight w:val="none"/>
                    </w:rPr>
                  </w:pPr>
                  <w:r>
                    <w:rPr>
                      <w:color w:val="auto"/>
                      <w:highlight w:val="none"/>
                    </w:rPr>
                    <w:t>60</w:t>
                  </w:r>
                </w:p>
              </w:tc>
              <w:tc>
                <w:tcPr>
                  <w:tcW w:w="1833" w:type="dxa"/>
                  <w:tcBorders>
                    <w:bottom w:val="single" w:color="auto" w:sz="12" w:space="0"/>
                  </w:tcBorders>
                  <w:noWrap w:val="0"/>
                  <w:vAlign w:val="center"/>
                </w:tcPr>
                <w:p w14:paraId="6646A22B">
                  <w:pPr>
                    <w:pStyle w:val="98"/>
                    <w:adjustRightInd/>
                    <w:snapToGrid/>
                    <w:rPr>
                      <w:color w:val="auto"/>
                      <w:highlight w:val="none"/>
                    </w:rPr>
                  </w:pPr>
                  <w:r>
                    <w:rPr>
                      <w:color w:val="auto"/>
                      <w:highlight w:val="none"/>
                    </w:rPr>
                    <w:t>75</w:t>
                  </w:r>
                </w:p>
              </w:tc>
              <w:tc>
                <w:tcPr>
                  <w:tcW w:w="1833" w:type="dxa"/>
                  <w:tcBorders>
                    <w:bottom w:val="single" w:color="auto" w:sz="12" w:space="0"/>
                    <w:right w:val="nil"/>
                  </w:tcBorders>
                  <w:noWrap w:val="0"/>
                  <w:vAlign w:val="center"/>
                </w:tcPr>
                <w:p w14:paraId="4B383FDD">
                  <w:pPr>
                    <w:pStyle w:val="98"/>
                    <w:adjustRightInd/>
                    <w:snapToGrid/>
                    <w:rPr>
                      <w:color w:val="auto"/>
                      <w:highlight w:val="none"/>
                    </w:rPr>
                  </w:pPr>
                  <w:r>
                    <w:rPr>
                      <w:color w:val="auto"/>
                      <w:highlight w:val="none"/>
                    </w:rPr>
                    <w:t>85</w:t>
                  </w:r>
                </w:p>
              </w:tc>
            </w:tr>
          </w:tbl>
          <w:p w14:paraId="1E4D2285">
            <w:pPr>
              <w:ind w:firstLine="482"/>
              <w:rPr>
                <w:b/>
                <w:bCs/>
                <w:color w:val="auto"/>
                <w:highlight w:val="none"/>
              </w:rPr>
            </w:pPr>
            <w:r>
              <w:rPr>
                <w:rFonts w:hint="eastAsia"/>
                <w:b/>
                <w:bCs/>
                <w:color w:val="auto"/>
                <w:highlight w:val="none"/>
              </w:rPr>
              <w:t>（2）企业生产废气</w:t>
            </w:r>
            <w:r>
              <w:rPr>
                <w:b/>
                <w:bCs/>
                <w:color w:val="auto"/>
                <w:highlight w:val="none"/>
              </w:rPr>
              <w:t>无组织排放</w:t>
            </w:r>
          </w:p>
          <w:p w14:paraId="6349D4D2">
            <w:pPr>
              <w:keepNext w:val="0"/>
              <w:keepLines w:val="0"/>
              <w:widowControl/>
              <w:suppressLineNumbers w:val="0"/>
              <w:jc w:val="left"/>
              <w:rPr>
                <w:rFonts w:hint="eastAsia"/>
                <w:color w:val="auto"/>
                <w:highlight w:val="none"/>
              </w:rPr>
            </w:pPr>
            <w:r>
              <w:rPr>
                <w:color w:val="auto"/>
                <w:highlight w:val="none"/>
              </w:rPr>
              <w:t>本项目</w:t>
            </w:r>
            <w:r>
              <w:rPr>
                <w:rFonts w:hint="eastAsia"/>
                <w:color w:val="auto"/>
                <w:highlight w:val="none"/>
              </w:rPr>
              <w:t>生产过程产生的废气中</w:t>
            </w:r>
            <w:r>
              <w:rPr>
                <w:rFonts w:hint="eastAsia"/>
                <w:color w:val="auto"/>
                <w:highlight w:val="none"/>
                <w:lang w:val="en-US" w:eastAsia="zh-CN"/>
              </w:rPr>
              <w:t>颗粒物、</w:t>
            </w:r>
            <w:r>
              <w:rPr>
                <w:rFonts w:hint="eastAsia" w:ascii="Times New Roman" w:hAnsi="Times New Roman" w:eastAsia="宋体" w:cs="Times New Roman"/>
                <w:color w:val="auto"/>
                <w:highlight w:val="none"/>
                <w:lang w:val="en-US" w:eastAsia="zh-CN"/>
              </w:rPr>
              <w:t>苯并[a]芘无组织排放执行《大气污染物综合排放标准》（</w:t>
            </w:r>
            <w:r>
              <w:rPr>
                <w:rFonts w:hint="default" w:ascii="Times New Roman" w:hAnsi="Times New Roman" w:eastAsia="宋体" w:cs="Times New Roman"/>
                <w:color w:val="auto"/>
                <w:highlight w:val="none"/>
                <w:lang w:val="en-US" w:eastAsia="zh-CN"/>
              </w:rPr>
              <w:t>GB16297-1996</w:t>
            </w:r>
            <w:r>
              <w:rPr>
                <w:rFonts w:hint="eastAsia" w:ascii="Times New Roman" w:hAnsi="Times New Roman" w:eastAsia="宋体" w:cs="Times New Roman"/>
                <w:color w:val="auto"/>
                <w:highlight w:val="none"/>
                <w:lang w:val="en-US" w:eastAsia="zh-CN"/>
              </w:rPr>
              <w:t>）表</w:t>
            </w:r>
            <w:r>
              <w:rPr>
                <w:rFonts w:hint="default" w:ascii="Times New Roman" w:hAnsi="Times New Roman" w:eastAsia="宋体" w:cs="Times New Roman"/>
                <w:color w:val="auto"/>
                <w:highlight w:val="none"/>
                <w:lang w:val="en-US" w:eastAsia="zh-CN"/>
              </w:rPr>
              <w:t>2</w:t>
            </w:r>
            <w:r>
              <w:rPr>
                <w:rFonts w:hint="eastAsia" w:ascii="Times New Roman" w:hAnsi="Times New Roman" w:eastAsia="宋体" w:cs="Times New Roman"/>
                <w:color w:val="auto"/>
                <w:highlight w:val="none"/>
                <w:lang w:val="en-US" w:eastAsia="zh-CN"/>
              </w:rPr>
              <w:t>中相关限值要求；非甲烷总烃无组织排放执行《大气污染物综合排放标准》（</w:t>
            </w:r>
            <w:r>
              <w:rPr>
                <w:rFonts w:hint="default" w:ascii="Times New Roman" w:hAnsi="Times New Roman" w:eastAsia="宋体" w:cs="Times New Roman"/>
                <w:color w:val="auto"/>
                <w:highlight w:val="none"/>
                <w:lang w:val="en-US" w:eastAsia="zh-CN"/>
              </w:rPr>
              <w:t>GB16297-1996</w:t>
            </w:r>
            <w:r>
              <w:rPr>
                <w:rFonts w:hint="eastAsia" w:ascii="Times New Roman" w:hAnsi="Times New Roman" w:eastAsia="宋体" w:cs="Times New Roman"/>
                <w:color w:val="auto"/>
                <w:highlight w:val="none"/>
                <w:lang w:val="en-US" w:eastAsia="zh-CN"/>
              </w:rPr>
              <w:t>）表</w:t>
            </w:r>
            <w:r>
              <w:rPr>
                <w:rFonts w:hint="default" w:ascii="Times New Roman" w:hAnsi="Times New Roman" w:eastAsia="宋体" w:cs="Times New Roman"/>
                <w:color w:val="auto"/>
                <w:highlight w:val="none"/>
                <w:lang w:val="en-US" w:eastAsia="zh-CN"/>
              </w:rPr>
              <w:t>2</w:t>
            </w:r>
            <w:r>
              <w:rPr>
                <w:rFonts w:hint="eastAsia" w:ascii="Times New Roman" w:hAnsi="Times New Roman" w:eastAsia="宋体" w:cs="Times New Roman"/>
                <w:color w:val="auto"/>
                <w:highlight w:val="none"/>
                <w:lang w:val="en-US" w:eastAsia="zh-CN"/>
              </w:rPr>
              <w:t>和《挥发性有机物无组织排放控制标准》（</w:t>
            </w:r>
            <w:r>
              <w:rPr>
                <w:rFonts w:hint="default" w:ascii="Times New Roman" w:hAnsi="Times New Roman" w:eastAsia="宋体" w:cs="Times New Roman"/>
                <w:color w:val="auto"/>
                <w:highlight w:val="none"/>
                <w:lang w:val="en-US" w:eastAsia="zh-CN"/>
              </w:rPr>
              <w:t>DB37822-2019</w:t>
            </w:r>
            <w:r>
              <w:rPr>
                <w:rFonts w:hint="eastAsia" w:ascii="Times New Roman" w:hAnsi="Times New Roman" w:eastAsia="宋体" w:cs="Times New Roman"/>
                <w:color w:val="auto"/>
                <w:highlight w:val="none"/>
                <w:lang w:val="en-US" w:eastAsia="zh-CN"/>
              </w:rPr>
              <w:t>）中表A.1相关限值要求</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恶臭污染物厂界无组织排放执行《恶臭污染物排放标准》（</w:t>
            </w:r>
            <w:r>
              <w:rPr>
                <w:rFonts w:hint="default" w:ascii="Times New Roman" w:hAnsi="Times New Roman" w:eastAsia="宋体" w:cs="Times New Roman"/>
                <w:color w:val="auto"/>
                <w:highlight w:val="none"/>
                <w:lang w:val="en-US" w:eastAsia="zh-CN"/>
              </w:rPr>
              <w:t>GB14554-93</w:t>
            </w:r>
            <w:r>
              <w:rPr>
                <w:rFonts w:hint="eastAsia" w:ascii="Times New Roman" w:hAnsi="Times New Roman" w:eastAsia="宋体" w:cs="Times New Roman"/>
                <w:color w:val="auto"/>
                <w:highlight w:val="none"/>
                <w:lang w:val="en-US" w:eastAsia="zh-CN"/>
              </w:rPr>
              <w:t>）表</w:t>
            </w:r>
            <w:r>
              <w:rPr>
                <w:rFonts w:hint="default" w:ascii="Times New Roman" w:hAnsi="Times New Roman" w:eastAsia="宋体" w:cs="Times New Roman"/>
                <w:color w:val="auto"/>
                <w:highlight w:val="none"/>
                <w:lang w:val="en-US" w:eastAsia="zh-CN"/>
              </w:rPr>
              <w:t>1</w:t>
            </w:r>
            <w:r>
              <w:rPr>
                <w:rFonts w:hint="eastAsia" w:ascii="Times New Roman" w:hAnsi="Times New Roman" w:eastAsia="宋体" w:cs="Times New Roman"/>
                <w:color w:val="auto"/>
                <w:highlight w:val="none"/>
                <w:lang w:val="en-US" w:eastAsia="zh-CN"/>
              </w:rPr>
              <w:t>中相关限值要求。</w:t>
            </w:r>
          </w:p>
          <w:p w14:paraId="056603E7">
            <w:pPr>
              <w:ind w:firstLine="0" w:firstLineChars="0"/>
              <w:jc w:val="center"/>
              <w:rPr>
                <w:b/>
                <w:bCs/>
                <w:color w:val="auto"/>
                <w:highlight w:val="none"/>
              </w:rPr>
            </w:pPr>
            <w:r>
              <w:rPr>
                <w:b/>
                <w:bCs/>
                <w:color w:val="auto"/>
                <w:highlight w:val="none"/>
              </w:rPr>
              <w:t>表</w:t>
            </w:r>
            <w:r>
              <w:rPr>
                <w:rFonts w:hint="eastAsia"/>
                <w:b/>
                <w:bCs/>
                <w:color w:val="auto"/>
                <w:highlight w:val="none"/>
              </w:rPr>
              <w:t>3.7-</w:t>
            </w:r>
            <w:r>
              <w:rPr>
                <w:rFonts w:hint="eastAsia"/>
                <w:b/>
                <w:bCs/>
                <w:color w:val="auto"/>
                <w:highlight w:val="none"/>
                <w:lang w:val="en-US" w:eastAsia="zh-CN"/>
              </w:rPr>
              <w:t>6</w:t>
            </w:r>
            <w:r>
              <w:rPr>
                <w:b/>
                <w:bCs/>
                <w:color w:val="auto"/>
                <w:highlight w:val="none"/>
              </w:rPr>
              <w:t xml:space="preserve">  </w:t>
            </w:r>
            <w:r>
              <w:rPr>
                <w:rFonts w:hint="eastAsia"/>
                <w:b/>
                <w:bCs/>
                <w:color w:val="auto"/>
                <w:highlight w:val="none"/>
                <w:lang w:val="en-US" w:eastAsia="zh-CN"/>
              </w:rPr>
              <w:t>本项目</w:t>
            </w:r>
            <w:r>
              <w:rPr>
                <w:rFonts w:hint="eastAsia"/>
                <w:b/>
                <w:bCs/>
                <w:color w:val="auto"/>
                <w:highlight w:val="none"/>
              </w:rPr>
              <w:t>大气污染物无组织排放标准</w:t>
            </w:r>
          </w:p>
          <w:tbl>
            <w:tblPr>
              <w:tblStyle w:val="27"/>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163"/>
              <w:gridCol w:w="1153"/>
              <w:gridCol w:w="2343"/>
              <w:gridCol w:w="1259"/>
              <w:gridCol w:w="2182"/>
            </w:tblGrid>
            <w:tr w14:paraId="3DCC8B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95" w:hRule="atLeast"/>
                <w:jc w:val="center"/>
              </w:trPr>
              <w:tc>
                <w:tcPr>
                  <w:tcW w:w="717" w:type="pct"/>
                  <w:noWrap w:val="0"/>
                  <w:vAlign w:val="center"/>
                </w:tcPr>
                <w:p w14:paraId="066EC5D3">
                  <w:pPr>
                    <w:pStyle w:val="87"/>
                    <w:adjustRightInd w:val="0"/>
                    <w:snapToGrid w:val="0"/>
                    <w:spacing w:line="320" w:lineRule="exact"/>
                    <w:jc w:val="center"/>
                    <w:rPr>
                      <w:rFonts w:ascii="Times New Roman" w:hAnsi="Times New Roman" w:cs="Times New Roman"/>
                      <w:b/>
                      <w:color w:val="auto"/>
                      <w:szCs w:val="21"/>
                      <w:highlight w:val="none"/>
                      <w:lang w:eastAsia="zh-CN"/>
                    </w:rPr>
                  </w:pPr>
                  <w:r>
                    <w:rPr>
                      <w:rFonts w:hint="eastAsia" w:ascii="Times New Roman" w:hAnsi="Times New Roman" w:cs="Times New Roman"/>
                      <w:b/>
                      <w:color w:val="auto"/>
                      <w:szCs w:val="21"/>
                      <w:highlight w:val="none"/>
                      <w:lang w:eastAsia="zh-CN"/>
                    </w:rPr>
                    <w:t>污染物项目</w:t>
                  </w:r>
                </w:p>
              </w:tc>
              <w:tc>
                <w:tcPr>
                  <w:tcW w:w="711" w:type="pct"/>
                  <w:noWrap w:val="0"/>
                  <w:vAlign w:val="center"/>
                </w:tcPr>
                <w:p w14:paraId="2383F151">
                  <w:pPr>
                    <w:pStyle w:val="87"/>
                    <w:adjustRightInd w:val="0"/>
                    <w:snapToGrid w:val="0"/>
                    <w:spacing w:line="320" w:lineRule="exact"/>
                    <w:jc w:val="center"/>
                    <w:rPr>
                      <w:rFonts w:ascii="Times New Roman" w:hAnsi="Times New Roman" w:cs="Times New Roman"/>
                      <w:b/>
                      <w:color w:val="auto"/>
                      <w:szCs w:val="21"/>
                      <w:highlight w:val="none"/>
                      <w:lang w:eastAsia="zh-CN"/>
                    </w:rPr>
                  </w:pPr>
                  <w:r>
                    <w:rPr>
                      <w:rFonts w:hint="eastAsia" w:ascii="Times New Roman" w:hAnsi="Times New Roman" w:cs="Times New Roman"/>
                      <w:b/>
                      <w:color w:val="auto"/>
                      <w:szCs w:val="21"/>
                      <w:highlight w:val="none"/>
                      <w:lang w:eastAsia="zh-CN"/>
                    </w:rPr>
                    <w:t>排放限值（mg/m</w:t>
                  </w:r>
                  <w:r>
                    <w:rPr>
                      <w:rFonts w:hint="eastAsia" w:ascii="Times New Roman" w:hAnsi="Times New Roman" w:cs="Times New Roman"/>
                      <w:b/>
                      <w:color w:val="auto"/>
                      <w:szCs w:val="21"/>
                      <w:highlight w:val="none"/>
                      <w:vertAlign w:val="superscript"/>
                      <w:lang w:eastAsia="zh-CN"/>
                    </w:rPr>
                    <w:t>3</w:t>
                  </w:r>
                  <w:r>
                    <w:rPr>
                      <w:rFonts w:hint="eastAsia" w:ascii="Times New Roman" w:hAnsi="Times New Roman" w:cs="Times New Roman"/>
                      <w:b/>
                      <w:color w:val="auto"/>
                      <w:szCs w:val="21"/>
                      <w:highlight w:val="none"/>
                      <w:lang w:eastAsia="zh-CN"/>
                    </w:rPr>
                    <w:t>）</w:t>
                  </w:r>
                </w:p>
              </w:tc>
              <w:tc>
                <w:tcPr>
                  <w:tcW w:w="1446" w:type="pct"/>
                  <w:noWrap w:val="0"/>
                  <w:vAlign w:val="center"/>
                </w:tcPr>
                <w:p w14:paraId="187E8089">
                  <w:pPr>
                    <w:pStyle w:val="87"/>
                    <w:adjustRightInd w:val="0"/>
                    <w:snapToGrid w:val="0"/>
                    <w:spacing w:line="320" w:lineRule="exact"/>
                    <w:jc w:val="center"/>
                    <w:rPr>
                      <w:rFonts w:ascii="Times New Roman" w:hAnsi="Times New Roman" w:cs="Times New Roman"/>
                      <w:b/>
                      <w:color w:val="auto"/>
                      <w:szCs w:val="21"/>
                      <w:highlight w:val="none"/>
                      <w:lang w:eastAsia="zh-CN"/>
                    </w:rPr>
                  </w:pPr>
                  <w:r>
                    <w:rPr>
                      <w:rFonts w:hint="eastAsia" w:ascii="Times New Roman" w:hAnsi="Times New Roman" w:cs="Times New Roman"/>
                      <w:b/>
                      <w:color w:val="auto"/>
                      <w:szCs w:val="21"/>
                      <w:highlight w:val="none"/>
                      <w:lang w:eastAsia="zh-CN"/>
                    </w:rPr>
                    <w:t>限值含义</w:t>
                  </w:r>
                </w:p>
              </w:tc>
              <w:tc>
                <w:tcPr>
                  <w:tcW w:w="777" w:type="pct"/>
                  <w:noWrap w:val="0"/>
                  <w:vAlign w:val="center"/>
                </w:tcPr>
                <w:p w14:paraId="7AD74EF5">
                  <w:pPr>
                    <w:pStyle w:val="87"/>
                    <w:adjustRightInd w:val="0"/>
                    <w:snapToGrid w:val="0"/>
                    <w:spacing w:line="320" w:lineRule="exact"/>
                    <w:jc w:val="center"/>
                    <w:rPr>
                      <w:rFonts w:ascii="Times New Roman" w:hAnsi="Times New Roman" w:cs="Times New Roman"/>
                      <w:b/>
                      <w:color w:val="auto"/>
                      <w:szCs w:val="21"/>
                      <w:highlight w:val="none"/>
                      <w:lang w:eastAsia="zh-CN"/>
                    </w:rPr>
                  </w:pPr>
                  <w:r>
                    <w:rPr>
                      <w:rFonts w:hint="eastAsia" w:ascii="Times New Roman" w:hAnsi="Times New Roman" w:cs="Times New Roman"/>
                      <w:b/>
                      <w:color w:val="auto"/>
                      <w:szCs w:val="21"/>
                      <w:highlight w:val="none"/>
                      <w:lang w:eastAsia="zh-CN"/>
                    </w:rPr>
                    <w:t>无组织排放监控位置</w:t>
                  </w:r>
                </w:p>
              </w:tc>
              <w:tc>
                <w:tcPr>
                  <w:tcW w:w="1346" w:type="pct"/>
                  <w:noWrap w:val="0"/>
                  <w:vAlign w:val="center"/>
                </w:tcPr>
                <w:p w14:paraId="54F075E5">
                  <w:pPr>
                    <w:pStyle w:val="87"/>
                    <w:adjustRightInd w:val="0"/>
                    <w:snapToGrid w:val="0"/>
                    <w:spacing w:line="320" w:lineRule="exact"/>
                    <w:jc w:val="center"/>
                    <w:rPr>
                      <w:rFonts w:ascii="Times New Roman" w:hAnsi="Times New Roman" w:cs="Times New Roman"/>
                      <w:b/>
                      <w:color w:val="auto"/>
                      <w:szCs w:val="21"/>
                      <w:highlight w:val="none"/>
                      <w:lang w:eastAsia="zh-CN"/>
                    </w:rPr>
                  </w:pPr>
                  <w:r>
                    <w:rPr>
                      <w:rFonts w:hint="eastAsia" w:ascii="Times New Roman" w:hAnsi="Times New Roman" w:cs="Times New Roman"/>
                      <w:b/>
                      <w:color w:val="auto"/>
                      <w:szCs w:val="21"/>
                      <w:highlight w:val="none"/>
                      <w:lang w:eastAsia="zh-CN"/>
                    </w:rPr>
                    <w:t>标准</w:t>
                  </w:r>
                </w:p>
              </w:tc>
            </w:tr>
            <w:tr w14:paraId="68C6CA3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16" w:hRule="atLeast"/>
                <w:jc w:val="center"/>
              </w:trPr>
              <w:tc>
                <w:tcPr>
                  <w:tcW w:w="717" w:type="pct"/>
                  <w:noWrap w:val="0"/>
                  <w:vAlign w:val="center"/>
                </w:tcPr>
                <w:p w14:paraId="38811C91">
                  <w:pPr>
                    <w:pStyle w:val="87"/>
                    <w:adjustRightInd w:val="0"/>
                    <w:snapToGrid w:val="0"/>
                    <w:spacing w:line="320" w:lineRule="exact"/>
                    <w:jc w:val="center"/>
                    <w:rPr>
                      <w:rFonts w:hint="default" w:ascii="Times New Roman" w:hAnsi="Times New Roman" w:cs="Times New Roman"/>
                      <w:bCs/>
                      <w:color w:val="auto"/>
                      <w:szCs w:val="21"/>
                      <w:highlight w:val="none"/>
                      <w:lang w:val="en-US" w:eastAsia="zh-CN"/>
                    </w:rPr>
                  </w:pPr>
                  <w:r>
                    <w:rPr>
                      <w:rFonts w:hint="eastAsia" w:ascii="Times New Roman" w:hAnsi="Times New Roman" w:cs="Times New Roman"/>
                      <w:bCs/>
                      <w:color w:val="auto"/>
                      <w:szCs w:val="21"/>
                      <w:highlight w:val="none"/>
                      <w:lang w:val="en-US" w:eastAsia="zh-CN"/>
                    </w:rPr>
                    <w:t>颗粒物</w:t>
                  </w:r>
                </w:p>
              </w:tc>
              <w:tc>
                <w:tcPr>
                  <w:tcW w:w="711" w:type="pct"/>
                  <w:noWrap w:val="0"/>
                  <w:vAlign w:val="center"/>
                </w:tcPr>
                <w:p w14:paraId="5F1F1B0E">
                  <w:pPr>
                    <w:pStyle w:val="87"/>
                    <w:adjustRightInd w:val="0"/>
                    <w:snapToGrid w:val="0"/>
                    <w:spacing w:line="320" w:lineRule="exact"/>
                    <w:jc w:val="center"/>
                    <w:rPr>
                      <w:rFonts w:hint="default" w:ascii="Times New Roman" w:hAnsi="Times New Roman" w:cs="Times New Roman"/>
                      <w:bCs/>
                      <w:color w:val="auto"/>
                      <w:szCs w:val="21"/>
                      <w:highlight w:val="none"/>
                      <w:lang w:val="en-US" w:eastAsia="zh-CN"/>
                    </w:rPr>
                  </w:pPr>
                  <w:r>
                    <w:rPr>
                      <w:rFonts w:hint="eastAsia" w:ascii="Times New Roman" w:hAnsi="Times New Roman" w:cs="Times New Roman"/>
                      <w:bCs/>
                      <w:color w:val="auto"/>
                      <w:szCs w:val="21"/>
                      <w:highlight w:val="none"/>
                      <w:lang w:val="en-US" w:eastAsia="zh-CN"/>
                    </w:rPr>
                    <w:t>1.0</w:t>
                  </w:r>
                </w:p>
              </w:tc>
              <w:tc>
                <w:tcPr>
                  <w:tcW w:w="1446" w:type="pct"/>
                  <w:noWrap w:val="0"/>
                  <w:vAlign w:val="center"/>
                </w:tcPr>
                <w:p w14:paraId="661FDC5F">
                  <w:pPr>
                    <w:pStyle w:val="87"/>
                    <w:adjustRightInd w:val="0"/>
                    <w:snapToGrid w:val="0"/>
                    <w:spacing w:line="320" w:lineRule="exact"/>
                    <w:jc w:val="center"/>
                    <w:rPr>
                      <w:rFonts w:hint="eastAsia" w:ascii="Times New Roman" w:hAnsi="Times New Roman" w:cs="Times New Roman"/>
                      <w:bCs/>
                      <w:color w:val="auto"/>
                      <w:szCs w:val="21"/>
                      <w:highlight w:val="none"/>
                      <w:lang w:eastAsia="zh-CN"/>
                    </w:rPr>
                  </w:pPr>
                  <w:r>
                    <w:rPr>
                      <w:color w:val="auto"/>
                      <w:sz w:val="21"/>
                      <w:szCs w:val="21"/>
                      <w:highlight w:val="none"/>
                    </w:rPr>
                    <w:t>周界外浓度最高点</w:t>
                  </w:r>
                </w:p>
              </w:tc>
              <w:tc>
                <w:tcPr>
                  <w:tcW w:w="777" w:type="pct"/>
                  <w:noWrap w:val="0"/>
                  <w:vAlign w:val="center"/>
                </w:tcPr>
                <w:p w14:paraId="3C065867">
                  <w:pPr>
                    <w:pStyle w:val="87"/>
                    <w:adjustRightInd w:val="0"/>
                    <w:snapToGrid w:val="0"/>
                    <w:spacing w:line="320" w:lineRule="exact"/>
                    <w:jc w:val="center"/>
                    <w:rPr>
                      <w:rFonts w:ascii="Times New Roman" w:hAnsi="Times New Roman" w:cs="Times New Roman"/>
                      <w:bCs/>
                      <w:color w:val="auto"/>
                      <w:szCs w:val="21"/>
                      <w:highlight w:val="none"/>
                      <w:lang w:eastAsia="zh-CN"/>
                    </w:rPr>
                  </w:pPr>
                  <w:r>
                    <w:rPr>
                      <w:rFonts w:hint="eastAsia"/>
                      <w:bCs/>
                      <w:color w:val="auto"/>
                      <w:sz w:val="21"/>
                      <w:szCs w:val="21"/>
                      <w:highlight w:val="none"/>
                    </w:rPr>
                    <w:t>厂界</w:t>
                  </w:r>
                </w:p>
              </w:tc>
              <w:tc>
                <w:tcPr>
                  <w:tcW w:w="1346" w:type="pct"/>
                  <w:vMerge w:val="restart"/>
                  <w:noWrap w:val="0"/>
                  <w:vAlign w:val="center"/>
                </w:tcPr>
                <w:p w14:paraId="1D2FD29D">
                  <w:pPr>
                    <w:adjustRightInd w:val="0"/>
                    <w:snapToGrid w:val="0"/>
                    <w:spacing w:line="240" w:lineRule="auto"/>
                    <w:ind w:firstLine="0" w:firstLineChars="0"/>
                    <w:jc w:val="center"/>
                    <w:rPr>
                      <w:rFonts w:hint="eastAsia" w:ascii="Times New Roman" w:hAnsi="Times New Roman" w:eastAsia="宋体" w:cs="Times New Roman"/>
                      <w:color w:val="auto"/>
                      <w:spacing w:val="12"/>
                      <w:sz w:val="21"/>
                      <w:szCs w:val="21"/>
                      <w:highlight w:val="none"/>
                      <w:lang w:val="en-US" w:eastAsia="zh-CN"/>
                    </w:rPr>
                  </w:pPr>
                  <w:r>
                    <w:rPr>
                      <w:rFonts w:hint="eastAsia" w:ascii="Times New Roman" w:hAnsi="Times New Roman" w:eastAsia="宋体" w:cs="Times New Roman"/>
                      <w:color w:val="auto"/>
                      <w:spacing w:val="12"/>
                      <w:sz w:val="21"/>
                      <w:szCs w:val="21"/>
                      <w:highlight w:val="none"/>
                      <w:lang w:val="en-US" w:eastAsia="zh-CN"/>
                    </w:rPr>
                    <w:t>《大气污染物综合排放标准》（</w:t>
                  </w:r>
                  <w:r>
                    <w:rPr>
                      <w:rFonts w:hint="default" w:ascii="Times New Roman" w:hAnsi="Times New Roman" w:eastAsia="宋体" w:cs="Times New Roman"/>
                      <w:color w:val="auto"/>
                      <w:spacing w:val="12"/>
                      <w:sz w:val="21"/>
                      <w:szCs w:val="21"/>
                      <w:highlight w:val="none"/>
                      <w:lang w:val="en-US" w:eastAsia="zh-CN"/>
                    </w:rPr>
                    <w:t>GB16297-1996</w:t>
                  </w:r>
                  <w:r>
                    <w:rPr>
                      <w:rFonts w:hint="eastAsia" w:ascii="Times New Roman" w:hAnsi="Times New Roman" w:eastAsia="宋体" w:cs="Times New Roman"/>
                      <w:color w:val="auto"/>
                      <w:spacing w:val="12"/>
                      <w:sz w:val="21"/>
                      <w:szCs w:val="21"/>
                      <w:highlight w:val="none"/>
                      <w:lang w:val="en-US" w:eastAsia="zh-CN"/>
                    </w:rPr>
                    <w:t>）</w:t>
                  </w:r>
                </w:p>
              </w:tc>
            </w:tr>
            <w:tr w14:paraId="45A7627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16" w:hRule="atLeast"/>
                <w:jc w:val="center"/>
              </w:trPr>
              <w:tc>
                <w:tcPr>
                  <w:tcW w:w="717" w:type="pct"/>
                  <w:noWrap w:val="0"/>
                  <w:vAlign w:val="center"/>
                </w:tcPr>
                <w:p w14:paraId="3D50F047">
                  <w:pPr>
                    <w:pStyle w:val="87"/>
                    <w:adjustRightInd w:val="0"/>
                    <w:snapToGrid w:val="0"/>
                    <w:spacing w:line="320" w:lineRule="exact"/>
                    <w:jc w:val="center"/>
                    <w:rPr>
                      <w:rFonts w:hint="eastAsia" w:ascii="Times New Roman" w:hAnsi="Times New Roman" w:cs="Times New Roman"/>
                      <w:bCs/>
                      <w:color w:val="auto"/>
                      <w:szCs w:val="21"/>
                      <w:highlight w:val="none"/>
                      <w:lang w:eastAsia="zh-CN"/>
                    </w:rPr>
                  </w:pPr>
                  <w:r>
                    <w:rPr>
                      <w:rFonts w:hint="eastAsia" w:ascii="Times New Roman" w:hAnsi="Times New Roman" w:eastAsia="宋体" w:cs="Times New Roman"/>
                      <w:color w:val="auto"/>
                      <w:highlight w:val="none"/>
                      <w:lang w:val="en-US" w:eastAsia="zh-CN"/>
                    </w:rPr>
                    <w:t>苯并[a]芘</w:t>
                  </w:r>
                </w:p>
              </w:tc>
              <w:tc>
                <w:tcPr>
                  <w:tcW w:w="711" w:type="pct"/>
                  <w:noWrap w:val="0"/>
                  <w:vAlign w:val="center"/>
                </w:tcPr>
                <w:p w14:paraId="66412C0A">
                  <w:pPr>
                    <w:pStyle w:val="87"/>
                    <w:adjustRightInd w:val="0"/>
                    <w:snapToGrid w:val="0"/>
                    <w:spacing w:line="320" w:lineRule="exact"/>
                    <w:jc w:val="center"/>
                    <w:rPr>
                      <w:rFonts w:hint="default" w:ascii="Times New Roman" w:hAnsi="Times New Roman" w:cs="Times New Roman"/>
                      <w:bCs/>
                      <w:color w:val="auto"/>
                      <w:szCs w:val="21"/>
                      <w:highlight w:val="none"/>
                      <w:lang w:val="en-US" w:eastAsia="zh-CN"/>
                    </w:rPr>
                  </w:pPr>
                  <w:r>
                    <w:rPr>
                      <w:rFonts w:hint="eastAsia" w:ascii="Times New Roman" w:hAnsi="Times New Roman" w:cs="Times New Roman"/>
                      <w:bCs/>
                      <w:color w:val="auto"/>
                      <w:szCs w:val="21"/>
                      <w:highlight w:val="none"/>
                      <w:lang w:val="en-US" w:eastAsia="zh-CN"/>
                    </w:rPr>
                    <w:t>0.008</w:t>
                  </w:r>
                  <w:r>
                    <w:rPr>
                      <w:rFonts w:hint="default" w:ascii="Arial" w:hAnsi="Arial" w:cs="Arial"/>
                      <w:bCs/>
                      <w:color w:val="auto"/>
                      <w:szCs w:val="21"/>
                      <w:highlight w:val="none"/>
                      <w:lang w:val="en-US" w:eastAsia="zh-CN"/>
                    </w:rPr>
                    <w:t>×</w:t>
                  </w:r>
                  <w:r>
                    <w:rPr>
                      <w:rFonts w:hint="eastAsia" w:ascii="Times New Roman" w:hAnsi="Times New Roman" w:cs="Times New Roman"/>
                      <w:bCs/>
                      <w:color w:val="auto"/>
                      <w:szCs w:val="21"/>
                      <w:highlight w:val="none"/>
                      <w:lang w:val="en-US" w:eastAsia="zh-CN"/>
                    </w:rPr>
                    <w:t>10</w:t>
                  </w:r>
                  <w:r>
                    <w:rPr>
                      <w:rFonts w:hint="eastAsia" w:ascii="Times New Roman" w:hAnsi="Times New Roman" w:cs="Times New Roman"/>
                      <w:bCs/>
                      <w:color w:val="auto"/>
                      <w:szCs w:val="21"/>
                      <w:highlight w:val="none"/>
                      <w:vertAlign w:val="superscript"/>
                      <w:lang w:val="en-US" w:eastAsia="zh-CN"/>
                    </w:rPr>
                    <w:t>-3</w:t>
                  </w:r>
                </w:p>
              </w:tc>
              <w:tc>
                <w:tcPr>
                  <w:tcW w:w="1446" w:type="pct"/>
                  <w:noWrap w:val="0"/>
                  <w:vAlign w:val="center"/>
                </w:tcPr>
                <w:p w14:paraId="118AB809">
                  <w:pPr>
                    <w:pStyle w:val="87"/>
                    <w:adjustRightInd w:val="0"/>
                    <w:snapToGrid w:val="0"/>
                    <w:spacing w:line="320" w:lineRule="exact"/>
                    <w:jc w:val="center"/>
                    <w:rPr>
                      <w:rFonts w:hint="eastAsia" w:ascii="Times New Roman" w:hAnsi="Times New Roman" w:cs="Times New Roman"/>
                      <w:bCs/>
                      <w:color w:val="auto"/>
                      <w:szCs w:val="21"/>
                      <w:highlight w:val="none"/>
                      <w:lang w:eastAsia="zh-CN"/>
                    </w:rPr>
                  </w:pPr>
                  <w:r>
                    <w:rPr>
                      <w:color w:val="auto"/>
                      <w:sz w:val="21"/>
                      <w:szCs w:val="21"/>
                      <w:highlight w:val="none"/>
                    </w:rPr>
                    <w:t>周界外浓度最高点</w:t>
                  </w:r>
                </w:p>
              </w:tc>
              <w:tc>
                <w:tcPr>
                  <w:tcW w:w="777" w:type="pct"/>
                  <w:noWrap w:val="0"/>
                  <w:vAlign w:val="center"/>
                </w:tcPr>
                <w:p w14:paraId="16E4FA1B">
                  <w:pPr>
                    <w:pStyle w:val="87"/>
                    <w:adjustRightInd w:val="0"/>
                    <w:snapToGrid w:val="0"/>
                    <w:spacing w:line="320" w:lineRule="exact"/>
                    <w:jc w:val="center"/>
                    <w:rPr>
                      <w:rFonts w:ascii="Times New Roman" w:hAnsi="Times New Roman" w:cs="Times New Roman"/>
                      <w:bCs/>
                      <w:color w:val="auto"/>
                      <w:szCs w:val="21"/>
                      <w:highlight w:val="none"/>
                      <w:lang w:eastAsia="zh-CN"/>
                    </w:rPr>
                  </w:pPr>
                  <w:r>
                    <w:rPr>
                      <w:rFonts w:hint="eastAsia"/>
                      <w:bCs/>
                      <w:color w:val="auto"/>
                      <w:sz w:val="21"/>
                      <w:szCs w:val="21"/>
                      <w:highlight w:val="none"/>
                    </w:rPr>
                    <w:t>厂界</w:t>
                  </w:r>
                </w:p>
              </w:tc>
              <w:tc>
                <w:tcPr>
                  <w:tcW w:w="1346" w:type="pct"/>
                  <w:vMerge w:val="continue"/>
                  <w:noWrap w:val="0"/>
                  <w:vAlign w:val="center"/>
                </w:tcPr>
                <w:p w14:paraId="13699001">
                  <w:pPr>
                    <w:adjustRightInd w:val="0"/>
                    <w:snapToGrid w:val="0"/>
                    <w:spacing w:line="240" w:lineRule="auto"/>
                    <w:ind w:firstLine="0" w:firstLineChars="0"/>
                    <w:jc w:val="center"/>
                    <w:rPr>
                      <w:rFonts w:hint="eastAsia" w:ascii="Times New Roman" w:hAnsi="Times New Roman" w:eastAsia="宋体" w:cs="Times New Roman"/>
                      <w:color w:val="auto"/>
                      <w:spacing w:val="12"/>
                      <w:sz w:val="21"/>
                      <w:szCs w:val="21"/>
                      <w:highlight w:val="none"/>
                      <w:lang w:val="en-US" w:eastAsia="zh-CN"/>
                    </w:rPr>
                  </w:pPr>
                </w:p>
              </w:tc>
            </w:tr>
            <w:tr w14:paraId="54BB808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16" w:hRule="atLeast"/>
                <w:jc w:val="center"/>
              </w:trPr>
              <w:tc>
                <w:tcPr>
                  <w:tcW w:w="717" w:type="pct"/>
                  <w:noWrap w:val="0"/>
                  <w:vAlign w:val="center"/>
                </w:tcPr>
                <w:p w14:paraId="7808FE86">
                  <w:pPr>
                    <w:pStyle w:val="87"/>
                    <w:adjustRightInd w:val="0"/>
                    <w:snapToGrid w:val="0"/>
                    <w:spacing w:line="320" w:lineRule="exact"/>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非甲烷总烃</w:t>
                  </w:r>
                </w:p>
              </w:tc>
              <w:tc>
                <w:tcPr>
                  <w:tcW w:w="711" w:type="pct"/>
                  <w:noWrap w:val="0"/>
                  <w:vAlign w:val="center"/>
                </w:tcPr>
                <w:p w14:paraId="537BCA7E">
                  <w:pPr>
                    <w:pStyle w:val="87"/>
                    <w:adjustRightInd w:val="0"/>
                    <w:snapToGrid w:val="0"/>
                    <w:spacing w:line="320" w:lineRule="exact"/>
                    <w:jc w:val="center"/>
                    <w:rPr>
                      <w:rFonts w:hint="default" w:ascii="Times New Roman" w:hAnsi="Times New Roman" w:cs="Times New Roman"/>
                      <w:bCs/>
                      <w:color w:val="auto"/>
                      <w:szCs w:val="21"/>
                      <w:highlight w:val="none"/>
                      <w:lang w:val="en-US" w:eastAsia="zh-CN"/>
                    </w:rPr>
                  </w:pPr>
                  <w:r>
                    <w:rPr>
                      <w:rFonts w:hint="eastAsia" w:ascii="Times New Roman" w:hAnsi="Times New Roman" w:cs="Times New Roman"/>
                      <w:bCs/>
                      <w:color w:val="auto"/>
                      <w:szCs w:val="21"/>
                      <w:highlight w:val="none"/>
                      <w:lang w:val="en-US" w:eastAsia="zh-CN"/>
                    </w:rPr>
                    <w:t>4.0</w:t>
                  </w:r>
                </w:p>
              </w:tc>
              <w:tc>
                <w:tcPr>
                  <w:tcW w:w="1446" w:type="pct"/>
                  <w:noWrap w:val="0"/>
                  <w:vAlign w:val="center"/>
                </w:tcPr>
                <w:p w14:paraId="6DA2D6CD">
                  <w:pPr>
                    <w:pStyle w:val="87"/>
                    <w:adjustRightInd w:val="0"/>
                    <w:snapToGrid w:val="0"/>
                    <w:spacing w:line="320" w:lineRule="exact"/>
                    <w:jc w:val="center"/>
                    <w:rPr>
                      <w:color w:val="auto"/>
                      <w:sz w:val="21"/>
                      <w:szCs w:val="21"/>
                      <w:highlight w:val="none"/>
                    </w:rPr>
                  </w:pPr>
                  <w:r>
                    <w:rPr>
                      <w:color w:val="auto"/>
                      <w:sz w:val="21"/>
                      <w:szCs w:val="21"/>
                      <w:highlight w:val="none"/>
                    </w:rPr>
                    <w:t>周界外浓度最高点</w:t>
                  </w:r>
                </w:p>
              </w:tc>
              <w:tc>
                <w:tcPr>
                  <w:tcW w:w="777" w:type="pct"/>
                  <w:noWrap w:val="0"/>
                  <w:vAlign w:val="center"/>
                </w:tcPr>
                <w:p w14:paraId="06F0477D">
                  <w:pPr>
                    <w:pStyle w:val="87"/>
                    <w:adjustRightInd w:val="0"/>
                    <w:snapToGrid w:val="0"/>
                    <w:spacing w:line="320" w:lineRule="exact"/>
                    <w:jc w:val="center"/>
                    <w:rPr>
                      <w:rFonts w:hint="eastAsia"/>
                      <w:bCs/>
                      <w:color w:val="auto"/>
                      <w:sz w:val="21"/>
                      <w:szCs w:val="21"/>
                      <w:highlight w:val="none"/>
                    </w:rPr>
                  </w:pPr>
                  <w:r>
                    <w:rPr>
                      <w:rFonts w:hint="eastAsia"/>
                      <w:bCs/>
                      <w:color w:val="auto"/>
                      <w:sz w:val="21"/>
                      <w:szCs w:val="21"/>
                      <w:highlight w:val="none"/>
                    </w:rPr>
                    <w:t>厂界</w:t>
                  </w:r>
                </w:p>
              </w:tc>
              <w:tc>
                <w:tcPr>
                  <w:tcW w:w="1346" w:type="pct"/>
                  <w:vMerge w:val="continue"/>
                  <w:noWrap w:val="0"/>
                  <w:vAlign w:val="center"/>
                </w:tcPr>
                <w:p w14:paraId="1CE173E6">
                  <w:pPr>
                    <w:adjustRightInd w:val="0"/>
                    <w:snapToGrid w:val="0"/>
                    <w:spacing w:line="240" w:lineRule="auto"/>
                    <w:ind w:firstLine="0" w:firstLineChars="0"/>
                    <w:jc w:val="center"/>
                    <w:rPr>
                      <w:rFonts w:hint="eastAsia" w:ascii="Times New Roman" w:hAnsi="Times New Roman" w:eastAsia="宋体" w:cs="Times New Roman"/>
                      <w:color w:val="auto"/>
                      <w:spacing w:val="12"/>
                      <w:sz w:val="21"/>
                      <w:szCs w:val="21"/>
                      <w:highlight w:val="none"/>
                      <w:lang w:val="en-US" w:eastAsia="zh-CN"/>
                    </w:rPr>
                  </w:pPr>
                </w:p>
              </w:tc>
            </w:tr>
            <w:tr w14:paraId="4BD1E98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4" w:hRule="atLeast"/>
                <w:jc w:val="center"/>
              </w:trPr>
              <w:tc>
                <w:tcPr>
                  <w:tcW w:w="717" w:type="pct"/>
                  <w:vMerge w:val="restart"/>
                  <w:noWrap w:val="0"/>
                  <w:vAlign w:val="center"/>
                </w:tcPr>
                <w:p w14:paraId="2B775EB4">
                  <w:pPr>
                    <w:pStyle w:val="87"/>
                    <w:adjustRightInd w:val="0"/>
                    <w:snapToGrid w:val="0"/>
                    <w:spacing w:line="320" w:lineRule="exact"/>
                    <w:jc w:val="center"/>
                    <w:rPr>
                      <w:rFonts w:hint="eastAsia" w:ascii="Times New Roman" w:hAnsi="Times New Roman" w:cs="Times New Roman"/>
                      <w:bCs/>
                      <w:color w:val="auto"/>
                      <w:szCs w:val="21"/>
                      <w:highlight w:val="none"/>
                      <w:lang w:eastAsia="zh-CN"/>
                    </w:rPr>
                  </w:pPr>
                  <w:r>
                    <w:rPr>
                      <w:rFonts w:hint="eastAsia" w:ascii="Times New Roman" w:hAnsi="Times New Roman" w:cs="Times New Roman"/>
                      <w:bCs/>
                      <w:color w:val="auto"/>
                      <w:szCs w:val="21"/>
                      <w:highlight w:val="none"/>
                      <w:lang w:eastAsia="zh-CN"/>
                    </w:rPr>
                    <w:t>非甲烷总烃</w:t>
                  </w:r>
                </w:p>
              </w:tc>
              <w:tc>
                <w:tcPr>
                  <w:tcW w:w="711" w:type="pct"/>
                  <w:noWrap w:val="0"/>
                  <w:vAlign w:val="center"/>
                </w:tcPr>
                <w:p w14:paraId="439AA507">
                  <w:pPr>
                    <w:pStyle w:val="87"/>
                    <w:adjustRightInd w:val="0"/>
                    <w:snapToGrid w:val="0"/>
                    <w:spacing w:line="320" w:lineRule="exact"/>
                    <w:jc w:val="center"/>
                    <w:rPr>
                      <w:rFonts w:hint="default" w:ascii="Times New Roman" w:hAnsi="Times New Roman" w:cs="Times New Roman"/>
                      <w:bCs/>
                      <w:color w:val="auto"/>
                      <w:szCs w:val="21"/>
                      <w:highlight w:val="none"/>
                      <w:lang w:val="en-US" w:eastAsia="zh-CN"/>
                    </w:rPr>
                  </w:pPr>
                  <w:r>
                    <w:rPr>
                      <w:rFonts w:hint="eastAsia" w:ascii="Times New Roman" w:hAnsi="Times New Roman" w:cs="Times New Roman"/>
                      <w:bCs/>
                      <w:color w:val="auto"/>
                      <w:szCs w:val="21"/>
                      <w:highlight w:val="none"/>
                      <w:lang w:val="en-US" w:eastAsia="zh-CN"/>
                    </w:rPr>
                    <w:t>10</w:t>
                  </w:r>
                </w:p>
              </w:tc>
              <w:tc>
                <w:tcPr>
                  <w:tcW w:w="1446" w:type="pct"/>
                  <w:noWrap w:val="0"/>
                  <w:vAlign w:val="center"/>
                </w:tcPr>
                <w:p w14:paraId="022EDB1E">
                  <w:pPr>
                    <w:pStyle w:val="87"/>
                    <w:adjustRightInd w:val="0"/>
                    <w:snapToGrid w:val="0"/>
                    <w:spacing w:line="320" w:lineRule="exact"/>
                    <w:jc w:val="center"/>
                    <w:rPr>
                      <w:rFonts w:ascii="Times New Roman" w:hAnsi="Times New Roman" w:cs="Times New Roman"/>
                      <w:bCs/>
                      <w:color w:val="auto"/>
                      <w:szCs w:val="21"/>
                      <w:highlight w:val="none"/>
                      <w:lang w:eastAsia="zh-CN"/>
                    </w:rPr>
                  </w:pPr>
                  <w:r>
                    <w:rPr>
                      <w:rFonts w:hint="eastAsia" w:ascii="Times New Roman" w:hAnsi="Times New Roman" w:cs="Times New Roman"/>
                      <w:bCs/>
                      <w:color w:val="auto"/>
                      <w:szCs w:val="21"/>
                      <w:highlight w:val="none"/>
                      <w:lang w:eastAsia="zh-CN"/>
                    </w:rPr>
                    <w:t>监控点处1h平均浓度值</w:t>
                  </w:r>
                </w:p>
              </w:tc>
              <w:tc>
                <w:tcPr>
                  <w:tcW w:w="777" w:type="pct"/>
                  <w:vMerge w:val="restart"/>
                  <w:noWrap w:val="0"/>
                  <w:vAlign w:val="center"/>
                </w:tcPr>
                <w:p w14:paraId="6492EC9A">
                  <w:pPr>
                    <w:pStyle w:val="87"/>
                    <w:adjustRightInd w:val="0"/>
                    <w:snapToGrid w:val="0"/>
                    <w:spacing w:line="320" w:lineRule="exact"/>
                    <w:jc w:val="center"/>
                    <w:rPr>
                      <w:rFonts w:ascii="Times New Roman" w:hAnsi="Times New Roman" w:cs="Times New Roman"/>
                      <w:bCs/>
                      <w:color w:val="auto"/>
                      <w:szCs w:val="21"/>
                      <w:highlight w:val="none"/>
                      <w:lang w:eastAsia="zh-CN"/>
                    </w:rPr>
                  </w:pPr>
                  <w:r>
                    <w:rPr>
                      <w:rFonts w:hint="eastAsia" w:ascii="Times New Roman" w:hAnsi="Times New Roman" w:cs="Times New Roman"/>
                      <w:bCs/>
                      <w:color w:val="auto"/>
                      <w:szCs w:val="21"/>
                      <w:highlight w:val="none"/>
                      <w:lang w:eastAsia="zh-CN"/>
                    </w:rPr>
                    <w:t>在厂房外设置监控点</w:t>
                  </w:r>
                </w:p>
              </w:tc>
              <w:tc>
                <w:tcPr>
                  <w:tcW w:w="1346" w:type="pct"/>
                  <w:vMerge w:val="restart"/>
                  <w:noWrap w:val="0"/>
                  <w:vAlign w:val="center"/>
                </w:tcPr>
                <w:p w14:paraId="0213B464">
                  <w:pPr>
                    <w:adjustRightInd w:val="0"/>
                    <w:snapToGrid w:val="0"/>
                    <w:spacing w:line="240" w:lineRule="auto"/>
                    <w:ind w:firstLine="0" w:firstLineChars="0"/>
                    <w:jc w:val="center"/>
                    <w:rPr>
                      <w:rFonts w:hint="eastAsia" w:ascii="Times New Roman" w:hAnsi="Times New Roman" w:eastAsia="宋体" w:cs="Times New Roman"/>
                      <w:color w:val="auto"/>
                      <w:spacing w:val="12"/>
                      <w:sz w:val="21"/>
                      <w:szCs w:val="21"/>
                      <w:highlight w:val="none"/>
                      <w:lang w:val="en-US" w:eastAsia="zh-CN"/>
                    </w:rPr>
                  </w:pPr>
                  <w:r>
                    <w:rPr>
                      <w:rFonts w:hint="eastAsia" w:ascii="Times New Roman" w:hAnsi="Times New Roman" w:eastAsia="宋体" w:cs="Times New Roman"/>
                      <w:color w:val="auto"/>
                      <w:spacing w:val="12"/>
                      <w:sz w:val="21"/>
                      <w:szCs w:val="21"/>
                      <w:highlight w:val="none"/>
                      <w:lang w:val="en-US" w:eastAsia="zh-CN"/>
                    </w:rPr>
                    <w:t>《挥发性有机物无组织排放控制标准》（</w:t>
                  </w:r>
                  <w:r>
                    <w:rPr>
                      <w:rFonts w:hint="default" w:ascii="Times New Roman" w:hAnsi="Times New Roman" w:eastAsia="宋体" w:cs="Times New Roman"/>
                      <w:color w:val="auto"/>
                      <w:spacing w:val="12"/>
                      <w:sz w:val="21"/>
                      <w:szCs w:val="21"/>
                      <w:highlight w:val="none"/>
                      <w:lang w:val="en-US" w:eastAsia="zh-CN"/>
                    </w:rPr>
                    <w:t>DB37822-2019</w:t>
                  </w:r>
                  <w:r>
                    <w:rPr>
                      <w:rFonts w:hint="eastAsia" w:ascii="Times New Roman" w:hAnsi="Times New Roman" w:eastAsia="宋体" w:cs="Times New Roman"/>
                      <w:color w:val="auto"/>
                      <w:spacing w:val="12"/>
                      <w:sz w:val="21"/>
                      <w:szCs w:val="21"/>
                      <w:highlight w:val="none"/>
                      <w:lang w:val="en-US" w:eastAsia="zh-CN"/>
                    </w:rPr>
                    <w:t>）</w:t>
                  </w:r>
                </w:p>
              </w:tc>
            </w:tr>
            <w:tr w14:paraId="0A69354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16" w:hRule="atLeast"/>
                <w:jc w:val="center"/>
              </w:trPr>
              <w:tc>
                <w:tcPr>
                  <w:tcW w:w="717" w:type="pct"/>
                  <w:vMerge w:val="continue"/>
                  <w:noWrap w:val="0"/>
                  <w:vAlign w:val="center"/>
                </w:tcPr>
                <w:p w14:paraId="0FAEB99E">
                  <w:pPr>
                    <w:pStyle w:val="87"/>
                    <w:adjustRightInd w:val="0"/>
                    <w:snapToGrid w:val="0"/>
                    <w:spacing w:line="320" w:lineRule="exact"/>
                    <w:jc w:val="center"/>
                    <w:rPr>
                      <w:rFonts w:hint="eastAsia" w:ascii="Times New Roman" w:hAnsi="Times New Roman" w:cs="Times New Roman"/>
                      <w:bCs/>
                      <w:color w:val="auto"/>
                      <w:szCs w:val="21"/>
                      <w:highlight w:val="none"/>
                      <w:lang w:eastAsia="zh-CN"/>
                    </w:rPr>
                  </w:pPr>
                </w:p>
              </w:tc>
              <w:tc>
                <w:tcPr>
                  <w:tcW w:w="711" w:type="pct"/>
                  <w:noWrap w:val="0"/>
                  <w:vAlign w:val="center"/>
                </w:tcPr>
                <w:p w14:paraId="1CA6E1A3">
                  <w:pPr>
                    <w:pStyle w:val="87"/>
                    <w:adjustRightInd w:val="0"/>
                    <w:snapToGrid w:val="0"/>
                    <w:spacing w:line="320" w:lineRule="exact"/>
                    <w:jc w:val="center"/>
                    <w:rPr>
                      <w:rFonts w:hint="default" w:ascii="Times New Roman" w:hAnsi="Times New Roman" w:cs="Times New Roman"/>
                      <w:bCs/>
                      <w:color w:val="auto"/>
                      <w:szCs w:val="21"/>
                      <w:highlight w:val="none"/>
                      <w:lang w:val="en-US" w:eastAsia="zh-CN"/>
                    </w:rPr>
                  </w:pPr>
                  <w:r>
                    <w:rPr>
                      <w:rFonts w:hint="eastAsia" w:ascii="Times New Roman" w:hAnsi="Times New Roman" w:cs="Times New Roman"/>
                      <w:bCs/>
                      <w:color w:val="auto"/>
                      <w:szCs w:val="21"/>
                      <w:highlight w:val="none"/>
                      <w:lang w:val="en-US" w:eastAsia="zh-CN"/>
                    </w:rPr>
                    <w:t>30</w:t>
                  </w:r>
                </w:p>
              </w:tc>
              <w:tc>
                <w:tcPr>
                  <w:tcW w:w="1446" w:type="pct"/>
                  <w:noWrap w:val="0"/>
                  <w:vAlign w:val="center"/>
                </w:tcPr>
                <w:p w14:paraId="5C911664">
                  <w:pPr>
                    <w:pStyle w:val="87"/>
                    <w:adjustRightInd w:val="0"/>
                    <w:snapToGrid w:val="0"/>
                    <w:spacing w:line="320" w:lineRule="exact"/>
                    <w:jc w:val="center"/>
                    <w:rPr>
                      <w:rFonts w:ascii="Times New Roman" w:hAnsi="Times New Roman" w:cs="Times New Roman"/>
                      <w:bCs/>
                      <w:color w:val="auto"/>
                      <w:szCs w:val="21"/>
                      <w:highlight w:val="none"/>
                      <w:lang w:eastAsia="zh-CN"/>
                    </w:rPr>
                  </w:pPr>
                  <w:r>
                    <w:rPr>
                      <w:rFonts w:hint="eastAsia" w:ascii="Times New Roman" w:hAnsi="Times New Roman" w:cs="Times New Roman"/>
                      <w:bCs/>
                      <w:color w:val="auto"/>
                      <w:szCs w:val="21"/>
                      <w:highlight w:val="none"/>
                      <w:lang w:eastAsia="zh-CN"/>
                    </w:rPr>
                    <w:t>监控点处任意一次浓度值</w:t>
                  </w:r>
                </w:p>
              </w:tc>
              <w:tc>
                <w:tcPr>
                  <w:tcW w:w="777" w:type="pct"/>
                  <w:vMerge w:val="continue"/>
                  <w:noWrap w:val="0"/>
                  <w:vAlign w:val="center"/>
                </w:tcPr>
                <w:p w14:paraId="1AF13453">
                  <w:pPr>
                    <w:pStyle w:val="87"/>
                    <w:adjustRightInd w:val="0"/>
                    <w:snapToGrid w:val="0"/>
                    <w:spacing w:line="320" w:lineRule="exact"/>
                    <w:jc w:val="center"/>
                    <w:rPr>
                      <w:rFonts w:ascii="Times New Roman" w:hAnsi="Times New Roman" w:cs="Times New Roman"/>
                      <w:bCs/>
                      <w:color w:val="auto"/>
                      <w:szCs w:val="21"/>
                      <w:highlight w:val="none"/>
                      <w:lang w:eastAsia="zh-CN"/>
                    </w:rPr>
                  </w:pPr>
                </w:p>
              </w:tc>
              <w:tc>
                <w:tcPr>
                  <w:tcW w:w="1346" w:type="pct"/>
                  <w:vMerge w:val="continue"/>
                  <w:noWrap w:val="0"/>
                  <w:vAlign w:val="center"/>
                </w:tcPr>
                <w:p w14:paraId="51BA6F96">
                  <w:pPr>
                    <w:adjustRightInd w:val="0"/>
                    <w:snapToGrid w:val="0"/>
                    <w:spacing w:line="240" w:lineRule="auto"/>
                    <w:ind w:firstLine="0" w:firstLineChars="0"/>
                    <w:jc w:val="center"/>
                    <w:rPr>
                      <w:rFonts w:hint="eastAsia" w:ascii="Times New Roman" w:hAnsi="Times New Roman" w:eastAsia="宋体" w:cs="Times New Roman"/>
                      <w:color w:val="auto"/>
                      <w:spacing w:val="12"/>
                      <w:sz w:val="21"/>
                      <w:szCs w:val="21"/>
                      <w:highlight w:val="none"/>
                    </w:rPr>
                  </w:pPr>
                </w:p>
              </w:tc>
            </w:tr>
            <w:tr w14:paraId="4C46AF0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717" w:type="pct"/>
                  <w:noWrap w:val="0"/>
                  <w:vAlign w:val="center"/>
                </w:tcPr>
                <w:p w14:paraId="400AAF67">
                  <w:pPr>
                    <w:pStyle w:val="87"/>
                    <w:adjustRightInd w:val="0"/>
                    <w:snapToGrid w:val="0"/>
                    <w:spacing w:line="320" w:lineRule="exact"/>
                    <w:jc w:val="center"/>
                    <w:rPr>
                      <w:rFonts w:ascii="Times New Roman" w:hAnsi="Times New Roman" w:cs="Times New Roman"/>
                      <w:bCs/>
                      <w:color w:val="auto"/>
                      <w:szCs w:val="21"/>
                      <w:highlight w:val="none"/>
                      <w:lang w:eastAsia="zh-CN"/>
                    </w:rPr>
                  </w:pPr>
                  <w:r>
                    <w:rPr>
                      <w:rFonts w:hint="eastAsia" w:ascii="Times New Roman" w:hAnsi="Times New Roman" w:cs="Times New Roman"/>
                      <w:bCs/>
                      <w:color w:val="auto"/>
                      <w:szCs w:val="21"/>
                      <w:highlight w:val="none"/>
                      <w:lang w:eastAsia="zh-CN"/>
                    </w:rPr>
                    <w:t>臭气浓度</w:t>
                  </w:r>
                </w:p>
              </w:tc>
              <w:tc>
                <w:tcPr>
                  <w:tcW w:w="711" w:type="pct"/>
                  <w:noWrap w:val="0"/>
                  <w:vAlign w:val="center"/>
                </w:tcPr>
                <w:p w14:paraId="5330DB2D">
                  <w:pPr>
                    <w:pStyle w:val="87"/>
                    <w:adjustRightInd w:val="0"/>
                    <w:snapToGrid w:val="0"/>
                    <w:spacing w:line="320" w:lineRule="exact"/>
                    <w:jc w:val="center"/>
                    <w:rPr>
                      <w:rFonts w:ascii="Times New Roman" w:hAnsi="Times New Roman" w:cs="Times New Roman"/>
                      <w:bCs/>
                      <w:color w:val="auto"/>
                      <w:szCs w:val="21"/>
                      <w:highlight w:val="none"/>
                      <w:lang w:eastAsia="zh-CN"/>
                    </w:rPr>
                  </w:pPr>
                  <w:r>
                    <w:rPr>
                      <w:rFonts w:hint="eastAsia" w:ascii="Times New Roman" w:hAnsi="Times New Roman" w:cs="Times New Roman"/>
                      <w:bCs/>
                      <w:color w:val="auto"/>
                      <w:szCs w:val="21"/>
                      <w:highlight w:val="none"/>
                      <w:lang w:eastAsia="zh-CN"/>
                    </w:rPr>
                    <w:t>20（无量纲）</w:t>
                  </w:r>
                </w:p>
              </w:tc>
              <w:tc>
                <w:tcPr>
                  <w:tcW w:w="1446" w:type="pct"/>
                  <w:noWrap w:val="0"/>
                  <w:vAlign w:val="center"/>
                </w:tcPr>
                <w:p w14:paraId="746A7148">
                  <w:pPr>
                    <w:adjustRightInd w:val="0"/>
                    <w:snapToGrid w:val="0"/>
                    <w:spacing w:line="240" w:lineRule="auto"/>
                    <w:ind w:firstLine="0" w:firstLineChars="0"/>
                    <w:jc w:val="center"/>
                    <w:rPr>
                      <w:bCs/>
                      <w:color w:val="auto"/>
                      <w:sz w:val="21"/>
                      <w:szCs w:val="21"/>
                      <w:highlight w:val="none"/>
                    </w:rPr>
                  </w:pPr>
                  <w:r>
                    <w:rPr>
                      <w:bCs/>
                      <w:color w:val="auto"/>
                      <w:sz w:val="21"/>
                      <w:szCs w:val="21"/>
                      <w:highlight w:val="none"/>
                    </w:rPr>
                    <w:t>周界外浓度最高点</w:t>
                  </w:r>
                </w:p>
              </w:tc>
              <w:tc>
                <w:tcPr>
                  <w:tcW w:w="777" w:type="pct"/>
                  <w:noWrap w:val="0"/>
                  <w:vAlign w:val="center"/>
                </w:tcPr>
                <w:p w14:paraId="1A30E111">
                  <w:pPr>
                    <w:adjustRightInd w:val="0"/>
                    <w:snapToGrid w:val="0"/>
                    <w:spacing w:line="240" w:lineRule="auto"/>
                    <w:ind w:firstLine="0" w:firstLineChars="0"/>
                    <w:jc w:val="center"/>
                    <w:rPr>
                      <w:bCs/>
                      <w:color w:val="auto"/>
                      <w:sz w:val="21"/>
                      <w:szCs w:val="21"/>
                      <w:highlight w:val="none"/>
                    </w:rPr>
                  </w:pPr>
                  <w:r>
                    <w:rPr>
                      <w:rFonts w:hint="eastAsia"/>
                      <w:bCs/>
                      <w:color w:val="auto"/>
                      <w:sz w:val="21"/>
                      <w:szCs w:val="21"/>
                      <w:highlight w:val="none"/>
                    </w:rPr>
                    <w:t>厂界</w:t>
                  </w:r>
                </w:p>
              </w:tc>
              <w:tc>
                <w:tcPr>
                  <w:tcW w:w="1346" w:type="pct"/>
                  <w:noWrap w:val="0"/>
                  <w:vAlign w:val="center"/>
                </w:tcPr>
                <w:p w14:paraId="4C8E6BA6">
                  <w:pPr>
                    <w:adjustRightInd w:val="0"/>
                    <w:snapToGrid w:val="0"/>
                    <w:spacing w:line="240" w:lineRule="auto"/>
                    <w:ind w:firstLine="0" w:firstLineChars="0"/>
                    <w:jc w:val="center"/>
                    <w:rPr>
                      <w:color w:val="auto"/>
                      <w:spacing w:val="12"/>
                      <w:sz w:val="21"/>
                      <w:szCs w:val="21"/>
                      <w:highlight w:val="none"/>
                    </w:rPr>
                  </w:pPr>
                  <w:r>
                    <w:rPr>
                      <w:color w:val="auto"/>
                      <w:spacing w:val="12"/>
                      <w:sz w:val="21"/>
                      <w:szCs w:val="21"/>
                      <w:highlight w:val="none"/>
                    </w:rPr>
                    <w:t>《恶臭污染物排放标准》（GB 14554-93）</w:t>
                  </w:r>
                </w:p>
              </w:tc>
            </w:tr>
          </w:tbl>
          <w:p w14:paraId="415999D6">
            <w:pPr>
              <w:pStyle w:val="4"/>
              <w:rPr>
                <w:color w:val="auto"/>
                <w:highlight w:val="none"/>
              </w:rPr>
            </w:pPr>
            <w:r>
              <w:rPr>
                <w:color w:val="auto"/>
                <w:highlight w:val="none"/>
              </w:rPr>
              <w:t>3.7.3 厂界噪声</w:t>
            </w:r>
          </w:p>
          <w:p w14:paraId="0637B045">
            <w:pPr>
              <w:ind w:firstLine="480"/>
              <w:rPr>
                <w:color w:val="auto"/>
                <w:highlight w:val="none"/>
              </w:rPr>
            </w:pPr>
            <w:r>
              <w:rPr>
                <w:rFonts w:ascii="Times New Roman" w:hAnsi="Times New Roman" w:cs="Times New Roman"/>
                <w:color w:val="auto"/>
                <w:highlight w:val="none"/>
              </w:rPr>
              <w:t>项目运营期</w:t>
            </w:r>
            <w:r>
              <w:rPr>
                <w:rFonts w:hint="eastAsia" w:ascii="Times New Roman" w:hAnsi="Times New Roman" w:cs="Times New Roman"/>
                <w:color w:val="auto"/>
                <w:highlight w:val="none"/>
                <w:lang w:val="en-US" w:eastAsia="zh-CN"/>
              </w:rPr>
              <w:t>靠近104国道一侧噪声执行</w:t>
            </w:r>
            <w:r>
              <w:rPr>
                <w:rFonts w:hint="default" w:ascii="Times New Roman" w:hAnsi="Times New Roman" w:cs="Times New Roman"/>
                <w:color w:val="auto"/>
                <w:highlight w:val="none"/>
                <w:lang w:val="en-US" w:eastAsia="zh-CN"/>
              </w:rPr>
              <w:t>《工业企业厂界环境噪声排放标准》（GB12348-2008）</w:t>
            </w:r>
            <w:r>
              <w:rPr>
                <w:rFonts w:hint="eastAsia"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eastAsia="zh-CN"/>
              </w:rPr>
              <w:t>类标准</w:t>
            </w:r>
            <w:r>
              <w:rPr>
                <w:rFonts w:hint="eastAsia" w:ascii="Times New Roman" w:hAnsi="Times New Roman" w:cs="Times New Roman"/>
                <w:color w:val="auto"/>
                <w:highlight w:val="none"/>
                <w:lang w:val="en-US" w:eastAsia="zh-CN"/>
              </w:rPr>
              <w:t>，其他厂界执行</w:t>
            </w:r>
            <w:r>
              <w:rPr>
                <w:rFonts w:hint="default" w:ascii="Times New Roman" w:hAnsi="Times New Roman" w:cs="Times New Roman"/>
                <w:color w:val="auto"/>
                <w:highlight w:val="none"/>
                <w:lang w:val="en-US" w:eastAsia="zh-CN"/>
              </w:rPr>
              <w:t>《工业企业厂界环境噪声排放标准》（GB12348-2008）</w:t>
            </w:r>
            <w:r>
              <w:rPr>
                <w:rFonts w:hint="eastAsia"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eastAsia="zh-CN"/>
              </w:rPr>
              <w:t>类标准</w:t>
            </w:r>
            <w:r>
              <w:rPr>
                <w:color w:val="auto"/>
                <w:highlight w:val="none"/>
              </w:rPr>
              <w:t>，详见表3.7-</w:t>
            </w:r>
            <w:r>
              <w:rPr>
                <w:rFonts w:hint="eastAsia"/>
                <w:color w:val="auto"/>
                <w:highlight w:val="none"/>
                <w:lang w:val="en-US" w:eastAsia="zh-CN"/>
              </w:rPr>
              <w:t>7</w:t>
            </w:r>
            <w:r>
              <w:rPr>
                <w:color w:val="auto"/>
                <w:highlight w:val="none"/>
              </w:rPr>
              <w:t>。</w:t>
            </w:r>
          </w:p>
          <w:p w14:paraId="14F69633">
            <w:pPr>
              <w:ind w:firstLine="0" w:firstLineChars="0"/>
              <w:jc w:val="center"/>
              <w:rPr>
                <w:b/>
                <w:bCs/>
                <w:color w:val="auto"/>
                <w:highlight w:val="none"/>
              </w:rPr>
            </w:pPr>
            <w:r>
              <w:rPr>
                <w:b/>
                <w:bCs/>
                <w:color w:val="auto"/>
                <w:highlight w:val="none"/>
              </w:rPr>
              <w:t>表3.7-</w:t>
            </w:r>
            <w:r>
              <w:rPr>
                <w:rFonts w:hint="eastAsia"/>
                <w:b/>
                <w:bCs/>
                <w:color w:val="auto"/>
                <w:highlight w:val="none"/>
                <w:lang w:val="en-US" w:eastAsia="zh-CN"/>
              </w:rPr>
              <w:t>7</w:t>
            </w:r>
            <w:r>
              <w:rPr>
                <w:b/>
                <w:bCs/>
                <w:color w:val="auto"/>
                <w:highlight w:val="none"/>
              </w:rPr>
              <w:t xml:space="preserve"> 《工业企业厂界环境噪声排放标准》</w:t>
            </w:r>
            <w:r>
              <w:rPr>
                <w:rFonts w:hint="eastAsia"/>
                <w:b/>
                <w:bCs/>
                <w:color w:val="auto"/>
                <w:highlight w:val="none"/>
              </w:rPr>
              <w:t>（</w:t>
            </w:r>
            <w:r>
              <w:rPr>
                <w:b/>
                <w:bCs/>
                <w:color w:val="auto"/>
                <w:highlight w:val="none"/>
              </w:rPr>
              <w:t>GB12348-2008</w:t>
            </w:r>
            <w:r>
              <w:rPr>
                <w:rFonts w:hint="eastAsia"/>
                <w:b/>
                <w:bCs/>
                <w:color w:val="auto"/>
                <w:highlight w:val="none"/>
              </w:rPr>
              <w:t>）（</w:t>
            </w:r>
            <w:r>
              <w:rPr>
                <w:b/>
                <w:bCs/>
                <w:color w:val="auto"/>
                <w:highlight w:val="none"/>
              </w:rPr>
              <w:t>摘录</w:t>
            </w:r>
            <w:r>
              <w:rPr>
                <w:rFonts w:hint="eastAsia"/>
                <w:b/>
                <w:bCs/>
                <w:color w:val="auto"/>
                <w:highlight w:val="none"/>
              </w:rPr>
              <w:t>）</w:t>
            </w:r>
          </w:p>
          <w:tbl>
            <w:tblPr>
              <w:tblStyle w:val="27"/>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3868"/>
              <w:gridCol w:w="1445"/>
              <w:gridCol w:w="1360"/>
              <w:gridCol w:w="1488"/>
            </w:tblGrid>
            <w:tr w14:paraId="4FE10C2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68" w:type="dxa"/>
                  <w:tcBorders>
                    <w:tl2br w:val="single" w:color="auto" w:sz="2" w:space="0"/>
                  </w:tcBorders>
                  <w:noWrap w:val="0"/>
                  <w:vAlign w:val="center"/>
                </w:tcPr>
                <w:p w14:paraId="37ACC10F">
                  <w:pPr>
                    <w:spacing w:line="340" w:lineRule="exact"/>
                    <w:ind w:firstLine="0" w:firstLineChars="0"/>
                    <w:jc w:val="center"/>
                    <w:rPr>
                      <w:b/>
                      <w:bCs/>
                      <w:color w:val="auto"/>
                      <w:sz w:val="21"/>
                      <w:szCs w:val="21"/>
                      <w:highlight w:val="none"/>
                      <w:lang w:bidi="ar"/>
                    </w:rPr>
                  </w:pPr>
                  <w:r>
                    <w:rPr>
                      <w:b/>
                      <w:bCs/>
                      <w:color w:val="auto"/>
                      <w:sz w:val="21"/>
                      <w:szCs w:val="21"/>
                      <w:highlight w:val="none"/>
                      <w:lang w:bidi="ar"/>
                    </w:rPr>
                    <w:t xml:space="preserve">         </w:t>
                  </w:r>
                  <w:r>
                    <w:rPr>
                      <w:rFonts w:hint="eastAsia"/>
                      <w:b/>
                      <w:bCs/>
                      <w:color w:val="auto"/>
                      <w:sz w:val="21"/>
                      <w:szCs w:val="21"/>
                      <w:highlight w:val="none"/>
                      <w:lang w:bidi="ar"/>
                    </w:rPr>
                    <w:t xml:space="preserve">               </w:t>
                  </w:r>
                  <w:r>
                    <w:rPr>
                      <w:b/>
                      <w:bCs/>
                      <w:color w:val="auto"/>
                      <w:sz w:val="21"/>
                      <w:szCs w:val="21"/>
                      <w:highlight w:val="none"/>
                      <w:lang w:bidi="ar"/>
                    </w:rPr>
                    <w:t xml:space="preserve"> 时 段</w:t>
                  </w:r>
                </w:p>
                <w:p w14:paraId="6E1FE851">
                  <w:pPr>
                    <w:spacing w:line="340" w:lineRule="exact"/>
                    <w:ind w:firstLine="0" w:firstLineChars="0"/>
                    <w:rPr>
                      <w:b/>
                      <w:bCs/>
                      <w:color w:val="auto"/>
                      <w:sz w:val="21"/>
                      <w:szCs w:val="21"/>
                      <w:highlight w:val="none"/>
                      <w:lang w:bidi="ar"/>
                    </w:rPr>
                  </w:pPr>
                  <w:r>
                    <w:rPr>
                      <w:b/>
                      <w:bCs/>
                      <w:color w:val="auto"/>
                      <w:sz w:val="21"/>
                      <w:szCs w:val="21"/>
                      <w:highlight w:val="none"/>
                      <w:lang w:bidi="ar"/>
                    </w:rPr>
                    <w:t>厂界外声环境功能区类别</w:t>
                  </w:r>
                </w:p>
              </w:tc>
              <w:tc>
                <w:tcPr>
                  <w:tcW w:w="1445" w:type="dxa"/>
                  <w:tcBorders>
                    <w:right w:val="single" w:color="auto" w:sz="4" w:space="0"/>
                  </w:tcBorders>
                  <w:noWrap w:val="0"/>
                  <w:vAlign w:val="center"/>
                </w:tcPr>
                <w:p w14:paraId="58331783">
                  <w:pPr>
                    <w:spacing w:line="340" w:lineRule="exact"/>
                    <w:ind w:firstLine="0" w:firstLineChars="0"/>
                    <w:jc w:val="center"/>
                    <w:rPr>
                      <w:b/>
                      <w:bCs/>
                      <w:color w:val="auto"/>
                      <w:sz w:val="21"/>
                      <w:szCs w:val="21"/>
                      <w:highlight w:val="none"/>
                      <w:lang w:bidi="ar"/>
                    </w:rPr>
                  </w:pPr>
                  <w:r>
                    <w:rPr>
                      <w:b/>
                      <w:bCs/>
                      <w:color w:val="auto"/>
                      <w:sz w:val="21"/>
                      <w:szCs w:val="21"/>
                      <w:highlight w:val="none"/>
                      <w:lang w:bidi="ar"/>
                    </w:rPr>
                    <w:t>昼 间</w:t>
                  </w:r>
                </w:p>
              </w:tc>
              <w:tc>
                <w:tcPr>
                  <w:tcW w:w="1360" w:type="dxa"/>
                  <w:tcBorders>
                    <w:left w:val="single" w:color="auto" w:sz="4" w:space="0"/>
                  </w:tcBorders>
                  <w:noWrap w:val="0"/>
                  <w:vAlign w:val="center"/>
                </w:tcPr>
                <w:p w14:paraId="25A21F2C">
                  <w:pPr>
                    <w:spacing w:line="340" w:lineRule="exact"/>
                    <w:ind w:firstLine="0" w:firstLineChars="0"/>
                    <w:jc w:val="center"/>
                    <w:rPr>
                      <w:b/>
                      <w:bCs/>
                      <w:color w:val="auto"/>
                      <w:sz w:val="21"/>
                      <w:szCs w:val="21"/>
                      <w:highlight w:val="none"/>
                      <w:lang w:bidi="ar"/>
                    </w:rPr>
                  </w:pPr>
                  <w:r>
                    <w:rPr>
                      <w:b/>
                      <w:bCs/>
                      <w:color w:val="auto"/>
                      <w:sz w:val="21"/>
                      <w:szCs w:val="21"/>
                      <w:highlight w:val="none"/>
                      <w:lang w:bidi="ar"/>
                    </w:rPr>
                    <w:t>夜 间</w:t>
                  </w:r>
                </w:p>
              </w:tc>
              <w:tc>
                <w:tcPr>
                  <w:tcW w:w="1488" w:type="dxa"/>
                  <w:noWrap w:val="0"/>
                  <w:vAlign w:val="center"/>
                </w:tcPr>
                <w:p w14:paraId="2B01ED92">
                  <w:pPr>
                    <w:spacing w:line="340" w:lineRule="exact"/>
                    <w:ind w:firstLine="0" w:firstLineChars="0"/>
                    <w:jc w:val="center"/>
                    <w:rPr>
                      <w:b/>
                      <w:bCs/>
                      <w:color w:val="auto"/>
                      <w:sz w:val="21"/>
                      <w:szCs w:val="21"/>
                      <w:highlight w:val="none"/>
                      <w:lang w:bidi="ar"/>
                    </w:rPr>
                  </w:pPr>
                  <w:r>
                    <w:rPr>
                      <w:b/>
                      <w:bCs/>
                      <w:color w:val="auto"/>
                      <w:sz w:val="21"/>
                      <w:szCs w:val="21"/>
                      <w:highlight w:val="none"/>
                      <w:lang w:bidi="ar"/>
                    </w:rPr>
                    <w:t>单 位</w:t>
                  </w:r>
                </w:p>
              </w:tc>
            </w:tr>
            <w:tr w14:paraId="73A53CC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68" w:type="dxa"/>
                  <w:noWrap w:val="0"/>
                  <w:vAlign w:val="center"/>
                </w:tcPr>
                <w:p w14:paraId="45A5F1AE">
                  <w:pPr>
                    <w:spacing w:line="340" w:lineRule="exact"/>
                    <w:ind w:firstLine="0" w:firstLineChars="0"/>
                    <w:jc w:val="center"/>
                    <w:rPr>
                      <w:color w:val="auto"/>
                      <w:sz w:val="21"/>
                      <w:szCs w:val="21"/>
                      <w:highlight w:val="none"/>
                      <w:lang w:bidi="ar"/>
                    </w:rPr>
                  </w:pPr>
                  <w:r>
                    <w:rPr>
                      <w:rFonts w:hint="eastAsia"/>
                      <w:color w:val="auto"/>
                      <w:sz w:val="21"/>
                      <w:szCs w:val="21"/>
                      <w:highlight w:val="none"/>
                      <w:lang w:bidi="ar"/>
                    </w:rPr>
                    <w:t>3</w:t>
                  </w:r>
                  <w:r>
                    <w:rPr>
                      <w:color w:val="auto"/>
                      <w:sz w:val="21"/>
                      <w:szCs w:val="21"/>
                      <w:highlight w:val="none"/>
                      <w:lang w:bidi="ar"/>
                    </w:rPr>
                    <w:t>类</w:t>
                  </w:r>
                </w:p>
              </w:tc>
              <w:tc>
                <w:tcPr>
                  <w:tcW w:w="1445" w:type="dxa"/>
                  <w:tcBorders>
                    <w:right w:val="single" w:color="auto" w:sz="4" w:space="0"/>
                  </w:tcBorders>
                  <w:noWrap w:val="0"/>
                  <w:vAlign w:val="center"/>
                </w:tcPr>
                <w:p w14:paraId="4C51A4F3">
                  <w:pPr>
                    <w:spacing w:line="340" w:lineRule="exact"/>
                    <w:ind w:firstLine="0" w:firstLineChars="0"/>
                    <w:jc w:val="center"/>
                    <w:rPr>
                      <w:rFonts w:hint="eastAsia"/>
                      <w:color w:val="auto"/>
                      <w:sz w:val="21"/>
                      <w:szCs w:val="21"/>
                      <w:highlight w:val="none"/>
                      <w:lang w:bidi="ar"/>
                    </w:rPr>
                  </w:pPr>
                  <w:r>
                    <w:rPr>
                      <w:color w:val="auto"/>
                      <w:sz w:val="21"/>
                      <w:szCs w:val="21"/>
                      <w:highlight w:val="none"/>
                      <w:lang w:bidi="ar"/>
                    </w:rPr>
                    <w:t>≤6</w:t>
                  </w:r>
                  <w:r>
                    <w:rPr>
                      <w:rFonts w:hint="eastAsia"/>
                      <w:color w:val="auto"/>
                      <w:sz w:val="21"/>
                      <w:szCs w:val="21"/>
                      <w:highlight w:val="none"/>
                      <w:lang w:bidi="ar"/>
                    </w:rPr>
                    <w:t>5</w:t>
                  </w:r>
                </w:p>
              </w:tc>
              <w:tc>
                <w:tcPr>
                  <w:tcW w:w="1360" w:type="dxa"/>
                  <w:tcBorders>
                    <w:left w:val="single" w:color="auto" w:sz="4" w:space="0"/>
                  </w:tcBorders>
                  <w:noWrap w:val="0"/>
                  <w:vAlign w:val="center"/>
                </w:tcPr>
                <w:p w14:paraId="2DF835E3">
                  <w:pPr>
                    <w:spacing w:line="340" w:lineRule="exact"/>
                    <w:ind w:firstLine="0" w:firstLineChars="0"/>
                    <w:jc w:val="center"/>
                    <w:rPr>
                      <w:rFonts w:hint="eastAsia"/>
                      <w:color w:val="auto"/>
                      <w:sz w:val="21"/>
                      <w:szCs w:val="21"/>
                      <w:highlight w:val="none"/>
                      <w:lang w:bidi="ar"/>
                    </w:rPr>
                  </w:pPr>
                  <w:r>
                    <w:rPr>
                      <w:color w:val="auto"/>
                      <w:sz w:val="21"/>
                      <w:szCs w:val="21"/>
                      <w:highlight w:val="none"/>
                      <w:lang w:bidi="ar"/>
                    </w:rPr>
                    <w:t>≤5</w:t>
                  </w:r>
                  <w:r>
                    <w:rPr>
                      <w:rFonts w:hint="eastAsia"/>
                      <w:color w:val="auto"/>
                      <w:sz w:val="21"/>
                      <w:szCs w:val="21"/>
                      <w:highlight w:val="none"/>
                      <w:lang w:bidi="ar"/>
                    </w:rPr>
                    <w:t>5</w:t>
                  </w:r>
                </w:p>
              </w:tc>
              <w:tc>
                <w:tcPr>
                  <w:tcW w:w="1488" w:type="dxa"/>
                  <w:noWrap w:val="0"/>
                  <w:vAlign w:val="center"/>
                </w:tcPr>
                <w:p w14:paraId="752EB34B">
                  <w:pPr>
                    <w:spacing w:line="340" w:lineRule="exact"/>
                    <w:ind w:firstLine="0" w:firstLineChars="0"/>
                    <w:jc w:val="center"/>
                    <w:rPr>
                      <w:color w:val="auto"/>
                      <w:sz w:val="21"/>
                      <w:szCs w:val="21"/>
                      <w:highlight w:val="none"/>
                      <w:lang w:bidi="ar"/>
                    </w:rPr>
                  </w:pPr>
                  <w:r>
                    <w:rPr>
                      <w:color w:val="auto"/>
                      <w:sz w:val="21"/>
                      <w:szCs w:val="21"/>
                      <w:highlight w:val="none"/>
                      <w:lang w:bidi="ar"/>
                    </w:rPr>
                    <w:t>dB(A)</w:t>
                  </w:r>
                </w:p>
              </w:tc>
            </w:tr>
            <w:tr w14:paraId="0190815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68" w:type="dxa"/>
                  <w:noWrap w:val="0"/>
                  <w:vAlign w:val="center"/>
                </w:tcPr>
                <w:p w14:paraId="2E2D97D9">
                  <w:pPr>
                    <w:spacing w:line="340" w:lineRule="exact"/>
                    <w:ind w:firstLine="0" w:firstLineChars="0"/>
                    <w:jc w:val="center"/>
                    <w:rPr>
                      <w:rFonts w:hint="default" w:eastAsia="宋体"/>
                      <w:color w:val="auto"/>
                      <w:sz w:val="21"/>
                      <w:szCs w:val="21"/>
                      <w:highlight w:val="none"/>
                      <w:lang w:val="en-US" w:eastAsia="zh-CN" w:bidi="ar"/>
                    </w:rPr>
                  </w:pPr>
                  <w:r>
                    <w:rPr>
                      <w:rFonts w:hint="eastAsia"/>
                      <w:color w:val="auto"/>
                      <w:sz w:val="21"/>
                      <w:szCs w:val="21"/>
                      <w:highlight w:val="none"/>
                      <w:lang w:val="en-US" w:eastAsia="zh-CN" w:bidi="ar"/>
                    </w:rPr>
                    <w:t>4类</w:t>
                  </w:r>
                </w:p>
              </w:tc>
              <w:tc>
                <w:tcPr>
                  <w:tcW w:w="1445" w:type="dxa"/>
                  <w:tcBorders>
                    <w:right w:val="single" w:color="auto" w:sz="4" w:space="0"/>
                  </w:tcBorders>
                  <w:noWrap w:val="0"/>
                  <w:vAlign w:val="center"/>
                </w:tcPr>
                <w:p w14:paraId="6DA7CB1B">
                  <w:pPr>
                    <w:spacing w:line="340" w:lineRule="exact"/>
                    <w:ind w:firstLine="0" w:firstLineChars="0"/>
                    <w:jc w:val="center"/>
                    <w:rPr>
                      <w:rFonts w:hint="default" w:eastAsia="宋体"/>
                      <w:color w:val="auto"/>
                      <w:sz w:val="21"/>
                      <w:szCs w:val="21"/>
                      <w:highlight w:val="none"/>
                      <w:lang w:val="en-US" w:eastAsia="zh-CN" w:bidi="ar"/>
                    </w:rPr>
                  </w:pPr>
                  <w:r>
                    <w:rPr>
                      <w:color w:val="auto"/>
                      <w:sz w:val="21"/>
                      <w:szCs w:val="21"/>
                      <w:highlight w:val="none"/>
                      <w:lang w:bidi="ar"/>
                    </w:rPr>
                    <w:t>≤</w:t>
                  </w:r>
                  <w:r>
                    <w:rPr>
                      <w:rFonts w:hint="eastAsia"/>
                      <w:color w:val="auto"/>
                      <w:sz w:val="21"/>
                      <w:szCs w:val="21"/>
                      <w:highlight w:val="none"/>
                      <w:lang w:val="en-US" w:eastAsia="zh-CN" w:bidi="ar"/>
                    </w:rPr>
                    <w:t>70</w:t>
                  </w:r>
                </w:p>
              </w:tc>
              <w:tc>
                <w:tcPr>
                  <w:tcW w:w="1360" w:type="dxa"/>
                  <w:tcBorders>
                    <w:left w:val="single" w:color="auto" w:sz="4" w:space="0"/>
                  </w:tcBorders>
                  <w:noWrap w:val="0"/>
                  <w:vAlign w:val="center"/>
                </w:tcPr>
                <w:p w14:paraId="73DF524F">
                  <w:pPr>
                    <w:spacing w:line="340" w:lineRule="exact"/>
                    <w:ind w:firstLine="0" w:firstLineChars="0"/>
                    <w:jc w:val="center"/>
                    <w:rPr>
                      <w:rFonts w:hint="default" w:eastAsia="宋体"/>
                      <w:color w:val="auto"/>
                      <w:sz w:val="21"/>
                      <w:szCs w:val="21"/>
                      <w:highlight w:val="none"/>
                      <w:lang w:val="en-US" w:eastAsia="zh-CN" w:bidi="ar"/>
                    </w:rPr>
                  </w:pPr>
                  <w:r>
                    <w:rPr>
                      <w:color w:val="auto"/>
                      <w:sz w:val="21"/>
                      <w:szCs w:val="21"/>
                      <w:highlight w:val="none"/>
                      <w:lang w:bidi="ar"/>
                    </w:rPr>
                    <w:t>≤</w:t>
                  </w:r>
                  <w:r>
                    <w:rPr>
                      <w:rFonts w:hint="eastAsia"/>
                      <w:color w:val="auto"/>
                      <w:sz w:val="21"/>
                      <w:szCs w:val="21"/>
                      <w:highlight w:val="none"/>
                      <w:lang w:val="en-US" w:eastAsia="zh-CN" w:bidi="ar"/>
                    </w:rPr>
                    <w:t>55</w:t>
                  </w:r>
                </w:p>
              </w:tc>
              <w:tc>
                <w:tcPr>
                  <w:tcW w:w="1488" w:type="dxa"/>
                  <w:noWrap w:val="0"/>
                  <w:vAlign w:val="center"/>
                </w:tcPr>
                <w:p w14:paraId="7A55C361">
                  <w:pPr>
                    <w:spacing w:line="340" w:lineRule="exact"/>
                    <w:ind w:firstLine="0" w:firstLineChars="0"/>
                    <w:jc w:val="center"/>
                    <w:rPr>
                      <w:color w:val="auto"/>
                      <w:sz w:val="21"/>
                      <w:szCs w:val="21"/>
                      <w:highlight w:val="none"/>
                      <w:lang w:bidi="ar"/>
                    </w:rPr>
                  </w:pPr>
                  <w:r>
                    <w:rPr>
                      <w:color w:val="auto"/>
                      <w:sz w:val="21"/>
                      <w:szCs w:val="21"/>
                      <w:highlight w:val="none"/>
                      <w:lang w:bidi="ar"/>
                    </w:rPr>
                    <w:t>dB(A)</w:t>
                  </w:r>
                </w:p>
              </w:tc>
            </w:tr>
          </w:tbl>
          <w:p w14:paraId="5C549286">
            <w:pPr>
              <w:pStyle w:val="4"/>
              <w:rPr>
                <w:color w:val="auto"/>
                <w:highlight w:val="none"/>
              </w:rPr>
            </w:pPr>
            <w:r>
              <w:rPr>
                <w:color w:val="auto"/>
                <w:highlight w:val="none"/>
              </w:rPr>
              <w:t>3.7.4 固体废物</w:t>
            </w:r>
          </w:p>
          <w:p w14:paraId="6A5FE456">
            <w:pPr>
              <w:ind w:firstLine="480"/>
              <w:rPr>
                <w:color w:val="auto"/>
                <w:highlight w:val="none"/>
              </w:rPr>
            </w:pPr>
            <w:r>
              <w:rPr>
                <w:color w:val="auto"/>
                <w:highlight w:val="none"/>
              </w:rPr>
              <w:t>生活垃圾处置执行《中华人民共和国固体废物污染环境防治法》</w:t>
            </w:r>
            <w:r>
              <w:rPr>
                <w:rFonts w:hint="eastAsia"/>
                <w:color w:val="auto"/>
                <w:highlight w:val="none"/>
              </w:rPr>
              <w:t>（</w:t>
            </w:r>
            <w:r>
              <w:rPr>
                <w:color w:val="auto"/>
                <w:highlight w:val="none"/>
              </w:rPr>
              <w:t>2020年修订版</w:t>
            </w:r>
            <w:r>
              <w:rPr>
                <w:rFonts w:hint="eastAsia"/>
                <w:color w:val="auto"/>
                <w:highlight w:val="none"/>
              </w:rPr>
              <w:t>）</w:t>
            </w:r>
            <w:r>
              <w:rPr>
                <w:color w:val="auto"/>
                <w:highlight w:val="none"/>
              </w:rPr>
              <w:t>的相关规定；本项目一般工业固体废物执行《一般工业固体废物贮存和填埋污染控制标准》（GB 18599-2020）。危险废物按《国家危险废物名录</w:t>
            </w:r>
            <w:r>
              <w:rPr>
                <w:rFonts w:hint="eastAsia"/>
                <w:color w:val="auto"/>
                <w:highlight w:val="none"/>
              </w:rPr>
              <w:t>（</w:t>
            </w:r>
            <w:r>
              <w:rPr>
                <w:color w:val="auto"/>
                <w:highlight w:val="none"/>
              </w:rPr>
              <w:t>202</w:t>
            </w:r>
            <w:r>
              <w:rPr>
                <w:rFonts w:hint="eastAsia"/>
                <w:color w:val="auto"/>
                <w:highlight w:val="none"/>
                <w:lang w:val="en-US" w:eastAsia="zh-CN"/>
              </w:rPr>
              <w:t>5</w:t>
            </w:r>
            <w:r>
              <w:rPr>
                <w:color w:val="auto"/>
                <w:highlight w:val="none"/>
              </w:rPr>
              <w:t>年版</w:t>
            </w:r>
            <w:r>
              <w:rPr>
                <w:rFonts w:hint="eastAsia"/>
                <w:color w:val="auto"/>
                <w:highlight w:val="none"/>
              </w:rPr>
              <w:t>）</w:t>
            </w:r>
            <w:r>
              <w:rPr>
                <w:color w:val="auto"/>
                <w:highlight w:val="none"/>
              </w:rPr>
              <w:t>》、《危险废物鉴别标准通则》</w:t>
            </w:r>
            <w:r>
              <w:rPr>
                <w:rFonts w:hint="eastAsia"/>
                <w:color w:val="auto"/>
                <w:highlight w:val="none"/>
              </w:rPr>
              <w:t>（</w:t>
            </w:r>
            <w:r>
              <w:rPr>
                <w:color w:val="auto"/>
                <w:highlight w:val="none"/>
              </w:rPr>
              <w:t>GB5085.7-2019</w:t>
            </w:r>
            <w:r>
              <w:rPr>
                <w:rFonts w:hint="eastAsia"/>
                <w:color w:val="auto"/>
                <w:highlight w:val="none"/>
              </w:rPr>
              <w:t>）</w:t>
            </w:r>
            <w:r>
              <w:rPr>
                <w:rFonts w:hint="eastAsia"/>
                <w:color w:val="auto"/>
                <w:highlight w:val="none"/>
                <w:lang w:val="en-US" w:eastAsia="zh-CN"/>
              </w:rPr>
              <w:t>管理</w:t>
            </w:r>
            <w:r>
              <w:rPr>
                <w:color w:val="auto"/>
                <w:highlight w:val="none"/>
              </w:rPr>
              <w:t>，</w:t>
            </w:r>
            <w:r>
              <w:rPr>
                <w:rFonts w:hint="eastAsia"/>
                <w:color w:val="auto"/>
                <w:highlight w:val="none"/>
                <w:lang w:eastAsia="zh-CN"/>
              </w:rPr>
              <w:t>危险废物贮存</w:t>
            </w:r>
            <w:r>
              <w:rPr>
                <w:color w:val="auto"/>
                <w:highlight w:val="none"/>
              </w:rPr>
              <w:t>执行《危险废物贮存污染控制标准》</w:t>
            </w:r>
            <w:r>
              <w:rPr>
                <w:rFonts w:hint="eastAsia"/>
                <w:color w:val="auto"/>
                <w:highlight w:val="none"/>
              </w:rPr>
              <w:t>（GB 18597</w:t>
            </w:r>
            <w:r>
              <w:rPr>
                <w:color w:val="auto"/>
                <w:highlight w:val="none"/>
              </w:rPr>
              <w:t>-</w:t>
            </w:r>
            <w:r>
              <w:rPr>
                <w:rFonts w:hint="eastAsia"/>
                <w:color w:val="auto"/>
                <w:highlight w:val="none"/>
              </w:rPr>
              <w:t>2023）</w:t>
            </w:r>
            <w:r>
              <w:rPr>
                <w:color w:val="auto"/>
                <w:highlight w:val="none"/>
              </w:rPr>
              <w:t>的要求。</w:t>
            </w:r>
          </w:p>
        </w:tc>
      </w:tr>
      <w:tr w14:paraId="3A608D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33" w:hRule="atLeast"/>
          <w:jc w:val="center"/>
        </w:trPr>
        <w:tc>
          <w:tcPr>
            <w:tcW w:w="900" w:type="dxa"/>
            <w:noWrap w:val="0"/>
            <w:vAlign w:val="center"/>
          </w:tcPr>
          <w:p w14:paraId="6C9F7A01">
            <w:pPr>
              <w:pStyle w:val="22"/>
              <w:adjustRightInd w:val="0"/>
              <w:snapToGrid w:val="0"/>
              <w:spacing w:before="0" w:beforeAutospacing="0" w:after="0" w:afterAutospacing="0"/>
              <w:ind w:firstLine="0" w:firstLineChars="0"/>
              <w:jc w:val="center"/>
              <w:rPr>
                <w:rFonts w:ascii="Times New Roman" w:hAnsi="Times New Roman"/>
                <w:color w:val="auto"/>
                <w:kern w:val="2"/>
                <w:szCs w:val="24"/>
                <w:highlight w:val="none"/>
              </w:rPr>
            </w:pPr>
            <w:r>
              <w:rPr>
                <w:rFonts w:ascii="Times New Roman" w:hAnsi="Times New Roman"/>
                <w:color w:val="auto"/>
                <w:kern w:val="2"/>
                <w:szCs w:val="24"/>
                <w:highlight w:val="none"/>
              </w:rPr>
              <w:t>总量</w:t>
            </w:r>
          </w:p>
          <w:p w14:paraId="2485FE0F">
            <w:pPr>
              <w:pStyle w:val="22"/>
              <w:adjustRightInd w:val="0"/>
              <w:snapToGrid w:val="0"/>
              <w:spacing w:before="0" w:beforeAutospacing="0" w:after="0" w:afterAutospacing="0"/>
              <w:ind w:firstLine="0" w:firstLineChars="0"/>
              <w:jc w:val="center"/>
              <w:rPr>
                <w:rFonts w:ascii="Times New Roman" w:hAnsi="Times New Roman"/>
                <w:color w:val="auto"/>
                <w:kern w:val="2"/>
                <w:szCs w:val="24"/>
                <w:highlight w:val="none"/>
              </w:rPr>
            </w:pPr>
            <w:r>
              <w:rPr>
                <w:rFonts w:ascii="Times New Roman" w:hAnsi="Times New Roman"/>
                <w:color w:val="auto"/>
                <w:kern w:val="2"/>
                <w:szCs w:val="24"/>
                <w:highlight w:val="none"/>
              </w:rPr>
              <w:t>控制</w:t>
            </w:r>
          </w:p>
          <w:p w14:paraId="327B0AAF">
            <w:pPr>
              <w:pStyle w:val="22"/>
              <w:adjustRightInd w:val="0"/>
              <w:snapToGrid w:val="0"/>
              <w:spacing w:before="0" w:beforeAutospacing="0" w:after="0" w:afterAutospacing="0"/>
              <w:ind w:firstLine="0" w:firstLineChars="0"/>
              <w:jc w:val="center"/>
              <w:rPr>
                <w:rFonts w:ascii="Times New Roman" w:hAnsi="Times New Roman"/>
                <w:color w:val="auto"/>
                <w:kern w:val="2"/>
                <w:szCs w:val="24"/>
                <w:highlight w:val="none"/>
              </w:rPr>
            </w:pPr>
            <w:r>
              <w:rPr>
                <w:rFonts w:ascii="Times New Roman" w:hAnsi="Times New Roman"/>
                <w:color w:val="auto"/>
                <w:kern w:val="2"/>
                <w:szCs w:val="24"/>
                <w:highlight w:val="none"/>
              </w:rPr>
              <w:t>指标</w:t>
            </w:r>
          </w:p>
        </w:tc>
        <w:tc>
          <w:tcPr>
            <w:tcW w:w="8319" w:type="dxa"/>
            <w:noWrap w:val="0"/>
            <w:vAlign w:val="top"/>
          </w:tcPr>
          <w:p w14:paraId="10B08C61">
            <w:pPr>
              <w:pStyle w:val="3"/>
              <w:rPr>
                <w:color w:val="auto"/>
                <w:highlight w:val="none"/>
              </w:rPr>
            </w:pPr>
            <w:r>
              <w:rPr>
                <w:color w:val="auto"/>
                <w:highlight w:val="none"/>
              </w:rPr>
              <w:t>3.8 总量控制指标确认</w:t>
            </w:r>
          </w:p>
          <w:p w14:paraId="605534A1">
            <w:pPr>
              <w:widowControl/>
              <w:ind w:firstLine="480"/>
              <w:jc w:val="left"/>
              <w:rPr>
                <w:color w:val="auto"/>
                <w:highlight w:val="none"/>
              </w:rPr>
            </w:pPr>
            <w:r>
              <w:rPr>
                <w:rFonts w:hint="eastAsia" w:ascii="宋体" w:hAnsi="宋体" w:cs="宋体"/>
                <w:color w:val="auto"/>
                <w:kern w:val="0"/>
                <w:highlight w:val="none"/>
                <w:lang w:bidi="ar"/>
              </w:rPr>
              <w:t>根据国家“十三五”期间污染物总量控制要求、《福建省“十四五”生态环境保护规划》（闽政办〔</w:t>
            </w:r>
            <w:r>
              <w:rPr>
                <w:color w:val="auto"/>
                <w:kern w:val="0"/>
                <w:highlight w:val="none"/>
                <w:lang w:bidi="ar"/>
              </w:rPr>
              <w:t>2021</w:t>
            </w:r>
            <w:r>
              <w:rPr>
                <w:rFonts w:hint="eastAsia" w:ascii="宋体" w:hAnsi="宋体" w:cs="宋体"/>
                <w:color w:val="auto"/>
                <w:kern w:val="0"/>
                <w:highlight w:val="none"/>
                <w:lang w:bidi="ar"/>
              </w:rPr>
              <w:t>〕</w:t>
            </w:r>
            <w:r>
              <w:rPr>
                <w:color w:val="auto"/>
                <w:kern w:val="0"/>
                <w:highlight w:val="none"/>
                <w:lang w:bidi="ar"/>
              </w:rPr>
              <w:t>59</w:t>
            </w:r>
            <w:r>
              <w:rPr>
                <w:rFonts w:hint="eastAsia" w:ascii="宋体" w:hAnsi="宋体" w:cs="宋体"/>
                <w:color w:val="auto"/>
                <w:kern w:val="0"/>
                <w:highlight w:val="none"/>
                <w:lang w:bidi="ar"/>
              </w:rPr>
              <w:t>号）、《福建省人民政府关于印发福建省“十四五”节能减排综合性工作方案的通知》（闽政</w:t>
            </w:r>
            <w:r>
              <w:rPr>
                <w:rFonts w:hint="default" w:ascii="Times New Roman" w:hAnsi="Times New Roman" w:eastAsia="宋体" w:cs="Times New Roman"/>
                <w:color w:val="auto"/>
                <w:kern w:val="0"/>
                <w:highlight w:val="none"/>
                <w:lang w:bidi="ar"/>
              </w:rPr>
              <w:t>〔2022〕</w:t>
            </w:r>
            <w:r>
              <w:rPr>
                <w:color w:val="auto"/>
                <w:kern w:val="0"/>
                <w:highlight w:val="none"/>
                <w:lang w:bidi="ar"/>
              </w:rPr>
              <w:t>17</w:t>
            </w:r>
            <w:r>
              <w:rPr>
                <w:rFonts w:hint="eastAsia" w:ascii="宋体" w:hAnsi="宋体" w:cs="宋体"/>
                <w:color w:val="auto"/>
                <w:kern w:val="0"/>
                <w:highlight w:val="none"/>
                <w:lang w:bidi="ar"/>
              </w:rPr>
              <w:t>号）、《福建省环保厅关于环评审批中落实排污权交易工作要求的通知》（闽环保评</w:t>
            </w:r>
            <w:r>
              <w:rPr>
                <w:rFonts w:hint="default" w:ascii="Times New Roman" w:hAnsi="Times New Roman" w:eastAsia="宋体" w:cs="Times New Roman"/>
                <w:color w:val="auto"/>
                <w:kern w:val="0"/>
                <w:highlight w:val="none"/>
                <w:lang w:bidi="ar"/>
              </w:rPr>
              <w:t>〔20</w:t>
            </w:r>
            <w:r>
              <w:rPr>
                <w:rFonts w:hint="eastAsia" w:ascii="Times New Roman" w:hAnsi="Times New Roman" w:eastAsia="宋体" w:cs="Times New Roman"/>
                <w:color w:val="auto"/>
                <w:kern w:val="0"/>
                <w:highlight w:val="none"/>
                <w:lang w:val="en-US" w:eastAsia="zh-CN" w:bidi="ar"/>
              </w:rPr>
              <w:t>14</w:t>
            </w:r>
            <w:r>
              <w:rPr>
                <w:rFonts w:hint="default" w:ascii="Times New Roman" w:hAnsi="Times New Roman" w:eastAsia="宋体" w:cs="Times New Roman"/>
                <w:color w:val="auto"/>
                <w:kern w:val="0"/>
                <w:highlight w:val="none"/>
                <w:lang w:bidi="ar"/>
              </w:rPr>
              <w:t>〕</w:t>
            </w:r>
            <w:r>
              <w:rPr>
                <w:color w:val="auto"/>
                <w:kern w:val="0"/>
                <w:highlight w:val="none"/>
                <w:lang w:bidi="ar"/>
              </w:rPr>
              <w:t>43</w:t>
            </w:r>
            <w:r>
              <w:rPr>
                <w:rFonts w:hint="eastAsia" w:ascii="宋体" w:hAnsi="宋体" w:cs="宋体"/>
                <w:color w:val="auto"/>
                <w:kern w:val="0"/>
                <w:highlight w:val="none"/>
                <w:lang w:bidi="ar"/>
              </w:rPr>
              <w:t>号）等有关主要污染物排放总量控制计划的要求，结合本项目排污特征，确定</w:t>
            </w:r>
            <w:r>
              <w:rPr>
                <w:rFonts w:hint="eastAsia"/>
                <w:color w:val="auto"/>
                <w:highlight w:val="none"/>
              </w:rPr>
              <w:t>本项目总量控制因子为</w:t>
            </w:r>
            <w:r>
              <w:rPr>
                <w:color w:val="auto"/>
                <w:highlight w:val="none"/>
              </w:rPr>
              <w:t>COD</w:t>
            </w:r>
            <w:r>
              <w:rPr>
                <w:rFonts w:hint="eastAsia"/>
                <w:color w:val="auto"/>
                <w:highlight w:val="none"/>
              </w:rPr>
              <w:t>、氨氮、挥发性有机物（以非甲烷总烃计）、SO</w:t>
            </w:r>
            <w:r>
              <w:rPr>
                <w:rFonts w:hint="eastAsia"/>
                <w:color w:val="auto"/>
                <w:highlight w:val="none"/>
                <w:vertAlign w:val="subscript"/>
              </w:rPr>
              <w:t>2</w:t>
            </w:r>
            <w:r>
              <w:rPr>
                <w:rFonts w:hint="eastAsia"/>
                <w:color w:val="auto"/>
                <w:highlight w:val="none"/>
              </w:rPr>
              <w:t>、NO</w:t>
            </w:r>
            <w:r>
              <w:rPr>
                <w:rFonts w:hint="eastAsia"/>
                <w:color w:val="auto"/>
                <w:highlight w:val="none"/>
                <w:vertAlign w:val="subscript"/>
              </w:rPr>
              <w:t>X</w:t>
            </w:r>
            <w:r>
              <w:rPr>
                <w:rFonts w:hint="eastAsia"/>
                <w:color w:val="auto"/>
                <w:highlight w:val="none"/>
              </w:rPr>
              <w:t>。</w:t>
            </w:r>
          </w:p>
          <w:p w14:paraId="0D9D8284">
            <w:pPr>
              <w:pStyle w:val="4"/>
              <w:rPr>
                <w:color w:val="auto"/>
                <w:highlight w:val="none"/>
              </w:rPr>
            </w:pPr>
            <w:r>
              <w:rPr>
                <w:color w:val="auto"/>
                <w:highlight w:val="none"/>
              </w:rPr>
              <w:t>3.8.</w:t>
            </w:r>
            <w:r>
              <w:rPr>
                <w:rFonts w:hint="eastAsia"/>
                <w:color w:val="auto"/>
                <w:highlight w:val="none"/>
              </w:rPr>
              <w:t>1</w:t>
            </w:r>
            <w:r>
              <w:rPr>
                <w:color w:val="auto"/>
                <w:highlight w:val="none"/>
              </w:rPr>
              <w:t xml:space="preserve"> 废水主要污染物排放总量</w:t>
            </w:r>
          </w:p>
          <w:p w14:paraId="7EC84FAC">
            <w:pPr>
              <w:bidi w:val="0"/>
              <w:rPr>
                <w:color w:val="auto"/>
                <w:highlight w:val="none"/>
              </w:rPr>
            </w:pPr>
            <w:r>
              <w:rPr>
                <w:color w:val="auto"/>
                <w:highlight w:val="none"/>
              </w:rPr>
              <w:t>项目无生产废水的排放，根据《福建省环保厅关于进一步明确排污权工作有关问题的通知》</w:t>
            </w:r>
            <w:r>
              <w:rPr>
                <w:rFonts w:hint="eastAsia"/>
                <w:color w:val="auto"/>
                <w:highlight w:val="none"/>
              </w:rPr>
              <w:t>（</w:t>
            </w:r>
            <w:r>
              <w:rPr>
                <w:color w:val="auto"/>
                <w:highlight w:val="none"/>
              </w:rPr>
              <w:t>闽环保财〔20</w:t>
            </w:r>
            <w:r>
              <w:rPr>
                <w:rFonts w:hint="eastAsia"/>
                <w:color w:val="auto"/>
                <w:highlight w:val="none"/>
              </w:rPr>
              <w:t>17</w:t>
            </w:r>
            <w:r>
              <w:rPr>
                <w:color w:val="auto"/>
                <w:highlight w:val="none"/>
              </w:rPr>
              <w:t>〕22号</w:t>
            </w:r>
            <w:r>
              <w:rPr>
                <w:rFonts w:hint="eastAsia"/>
                <w:color w:val="auto"/>
                <w:highlight w:val="none"/>
              </w:rPr>
              <w:t>）</w:t>
            </w:r>
            <w:r>
              <w:rPr>
                <w:color w:val="auto"/>
                <w:highlight w:val="none"/>
              </w:rPr>
              <w:t>，现有工业排污单位的水污染物的初始排污权只核定工业</w:t>
            </w:r>
            <w:r>
              <w:rPr>
                <w:rFonts w:ascii="Times New Roman" w:hAnsi="Times New Roman" w:cs="Times New Roman"/>
                <w:color w:val="auto"/>
                <w:highlight w:val="none"/>
              </w:rPr>
              <w:t>废水部分，</w:t>
            </w:r>
            <w:r>
              <w:rPr>
                <w:color w:val="auto"/>
                <w:highlight w:val="none"/>
              </w:rPr>
              <w:t>项目</w:t>
            </w:r>
            <w:r>
              <w:rPr>
                <w:rFonts w:hint="eastAsia"/>
                <w:color w:val="auto"/>
                <w:highlight w:val="none"/>
                <w:lang w:val="en-US" w:eastAsia="zh-CN"/>
              </w:rPr>
              <w:t>食堂废水经隔油池预处理后与</w:t>
            </w:r>
            <w:r>
              <w:rPr>
                <w:rFonts w:hint="eastAsia"/>
                <w:color w:val="auto"/>
                <w:highlight w:val="none"/>
              </w:rPr>
              <w:t>生活废水</w:t>
            </w:r>
            <w:r>
              <w:rPr>
                <w:rFonts w:hint="eastAsia"/>
                <w:color w:val="auto"/>
                <w:highlight w:val="none"/>
                <w:lang w:val="en-US" w:eastAsia="zh-CN"/>
              </w:rPr>
              <w:t>一起</w:t>
            </w:r>
            <w:r>
              <w:rPr>
                <w:rFonts w:hint="eastAsia"/>
                <w:color w:val="auto"/>
                <w:highlight w:val="none"/>
              </w:rPr>
              <w:t>经</w:t>
            </w:r>
            <w:r>
              <w:rPr>
                <w:rFonts w:hint="eastAsia" w:cs="Times New Roman"/>
                <w:color w:val="auto"/>
                <w:highlight w:val="none"/>
                <w:lang w:val="en-US" w:eastAsia="zh-CN"/>
              </w:rPr>
              <w:t>化粪池</w:t>
            </w:r>
            <w:r>
              <w:rPr>
                <w:rFonts w:hint="eastAsia"/>
                <w:color w:val="auto"/>
                <w:highlight w:val="none"/>
              </w:rPr>
              <w:t>处理后排入</w:t>
            </w:r>
            <w:r>
              <w:rPr>
                <w:rFonts w:hint="eastAsia"/>
                <w:color w:val="auto"/>
                <w:highlight w:val="none"/>
                <w:lang w:val="en-US" w:eastAsia="zh-CN"/>
              </w:rPr>
              <w:t>市政污水管网纳入</w:t>
            </w:r>
            <w:r>
              <w:rPr>
                <w:rFonts w:hint="eastAsia"/>
                <w:color w:val="auto"/>
                <w:highlight w:val="none"/>
              </w:rPr>
              <w:t>金港工业区生活污水处理厂处理，计入金港工业区生活污水处理厂的总量控制指标</w:t>
            </w:r>
            <w:r>
              <w:rPr>
                <w:rFonts w:hint="eastAsia" w:cs="Times New Roman"/>
                <w:color w:val="auto"/>
                <w:highlight w:val="none"/>
                <w:lang w:val="en-US" w:eastAsia="zh-CN"/>
              </w:rPr>
              <w:t>。</w:t>
            </w:r>
            <w:r>
              <w:rPr>
                <w:rFonts w:ascii="Times New Roman" w:hAnsi="Times New Roman" w:cs="Times New Roman"/>
                <w:color w:val="auto"/>
                <w:highlight w:val="none"/>
              </w:rPr>
              <w:t>因此无</w:t>
            </w:r>
            <w:r>
              <w:rPr>
                <w:color w:val="auto"/>
                <w:highlight w:val="none"/>
              </w:rPr>
              <w:t>需申请总量控制指标。</w:t>
            </w:r>
          </w:p>
          <w:p w14:paraId="4B2945C7">
            <w:pPr>
              <w:pStyle w:val="4"/>
              <w:rPr>
                <w:color w:val="auto"/>
                <w:highlight w:val="none"/>
              </w:rPr>
            </w:pPr>
            <w:r>
              <w:rPr>
                <w:color w:val="auto"/>
                <w:highlight w:val="none"/>
              </w:rPr>
              <w:t>3.8</w:t>
            </w:r>
            <w:r>
              <w:rPr>
                <w:rFonts w:hint="eastAsia"/>
                <w:color w:val="auto"/>
                <w:highlight w:val="none"/>
              </w:rPr>
              <w:t>.2</w:t>
            </w:r>
            <w:r>
              <w:rPr>
                <w:color w:val="auto"/>
                <w:highlight w:val="none"/>
              </w:rPr>
              <w:t xml:space="preserve"> 废气主要污染物排放总量</w:t>
            </w:r>
            <w:r>
              <w:rPr>
                <w:rFonts w:hint="eastAsia"/>
                <w:color w:val="auto"/>
                <w:highlight w:val="none"/>
                <w:lang w:val="en-US" w:eastAsia="zh-CN"/>
              </w:rPr>
              <w:t xml:space="preserve"> </w:t>
            </w:r>
          </w:p>
          <w:p w14:paraId="688E9007">
            <w:pPr>
              <w:bidi w:val="0"/>
              <w:rPr>
                <w:color w:val="auto"/>
                <w:highlight w:val="none"/>
              </w:rPr>
            </w:pPr>
            <w:r>
              <w:rPr>
                <w:rFonts w:hint="eastAsia"/>
                <w:color w:val="auto"/>
                <w:highlight w:val="none"/>
              </w:rPr>
              <w:t>项目主要污染物排放总量为挥发性有机物（以非甲烷总烃表征）、NOx、SO</w:t>
            </w:r>
            <w:r>
              <w:rPr>
                <w:rFonts w:hint="eastAsia"/>
                <w:color w:val="auto"/>
                <w:highlight w:val="none"/>
                <w:vertAlign w:val="subscript"/>
              </w:rPr>
              <w:t>2</w:t>
            </w:r>
            <w:r>
              <w:rPr>
                <w:rFonts w:hint="eastAsia"/>
                <w:color w:val="auto"/>
                <w:highlight w:val="none"/>
              </w:rPr>
              <w:t>，本次项目</w:t>
            </w:r>
            <w:r>
              <w:rPr>
                <w:rFonts w:hint="eastAsia"/>
                <w:color w:val="auto"/>
                <w:highlight w:val="none"/>
                <w:lang w:val="en-US" w:eastAsia="zh-CN"/>
              </w:rPr>
              <w:t>非甲烷总烃</w:t>
            </w:r>
            <w:r>
              <w:rPr>
                <w:rFonts w:hint="eastAsia"/>
                <w:color w:val="auto"/>
                <w:highlight w:val="none"/>
              </w:rPr>
              <w:t>排放量为</w:t>
            </w:r>
            <w:r>
              <w:rPr>
                <w:rFonts w:hint="eastAsia"/>
                <w:color w:val="auto"/>
                <w:highlight w:val="none"/>
                <w:lang w:val="en-US" w:eastAsia="zh-CN"/>
              </w:rPr>
              <w:t>0.0103</w:t>
            </w:r>
            <w:r>
              <w:rPr>
                <w:rFonts w:hint="eastAsia"/>
                <w:color w:val="auto"/>
                <w:highlight w:val="none"/>
              </w:rPr>
              <w:t>t/a，SO</w:t>
            </w:r>
            <w:r>
              <w:rPr>
                <w:rFonts w:hint="eastAsia"/>
                <w:color w:val="auto"/>
                <w:highlight w:val="none"/>
                <w:vertAlign w:val="subscript"/>
              </w:rPr>
              <w:t>2</w:t>
            </w:r>
            <w:r>
              <w:rPr>
                <w:rFonts w:hint="eastAsia"/>
                <w:color w:val="auto"/>
                <w:highlight w:val="none"/>
              </w:rPr>
              <w:t>的排放量为</w:t>
            </w:r>
            <w:r>
              <w:rPr>
                <w:rFonts w:hint="eastAsia"/>
                <w:color w:val="auto"/>
                <w:highlight w:val="none"/>
                <w:lang w:val="en-US" w:eastAsia="zh-CN"/>
              </w:rPr>
              <w:t>0.213</w:t>
            </w:r>
            <w:r>
              <w:rPr>
                <w:rFonts w:hint="eastAsia"/>
                <w:color w:val="auto"/>
                <w:highlight w:val="none"/>
              </w:rPr>
              <w:t>t/a、NOx的排放量为</w:t>
            </w:r>
            <w:r>
              <w:rPr>
                <w:rFonts w:hint="eastAsia"/>
                <w:color w:val="auto"/>
                <w:highlight w:val="none"/>
                <w:lang w:val="en-US" w:eastAsia="zh-CN"/>
              </w:rPr>
              <w:t>2.826</w:t>
            </w:r>
            <w:r>
              <w:rPr>
                <w:rFonts w:hint="eastAsia"/>
                <w:color w:val="auto"/>
                <w:highlight w:val="none"/>
              </w:rPr>
              <w:t>/a。项目产生的污染物排放总量控制指标见表3.8-1。</w:t>
            </w:r>
          </w:p>
          <w:p w14:paraId="4F6DAE19">
            <w:pPr>
              <w:ind w:firstLine="0" w:firstLineChars="0"/>
              <w:jc w:val="center"/>
              <w:rPr>
                <w:b/>
                <w:bCs/>
                <w:color w:val="auto"/>
                <w:highlight w:val="none"/>
              </w:rPr>
            </w:pPr>
            <w:r>
              <w:rPr>
                <w:b/>
                <w:bCs/>
                <w:color w:val="auto"/>
                <w:highlight w:val="none"/>
              </w:rPr>
              <w:t>表3.8-</w:t>
            </w:r>
            <w:r>
              <w:rPr>
                <w:rFonts w:hint="eastAsia"/>
                <w:b/>
                <w:bCs/>
                <w:color w:val="auto"/>
                <w:highlight w:val="none"/>
              </w:rPr>
              <w:t>1</w:t>
            </w:r>
            <w:r>
              <w:rPr>
                <w:b/>
                <w:bCs/>
                <w:color w:val="auto"/>
                <w:highlight w:val="none"/>
              </w:rPr>
              <w:t xml:space="preserve"> 项目废气污染物排放总量指标一览表</w:t>
            </w:r>
          </w:p>
          <w:tbl>
            <w:tblPr>
              <w:tblStyle w:val="27"/>
              <w:tblW w:w="8217"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041"/>
              <w:gridCol w:w="1313"/>
              <w:gridCol w:w="810"/>
              <w:gridCol w:w="780"/>
              <w:gridCol w:w="1200"/>
              <w:gridCol w:w="875"/>
              <w:gridCol w:w="1083"/>
              <w:gridCol w:w="1115"/>
            </w:tblGrid>
            <w:tr w14:paraId="5D5FA53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0" w:hRule="atLeast"/>
                <w:jc w:val="center"/>
              </w:trPr>
              <w:tc>
                <w:tcPr>
                  <w:tcW w:w="1041" w:type="dxa"/>
                  <w:noWrap w:val="0"/>
                  <w:vAlign w:val="center"/>
                </w:tcPr>
                <w:p w14:paraId="73453BB1">
                  <w:pPr>
                    <w:spacing w:line="340" w:lineRule="exact"/>
                    <w:ind w:firstLine="0" w:firstLineChars="0"/>
                    <w:jc w:val="center"/>
                    <w:rPr>
                      <w:b/>
                      <w:bCs/>
                      <w:color w:val="auto"/>
                      <w:sz w:val="21"/>
                      <w:szCs w:val="21"/>
                      <w:highlight w:val="none"/>
                      <w:lang w:bidi="ar"/>
                    </w:rPr>
                  </w:pPr>
                  <w:r>
                    <w:rPr>
                      <w:b/>
                      <w:bCs/>
                      <w:color w:val="auto"/>
                      <w:sz w:val="21"/>
                      <w:szCs w:val="21"/>
                      <w:highlight w:val="none"/>
                      <w:lang w:bidi="ar"/>
                    </w:rPr>
                    <w:t>污染源</w:t>
                  </w:r>
                </w:p>
              </w:tc>
              <w:tc>
                <w:tcPr>
                  <w:tcW w:w="2123" w:type="dxa"/>
                  <w:gridSpan w:val="2"/>
                  <w:noWrap w:val="0"/>
                  <w:vAlign w:val="center"/>
                </w:tcPr>
                <w:p w14:paraId="1910C517">
                  <w:pPr>
                    <w:spacing w:line="340" w:lineRule="exact"/>
                    <w:ind w:firstLine="0" w:firstLineChars="0"/>
                    <w:jc w:val="center"/>
                    <w:rPr>
                      <w:b/>
                      <w:bCs/>
                      <w:color w:val="auto"/>
                      <w:sz w:val="21"/>
                      <w:szCs w:val="21"/>
                      <w:highlight w:val="none"/>
                      <w:lang w:bidi="ar"/>
                    </w:rPr>
                  </w:pPr>
                  <w:r>
                    <w:rPr>
                      <w:b/>
                      <w:bCs/>
                      <w:color w:val="auto"/>
                      <w:sz w:val="21"/>
                      <w:szCs w:val="21"/>
                      <w:highlight w:val="none"/>
                      <w:lang w:bidi="ar"/>
                    </w:rPr>
                    <w:t>污染物</w:t>
                  </w:r>
                </w:p>
              </w:tc>
              <w:tc>
                <w:tcPr>
                  <w:tcW w:w="780" w:type="dxa"/>
                  <w:tcBorders>
                    <w:right w:val="single" w:color="auto" w:sz="4" w:space="0"/>
                  </w:tcBorders>
                  <w:noWrap w:val="0"/>
                  <w:vAlign w:val="center"/>
                </w:tcPr>
                <w:p w14:paraId="7841D4AE">
                  <w:pPr>
                    <w:spacing w:line="340" w:lineRule="exact"/>
                    <w:ind w:firstLine="0" w:firstLineChars="0"/>
                    <w:jc w:val="center"/>
                    <w:rPr>
                      <w:b/>
                      <w:bCs/>
                      <w:color w:val="auto"/>
                      <w:sz w:val="21"/>
                      <w:szCs w:val="21"/>
                      <w:highlight w:val="none"/>
                      <w:lang w:bidi="ar"/>
                    </w:rPr>
                  </w:pPr>
                  <w:r>
                    <w:rPr>
                      <w:rFonts w:hint="eastAsia"/>
                      <w:b/>
                      <w:bCs/>
                      <w:color w:val="auto"/>
                      <w:sz w:val="21"/>
                      <w:szCs w:val="21"/>
                      <w:highlight w:val="none"/>
                      <w:lang w:bidi="ar"/>
                    </w:rPr>
                    <w:t>排放时间</w:t>
                  </w:r>
                </w:p>
              </w:tc>
              <w:tc>
                <w:tcPr>
                  <w:tcW w:w="1200" w:type="dxa"/>
                  <w:noWrap w:val="0"/>
                  <w:vAlign w:val="center"/>
                </w:tcPr>
                <w:p w14:paraId="10FD61EE">
                  <w:pPr>
                    <w:spacing w:line="340" w:lineRule="exact"/>
                    <w:ind w:firstLine="0" w:firstLineChars="0"/>
                    <w:jc w:val="center"/>
                    <w:rPr>
                      <w:rFonts w:hint="eastAsia"/>
                      <w:b/>
                      <w:bCs/>
                      <w:color w:val="auto"/>
                      <w:sz w:val="21"/>
                      <w:szCs w:val="21"/>
                      <w:highlight w:val="none"/>
                      <w:lang w:bidi="ar"/>
                    </w:rPr>
                  </w:pPr>
                  <w:r>
                    <w:rPr>
                      <w:b/>
                      <w:bCs/>
                      <w:color w:val="auto"/>
                      <w:sz w:val="21"/>
                      <w:szCs w:val="21"/>
                      <w:highlight w:val="none"/>
                      <w:lang w:bidi="ar"/>
                    </w:rPr>
                    <w:t>预测排放</w:t>
                  </w:r>
                  <w:r>
                    <w:rPr>
                      <w:rFonts w:hint="eastAsia"/>
                      <w:b/>
                      <w:bCs/>
                      <w:color w:val="auto"/>
                      <w:sz w:val="21"/>
                      <w:szCs w:val="21"/>
                      <w:highlight w:val="none"/>
                      <w:lang w:bidi="ar"/>
                    </w:rPr>
                    <w:t>速率</w:t>
                  </w:r>
                </w:p>
              </w:tc>
              <w:tc>
                <w:tcPr>
                  <w:tcW w:w="875" w:type="dxa"/>
                  <w:noWrap w:val="0"/>
                  <w:vAlign w:val="center"/>
                </w:tcPr>
                <w:p w14:paraId="62AFC0EE">
                  <w:pPr>
                    <w:spacing w:line="340" w:lineRule="exact"/>
                    <w:ind w:firstLine="0" w:firstLineChars="0"/>
                    <w:jc w:val="center"/>
                    <w:rPr>
                      <w:b/>
                      <w:bCs/>
                      <w:color w:val="auto"/>
                      <w:sz w:val="21"/>
                      <w:szCs w:val="21"/>
                      <w:highlight w:val="none"/>
                      <w:lang w:bidi="ar"/>
                    </w:rPr>
                  </w:pPr>
                  <w:r>
                    <w:rPr>
                      <w:rFonts w:hint="eastAsia"/>
                      <w:b/>
                      <w:bCs/>
                      <w:color w:val="auto"/>
                      <w:sz w:val="21"/>
                      <w:szCs w:val="21"/>
                      <w:highlight w:val="none"/>
                      <w:lang w:bidi="ar"/>
                    </w:rPr>
                    <w:t>允许排放速率</w:t>
                  </w:r>
                </w:p>
              </w:tc>
              <w:tc>
                <w:tcPr>
                  <w:tcW w:w="1083" w:type="dxa"/>
                  <w:noWrap w:val="0"/>
                  <w:vAlign w:val="center"/>
                </w:tcPr>
                <w:p w14:paraId="042A3009">
                  <w:pPr>
                    <w:spacing w:line="340" w:lineRule="exact"/>
                    <w:ind w:firstLine="0" w:firstLineChars="0"/>
                    <w:jc w:val="center"/>
                    <w:rPr>
                      <w:b/>
                      <w:bCs/>
                      <w:color w:val="auto"/>
                      <w:sz w:val="21"/>
                      <w:szCs w:val="21"/>
                      <w:highlight w:val="none"/>
                      <w:lang w:bidi="ar"/>
                    </w:rPr>
                  </w:pPr>
                  <w:r>
                    <w:rPr>
                      <w:b/>
                      <w:bCs/>
                      <w:color w:val="auto"/>
                      <w:sz w:val="21"/>
                      <w:szCs w:val="21"/>
                      <w:highlight w:val="none"/>
                      <w:lang w:bidi="ar"/>
                    </w:rPr>
                    <w:t>预测排放量</w:t>
                  </w:r>
                </w:p>
              </w:tc>
              <w:tc>
                <w:tcPr>
                  <w:tcW w:w="1115" w:type="dxa"/>
                  <w:noWrap w:val="0"/>
                  <w:vAlign w:val="center"/>
                </w:tcPr>
                <w:p w14:paraId="6B9ECC6E">
                  <w:pPr>
                    <w:spacing w:line="340" w:lineRule="exact"/>
                    <w:ind w:firstLine="0" w:firstLineChars="0"/>
                    <w:jc w:val="center"/>
                    <w:rPr>
                      <w:b/>
                      <w:bCs/>
                      <w:color w:val="auto"/>
                      <w:sz w:val="21"/>
                      <w:szCs w:val="21"/>
                      <w:highlight w:val="none"/>
                      <w:lang w:bidi="ar"/>
                    </w:rPr>
                  </w:pPr>
                  <w:r>
                    <w:rPr>
                      <w:b/>
                      <w:bCs/>
                      <w:color w:val="auto"/>
                      <w:sz w:val="21"/>
                      <w:szCs w:val="21"/>
                      <w:highlight w:val="none"/>
                      <w:lang w:bidi="ar"/>
                    </w:rPr>
                    <w:t>总量核算指标</w:t>
                  </w:r>
                </w:p>
              </w:tc>
            </w:tr>
            <w:tr w14:paraId="3C86B1A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2" w:hRule="atLeast"/>
                <w:jc w:val="center"/>
              </w:trPr>
              <w:tc>
                <w:tcPr>
                  <w:tcW w:w="1041" w:type="dxa"/>
                  <w:vMerge w:val="restart"/>
                  <w:noWrap w:val="0"/>
                  <w:vAlign w:val="center"/>
                </w:tcPr>
                <w:p w14:paraId="3B28722B">
                  <w:pPr>
                    <w:spacing w:line="340" w:lineRule="exact"/>
                    <w:ind w:firstLine="0" w:firstLineChars="0"/>
                    <w:jc w:val="center"/>
                    <w:rPr>
                      <w:color w:val="auto"/>
                      <w:sz w:val="21"/>
                      <w:szCs w:val="21"/>
                      <w:highlight w:val="none"/>
                      <w:lang w:bidi="ar"/>
                    </w:rPr>
                  </w:pPr>
                  <w:r>
                    <w:rPr>
                      <w:color w:val="auto"/>
                      <w:sz w:val="21"/>
                      <w:szCs w:val="21"/>
                      <w:highlight w:val="none"/>
                      <w:lang w:bidi="ar"/>
                    </w:rPr>
                    <w:t>DA001</w:t>
                  </w:r>
                  <w:r>
                    <w:rPr>
                      <w:rFonts w:hint="eastAsia"/>
                      <w:color w:val="auto"/>
                      <w:sz w:val="21"/>
                      <w:szCs w:val="21"/>
                      <w:highlight w:val="none"/>
                      <w:lang w:bidi="ar"/>
                    </w:rPr>
                    <w:t>排气筒</w:t>
                  </w:r>
                </w:p>
              </w:tc>
              <w:tc>
                <w:tcPr>
                  <w:tcW w:w="1313" w:type="dxa"/>
                  <w:noWrap w:val="0"/>
                  <w:vAlign w:val="center"/>
                </w:tcPr>
                <w:p w14:paraId="500D4E8A">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SO</w:t>
                  </w:r>
                  <w:r>
                    <w:rPr>
                      <w:rFonts w:hint="eastAsia"/>
                      <w:color w:val="auto"/>
                      <w:sz w:val="21"/>
                      <w:szCs w:val="21"/>
                      <w:highlight w:val="none"/>
                      <w:vertAlign w:val="subscript"/>
                      <w:lang w:bidi="ar"/>
                    </w:rPr>
                    <w:t>2</w:t>
                  </w:r>
                </w:p>
              </w:tc>
              <w:tc>
                <w:tcPr>
                  <w:tcW w:w="810" w:type="dxa"/>
                  <w:vMerge w:val="restart"/>
                  <w:noWrap w:val="0"/>
                  <w:vAlign w:val="center"/>
                </w:tcPr>
                <w:p w14:paraId="0D110215">
                  <w:pPr>
                    <w:spacing w:line="340" w:lineRule="exact"/>
                    <w:ind w:firstLine="0" w:firstLineChars="0"/>
                    <w:jc w:val="center"/>
                    <w:rPr>
                      <w:rFonts w:hint="eastAsia" w:eastAsia="宋体"/>
                      <w:color w:val="auto"/>
                      <w:sz w:val="21"/>
                      <w:szCs w:val="21"/>
                      <w:highlight w:val="none"/>
                      <w:lang w:val="en-US" w:eastAsia="zh-CN" w:bidi="ar"/>
                    </w:rPr>
                  </w:pPr>
                  <w:r>
                    <w:rPr>
                      <w:rFonts w:hint="eastAsia"/>
                      <w:color w:val="auto"/>
                      <w:sz w:val="21"/>
                      <w:szCs w:val="21"/>
                      <w:highlight w:val="none"/>
                      <w:lang w:val="en-US" w:eastAsia="zh-CN" w:bidi="ar"/>
                    </w:rPr>
                    <w:t>一期</w:t>
                  </w:r>
                </w:p>
              </w:tc>
              <w:tc>
                <w:tcPr>
                  <w:tcW w:w="780" w:type="dxa"/>
                  <w:vMerge w:val="restart"/>
                  <w:tcBorders>
                    <w:right w:val="single" w:color="auto" w:sz="4" w:space="0"/>
                  </w:tcBorders>
                  <w:noWrap w:val="0"/>
                  <w:vAlign w:val="center"/>
                </w:tcPr>
                <w:p w14:paraId="2179F381">
                  <w:pPr>
                    <w:spacing w:line="340" w:lineRule="exact"/>
                    <w:ind w:firstLine="0" w:firstLineChars="0"/>
                    <w:jc w:val="center"/>
                    <w:rPr>
                      <w:rFonts w:hint="default" w:eastAsia="宋体"/>
                      <w:color w:val="auto"/>
                      <w:sz w:val="21"/>
                      <w:szCs w:val="21"/>
                      <w:highlight w:val="none"/>
                      <w:lang w:val="en-US" w:eastAsia="zh-CN" w:bidi="ar"/>
                    </w:rPr>
                  </w:pPr>
                  <w:r>
                    <w:rPr>
                      <w:rFonts w:hint="eastAsia"/>
                      <w:color w:val="auto"/>
                      <w:sz w:val="21"/>
                      <w:szCs w:val="21"/>
                      <w:highlight w:val="none"/>
                      <w:lang w:val="en-US" w:eastAsia="zh-CN" w:bidi="ar"/>
                    </w:rPr>
                    <w:t>3840h</w:t>
                  </w:r>
                </w:p>
              </w:tc>
              <w:tc>
                <w:tcPr>
                  <w:tcW w:w="1200" w:type="dxa"/>
                  <w:noWrap w:val="0"/>
                  <w:vAlign w:val="center"/>
                </w:tcPr>
                <w:p w14:paraId="01E93607">
                  <w:pPr>
                    <w:spacing w:line="340" w:lineRule="exact"/>
                    <w:ind w:firstLine="0" w:firstLineChars="0"/>
                    <w:jc w:val="center"/>
                    <w:rPr>
                      <w:rFonts w:hint="eastAsia" w:eastAsia="宋体"/>
                      <w:color w:val="auto"/>
                      <w:sz w:val="21"/>
                      <w:szCs w:val="21"/>
                      <w:highlight w:val="none"/>
                      <w:lang w:val="en-US" w:eastAsia="zh-CN" w:bidi="ar"/>
                    </w:rPr>
                  </w:pPr>
                  <w:r>
                    <w:rPr>
                      <w:rFonts w:hint="eastAsia"/>
                      <w:color w:val="auto"/>
                      <w:sz w:val="21"/>
                      <w:szCs w:val="21"/>
                      <w:highlight w:val="none"/>
                      <w:lang w:val="en-US" w:eastAsia="zh-CN" w:bidi="ar"/>
                    </w:rPr>
                    <w:t>/</w:t>
                  </w:r>
                </w:p>
              </w:tc>
              <w:tc>
                <w:tcPr>
                  <w:tcW w:w="875" w:type="dxa"/>
                  <w:noWrap w:val="0"/>
                  <w:vAlign w:val="center"/>
                </w:tcPr>
                <w:p w14:paraId="1BFE346B">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w:t>
                  </w:r>
                </w:p>
              </w:tc>
              <w:tc>
                <w:tcPr>
                  <w:tcW w:w="1083" w:type="dxa"/>
                  <w:noWrap w:val="0"/>
                  <w:vAlign w:val="center"/>
                </w:tcPr>
                <w:p w14:paraId="30BCBFF1">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val="en-US" w:eastAsia="zh-CN" w:bidi="ar"/>
                    </w:rPr>
                    <w:t>0.06</w:t>
                  </w:r>
                  <w:r>
                    <w:rPr>
                      <w:rFonts w:hint="eastAsia"/>
                      <w:color w:val="auto"/>
                      <w:sz w:val="21"/>
                      <w:szCs w:val="21"/>
                      <w:highlight w:val="none"/>
                      <w:lang w:bidi="ar"/>
                    </w:rPr>
                    <w:t>t/a</w:t>
                  </w:r>
                </w:p>
              </w:tc>
              <w:tc>
                <w:tcPr>
                  <w:tcW w:w="1115" w:type="dxa"/>
                  <w:noWrap w:val="0"/>
                  <w:vAlign w:val="center"/>
                </w:tcPr>
                <w:p w14:paraId="3B50E409">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val="en-US" w:eastAsia="zh-CN" w:bidi="ar"/>
                    </w:rPr>
                    <w:t>0.06</w:t>
                  </w:r>
                  <w:r>
                    <w:rPr>
                      <w:rFonts w:hint="eastAsia"/>
                      <w:color w:val="auto"/>
                      <w:sz w:val="21"/>
                      <w:szCs w:val="21"/>
                      <w:highlight w:val="none"/>
                      <w:lang w:bidi="ar"/>
                    </w:rPr>
                    <w:t>t/a</w:t>
                  </w:r>
                </w:p>
              </w:tc>
            </w:tr>
            <w:tr w14:paraId="24B9ACE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2" w:hRule="atLeast"/>
                <w:jc w:val="center"/>
              </w:trPr>
              <w:tc>
                <w:tcPr>
                  <w:tcW w:w="1041" w:type="dxa"/>
                  <w:vMerge w:val="continue"/>
                  <w:noWrap w:val="0"/>
                  <w:vAlign w:val="center"/>
                </w:tcPr>
                <w:p w14:paraId="79EE08A0">
                  <w:pPr>
                    <w:spacing w:line="340" w:lineRule="exact"/>
                    <w:ind w:firstLine="0" w:firstLineChars="0"/>
                    <w:jc w:val="center"/>
                    <w:rPr>
                      <w:color w:val="auto"/>
                      <w:sz w:val="21"/>
                      <w:szCs w:val="21"/>
                      <w:highlight w:val="none"/>
                      <w:lang w:bidi="ar"/>
                    </w:rPr>
                  </w:pPr>
                </w:p>
              </w:tc>
              <w:tc>
                <w:tcPr>
                  <w:tcW w:w="1313" w:type="dxa"/>
                  <w:noWrap w:val="0"/>
                  <w:vAlign w:val="center"/>
                </w:tcPr>
                <w:p w14:paraId="64BF5C2B">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NO</w:t>
                  </w:r>
                  <w:r>
                    <w:rPr>
                      <w:rFonts w:hint="eastAsia"/>
                      <w:color w:val="auto"/>
                      <w:sz w:val="21"/>
                      <w:szCs w:val="21"/>
                      <w:highlight w:val="none"/>
                      <w:vertAlign w:val="subscript"/>
                      <w:lang w:bidi="ar"/>
                    </w:rPr>
                    <w:t>X</w:t>
                  </w:r>
                </w:p>
              </w:tc>
              <w:tc>
                <w:tcPr>
                  <w:tcW w:w="810" w:type="dxa"/>
                  <w:vMerge w:val="continue"/>
                  <w:noWrap w:val="0"/>
                  <w:vAlign w:val="center"/>
                </w:tcPr>
                <w:p w14:paraId="33189FE6">
                  <w:pPr>
                    <w:spacing w:line="340" w:lineRule="exact"/>
                    <w:ind w:firstLine="0" w:firstLineChars="0"/>
                    <w:jc w:val="center"/>
                    <w:rPr>
                      <w:rFonts w:hint="eastAsia"/>
                      <w:color w:val="auto"/>
                      <w:sz w:val="21"/>
                      <w:szCs w:val="21"/>
                      <w:highlight w:val="none"/>
                      <w:lang w:bidi="ar"/>
                    </w:rPr>
                  </w:pPr>
                </w:p>
              </w:tc>
              <w:tc>
                <w:tcPr>
                  <w:tcW w:w="780" w:type="dxa"/>
                  <w:vMerge w:val="continue"/>
                  <w:tcBorders>
                    <w:right w:val="single" w:color="auto" w:sz="4" w:space="0"/>
                  </w:tcBorders>
                  <w:noWrap w:val="0"/>
                  <w:vAlign w:val="center"/>
                </w:tcPr>
                <w:p w14:paraId="3783E85E">
                  <w:pPr>
                    <w:spacing w:line="340" w:lineRule="exact"/>
                    <w:ind w:firstLine="0" w:firstLineChars="0"/>
                    <w:jc w:val="center"/>
                    <w:rPr>
                      <w:rFonts w:hint="eastAsia"/>
                      <w:color w:val="auto"/>
                      <w:sz w:val="21"/>
                      <w:szCs w:val="21"/>
                      <w:highlight w:val="none"/>
                      <w:lang w:bidi="ar"/>
                    </w:rPr>
                  </w:pPr>
                </w:p>
              </w:tc>
              <w:tc>
                <w:tcPr>
                  <w:tcW w:w="1200" w:type="dxa"/>
                  <w:noWrap w:val="0"/>
                  <w:vAlign w:val="center"/>
                </w:tcPr>
                <w:p w14:paraId="4BF4ACC5">
                  <w:pPr>
                    <w:spacing w:line="340" w:lineRule="exact"/>
                    <w:ind w:firstLine="0" w:firstLineChars="0"/>
                    <w:jc w:val="center"/>
                    <w:rPr>
                      <w:rFonts w:hint="eastAsia" w:eastAsia="宋体"/>
                      <w:color w:val="auto"/>
                      <w:sz w:val="21"/>
                      <w:szCs w:val="21"/>
                      <w:highlight w:val="none"/>
                      <w:lang w:val="en-US" w:eastAsia="zh-CN" w:bidi="ar"/>
                    </w:rPr>
                  </w:pPr>
                  <w:r>
                    <w:rPr>
                      <w:rFonts w:hint="eastAsia"/>
                      <w:color w:val="auto"/>
                      <w:sz w:val="21"/>
                      <w:szCs w:val="21"/>
                      <w:highlight w:val="none"/>
                      <w:lang w:val="en-US" w:eastAsia="zh-CN" w:bidi="ar"/>
                    </w:rPr>
                    <w:t>/</w:t>
                  </w:r>
                </w:p>
              </w:tc>
              <w:tc>
                <w:tcPr>
                  <w:tcW w:w="875" w:type="dxa"/>
                  <w:noWrap w:val="0"/>
                  <w:vAlign w:val="center"/>
                </w:tcPr>
                <w:p w14:paraId="662DE4E4">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w:t>
                  </w:r>
                </w:p>
              </w:tc>
              <w:tc>
                <w:tcPr>
                  <w:tcW w:w="1083" w:type="dxa"/>
                  <w:noWrap w:val="0"/>
                  <w:vAlign w:val="center"/>
                </w:tcPr>
                <w:p w14:paraId="064597A1">
                  <w:pPr>
                    <w:spacing w:line="340" w:lineRule="exact"/>
                    <w:ind w:firstLine="0" w:firstLineChars="0"/>
                    <w:jc w:val="center"/>
                    <w:rPr>
                      <w:rFonts w:hint="default" w:eastAsia="宋体"/>
                      <w:color w:val="auto"/>
                      <w:sz w:val="21"/>
                      <w:szCs w:val="21"/>
                      <w:highlight w:val="none"/>
                      <w:lang w:val="en-US" w:eastAsia="zh-CN" w:bidi="ar"/>
                    </w:rPr>
                  </w:pPr>
                  <w:r>
                    <w:rPr>
                      <w:rFonts w:hint="eastAsia"/>
                      <w:color w:val="auto"/>
                      <w:sz w:val="21"/>
                      <w:szCs w:val="21"/>
                      <w:highlight w:val="none"/>
                      <w:lang w:val="en-US" w:eastAsia="zh-CN" w:bidi="ar"/>
                    </w:rPr>
                    <w:t>0.89</w:t>
                  </w:r>
                  <w:r>
                    <w:rPr>
                      <w:rFonts w:hint="eastAsia"/>
                      <w:color w:val="auto"/>
                      <w:sz w:val="21"/>
                      <w:szCs w:val="21"/>
                      <w:highlight w:val="none"/>
                      <w:lang w:bidi="ar"/>
                    </w:rPr>
                    <w:t>t/a</w:t>
                  </w:r>
                </w:p>
              </w:tc>
              <w:tc>
                <w:tcPr>
                  <w:tcW w:w="1115" w:type="dxa"/>
                  <w:noWrap w:val="0"/>
                  <w:vAlign w:val="center"/>
                </w:tcPr>
                <w:p w14:paraId="6903AA01">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val="en-US" w:eastAsia="zh-CN" w:bidi="ar"/>
                    </w:rPr>
                    <w:t>0.89</w:t>
                  </w:r>
                  <w:r>
                    <w:rPr>
                      <w:rFonts w:hint="eastAsia"/>
                      <w:color w:val="auto"/>
                      <w:sz w:val="21"/>
                      <w:szCs w:val="21"/>
                      <w:highlight w:val="none"/>
                      <w:lang w:bidi="ar"/>
                    </w:rPr>
                    <w:t>t/a</w:t>
                  </w:r>
                </w:p>
              </w:tc>
            </w:tr>
            <w:tr w14:paraId="5536037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2" w:hRule="atLeast"/>
                <w:jc w:val="center"/>
              </w:trPr>
              <w:tc>
                <w:tcPr>
                  <w:tcW w:w="1041" w:type="dxa"/>
                  <w:vMerge w:val="restart"/>
                  <w:noWrap w:val="0"/>
                  <w:vAlign w:val="center"/>
                </w:tcPr>
                <w:p w14:paraId="58222B75">
                  <w:pPr>
                    <w:spacing w:line="340" w:lineRule="exact"/>
                    <w:ind w:firstLine="0" w:firstLineChars="0"/>
                    <w:jc w:val="center"/>
                    <w:rPr>
                      <w:color w:val="auto"/>
                      <w:sz w:val="21"/>
                      <w:szCs w:val="21"/>
                      <w:highlight w:val="none"/>
                      <w:lang w:bidi="ar"/>
                    </w:rPr>
                  </w:pPr>
                  <w:r>
                    <w:rPr>
                      <w:color w:val="auto"/>
                      <w:sz w:val="21"/>
                      <w:szCs w:val="21"/>
                      <w:highlight w:val="none"/>
                      <w:lang w:bidi="ar"/>
                    </w:rPr>
                    <w:t>DA00</w:t>
                  </w:r>
                  <w:r>
                    <w:rPr>
                      <w:rFonts w:hint="eastAsia"/>
                      <w:color w:val="auto"/>
                      <w:sz w:val="21"/>
                      <w:szCs w:val="21"/>
                      <w:highlight w:val="none"/>
                      <w:lang w:val="en-US" w:eastAsia="zh-CN" w:bidi="ar"/>
                    </w:rPr>
                    <w:t>2</w:t>
                  </w:r>
                  <w:r>
                    <w:rPr>
                      <w:rFonts w:hint="eastAsia"/>
                      <w:color w:val="auto"/>
                      <w:sz w:val="21"/>
                      <w:szCs w:val="21"/>
                      <w:highlight w:val="none"/>
                      <w:lang w:bidi="ar"/>
                    </w:rPr>
                    <w:t>排气筒</w:t>
                  </w:r>
                </w:p>
              </w:tc>
              <w:tc>
                <w:tcPr>
                  <w:tcW w:w="1313" w:type="dxa"/>
                  <w:noWrap w:val="0"/>
                  <w:vAlign w:val="center"/>
                </w:tcPr>
                <w:p w14:paraId="6ED7A35E">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SO</w:t>
                  </w:r>
                  <w:r>
                    <w:rPr>
                      <w:rFonts w:hint="eastAsia"/>
                      <w:color w:val="auto"/>
                      <w:sz w:val="21"/>
                      <w:szCs w:val="21"/>
                      <w:highlight w:val="none"/>
                      <w:vertAlign w:val="subscript"/>
                      <w:lang w:bidi="ar"/>
                    </w:rPr>
                    <w:t>2</w:t>
                  </w:r>
                </w:p>
              </w:tc>
              <w:tc>
                <w:tcPr>
                  <w:tcW w:w="810" w:type="dxa"/>
                  <w:vMerge w:val="continue"/>
                  <w:noWrap w:val="0"/>
                  <w:vAlign w:val="center"/>
                </w:tcPr>
                <w:p w14:paraId="195F12A4">
                  <w:pPr>
                    <w:spacing w:line="340" w:lineRule="exact"/>
                    <w:ind w:firstLine="0" w:firstLineChars="0"/>
                    <w:jc w:val="center"/>
                    <w:rPr>
                      <w:rFonts w:hint="eastAsia"/>
                      <w:color w:val="auto"/>
                      <w:sz w:val="21"/>
                      <w:szCs w:val="21"/>
                      <w:highlight w:val="none"/>
                      <w:lang w:bidi="ar"/>
                    </w:rPr>
                  </w:pPr>
                </w:p>
              </w:tc>
              <w:tc>
                <w:tcPr>
                  <w:tcW w:w="780" w:type="dxa"/>
                  <w:vMerge w:val="continue"/>
                  <w:tcBorders>
                    <w:right w:val="single" w:color="auto" w:sz="4" w:space="0"/>
                  </w:tcBorders>
                  <w:noWrap w:val="0"/>
                  <w:vAlign w:val="center"/>
                </w:tcPr>
                <w:p w14:paraId="1D117BCD">
                  <w:pPr>
                    <w:spacing w:line="340" w:lineRule="exact"/>
                    <w:ind w:firstLine="0" w:firstLineChars="0"/>
                    <w:jc w:val="center"/>
                    <w:rPr>
                      <w:rFonts w:hint="eastAsia"/>
                      <w:color w:val="auto"/>
                      <w:sz w:val="21"/>
                      <w:szCs w:val="21"/>
                      <w:highlight w:val="none"/>
                      <w:lang w:bidi="ar"/>
                    </w:rPr>
                  </w:pPr>
                </w:p>
              </w:tc>
              <w:tc>
                <w:tcPr>
                  <w:tcW w:w="1200" w:type="dxa"/>
                  <w:noWrap w:val="0"/>
                  <w:vAlign w:val="center"/>
                </w:tcPr>
                <w:p w14:paraId="6B0231D2">
                  <w:pPr>
                    <w:spacing w:line="340" w:lineRule="exact"/>
                    <w:ind w:firstLine="0" w:firstLineChars="0"/>
                    <w:jc w:val="center"/>
                    <w:rPr>
                      <w:rFonts w:hint="default"/>
                      <w:color w:val="auto"/>
                      <w:sz w:val="21"/>
                      <w:szCs w:val="21"/>
                      <w:highlight w:val="none"/>
                      <w:lang w:val="en-US" w:eastAsia="zh-CN" w:bidi="ar"/>
                    </w:rPr>
                  </w:pPr>
                  <w:r>
                    <w:rPr>
                      <w:rFonts w:hint="eastAsia"/>
                      <w:color w:val="auto"/>
                      <w:sz w:val="21"/>
                      <w:szCs w:val="21"/>
                      <w:highlight w:val="none"/>
                      <w:lang w:val="en-US" w:eastAsia="zh-CN" w:bidi="ar"/>
                    </w:rPr>
                    <w:t>/</w:t>
                  </w:r>
                </w:p>
              </w:tc>
              <w:tc>
                <w:tcPr>
                  <w:tcW w:w="875" w:type="dxa"/>
                  <w:noWrap w:val="0"/>
                  <w:vAlign w:val="center"/>
                </w:tcPr>
                <w:p w14:paraId="5242A72B">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w:t>
                  </w:r>
                </w:p>
              </w:tc>
              <w:tc>
                <w:tcPr>
                  <w:tcW w:w="1083" w:type="dxa"/>
                  <w:noWrap w:val="0"/>
                  <w:vAlign w:val="center"/>
                </w:tcPr>
                <w:p w14:paraId="0AEEE9EF">
                  <w:pPr>
                    <w:spacing w:line="340" w:lineRule="exact"/>
                    <w:ind w:firstLine="0" w:firstLineChars="0"/>
                    <w:jc w:val="center"/>
                    <w:rPr>
                      <w:rFonts w:hint="default" w:eastAsia="宋体"/>
                      <w:color w:val="auto"/>
                      <w:sz w:val="21"/>
                      <w:szCs w:val="21"/>
                      <w:highlight w:val="none"/>
                      <w:lang w:val="en-US" w:eastAsia="zh-CN" w:bidi="ar"/>
                    </w:rPr>
                  </w:pPr>
                  <w:r>
                    <w:rPr>
                      <w:rFonts w:hint="eastAsia"/>
                      <w:color w:val="auto"/>
                      <w:sz w:val="21"/>
                      <w:szCs w:val="21"/>
                      <w:highlight w:val="none"/>
                      <w:lang w:val="en-US" w:eastAsia="zh-CN" w:bidi="ar"/>
                    </w:rPr>
                    <w:t>0.011</w:t>
                  </w:r>
                  <w:r>
                    <w:rPr>
                      <w:rFonts w:hint="eastAsia"/>
                      <w:color w:val="auto"/>
                      <w:sz w:val="21"/>
                      <w:szCs w:val="21"/>
                      <w:highlight w:val="none"/>
                      <w:lang w:bidi="ar"/>
                    </w:rPr>
                    <w:t>t/a</w:t>
                  </w:r>
                </w:p>
              </w:tc>
              <w:tc>
                <w:tcPr>
                  <w:tcW w:w="1115" w:type="dxa"/>
                  <w:noWrap w:val="0"/>
                  <w:vAlign w:val="center"/>
                </w:tcPr>
                <w:p w14:paraId="54A70A19">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val="en-US" w:eastAsia="zh-CN" w:bidi="ar"/>
                    </w:rPr>
                    <w:t>0.011</w:t>
                  </w:r>
                  <w:r>
                    <w:rPr>
                      <w:rFonts w:hint="eastAsia"/>
                      <w:color w:val="auto"/>
                      <w:sz w:val="21"/>
                      <w:szCs w:val="21"/>
                      <w:highlight w:val="none"/>
                      <w:lang w:bidi="ar"/>
                    </w:rPr>
                    <w:t>t/a</w:t>
                  </w:r>
                </w:p>
              </w:tc>
            </w:tr>
            <w:tr w14:paraId="5F838C8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2" w:hRule="atLeast"/>
                <w:jc w:val="center"/>
              </w:trPr>
              <w:tc>
                <w:tcPr>
                  <w:tcW w:w="1041" w:type="dxa"/>
                  <w:vMerge w:val="continue"/>
                  <w:noWrap w:val="0"/>
                  <w:vAlign w:val="center"/>
                </w:tcPr>
                <w:p w14:paraId="455F55CE">
                  <w:pPr>
                    <w:spacing w:line="340" w:lineRule="exact"/>
                    <w:ind w:firstLine="0" w:firstLineChars="0"/>
                    <w:jc w:val="center"/>
                    <w:rPr>
                      <w:color w:val="auto"/>
                      <w:sz w:val="21"/>
                      <w:szCs w:val="21"/>
                      <w:highlight w:val="none"/>
                      <w:lang w:bidi="ar"/>
                    </w:rPr>
                  </w:pPr>
                </w:p>
              </w:tc>
              <w:tc>
                <w:tcPr>
                  <w:tcW w:w="1313" w:type="dxa"/>
                  <w:noWrap w:val="0"/>
                  <w:vAlign w:val="center"/>
                </w:tcPr>
                <w:p w14:paraId="78DFEC3E">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NO</w:t>
                  </w:r>
                  <w:r>
                    <w:rPr>
                      <w:rFonts w:hint="eastAsia"/>
                      <w:color w:val="auto"/>
                      <w:sz w:val="21"/>
                      <w:szCs w:val="21"/>
                      <w:highlight w:val="none"/>
                      <w:vertAlign w:val="subscript"/>
                      <w:lang w:bidi="ar"/>
                    </w:rPr>
                    <w:t>X</w:t>
                  </w:r>
                </w:p>
              </w:tc>
              <w:tc>
                <w:tcPr>
                  <w:tcW w:w="810" w:type="dxa"/>
                  <w:vMerge w:val="continue"/>
                  <w:noWrap w:val="0"/>
                  <w:vAlign w:val="center"/>
                </w:tcPr>
                <w:p w14:paraId="7A8A136A">
                  <w:pPr>
                    <w:spacing w:line="340" w:lineRule="exact"/>
                    <w:ind w:firstLine="0" w:firstLineChars="0"/>
                    <w:jc w:val="center"/>
                    <w:rPr>
                      <w:rFonts w:hint="eastAsia"/>
                      <w:color w:val="auto"/>
                      <w:sz w:val="21"/>
                      <w:szCs w:val="21"/>
                      <w:highlight w:val="none"/>
                      <w:lang w:bidi="ar"/>
                    </w:rPr>
                  </w:pPr>
                </w:p>
              </w:tc>
              <w:tc>
                <w:tcPr>
                  <w:tcW w:w="780" w:type="dxa"/>
                  <w:vMerge w:val="continue"/>
                  <w:tcBorders>
                    <w:right w:val="single" w:color="auto" w:sz="4" w:space="0"/>
                  </w:tcBorders>
                  <w:noWrap w:val="0"/>
                  <w:vAlign w:val="center"/>
                </w:tcPr>
                <w:p w14:paraId="5BB27096">
                  <w:pPr>
                    <w:spacing w:line="340" w:lineRule="exact"/>
                    <w:ind w:firstLine="0" w:firstLineChars="0"/>
                    <w:jc w:val="center"/>
                    <w:rPr>
                      <w:rFonts w:hint="eastAsia"/>
                      <w:color w:val="auto"/>
                      <w:sz w:val="21"/>
                      <w:szCs w:val="21"/>
                      <w:highlight w:val="none"/>
                      <w:lang w:bidi="ar"/>
                    </w:rPr>
                  </w:pPr>
                </w:p>
              </w:tc>
              <w:tc>
                <w:tcPr>
                  <w:tcW w:w="1200" w:type="dxa"/>
                  <w:noWrap w:val="0"/>
                  <w:vAlign w:val="center"/>
                </w:tcPr>
                <w:p w14:paraId="6D7FD110">
                  <w:pPr>
                    <w:spacing w:line="340" w:lineRule="exact"/>
                    <w:ind w:firstLine="0" w:firstLineChars="0"/>
                    <w:jc w:val="center"/>
                    <w:rPr>
                      <w:rFonts w:hint="default"/>
                      <w:color w:val="auto"/>
                      <w:sz w:val="21"/>
                      <w:szCs w:val="21"/>
                      <w:highlight w:val="none"/>
                      <w:lang w:val="en-US" w:eastAsia="zh-CN" w:bidi="ar"/>
                    </w:rPr>
                  </w:pPr>
                  <w:r>
                    <w:rPr>
                      <w:rFonts w:hint="eastAsia"/>
                      <w:color w:val="auto"/>
                      <w:sz w:val="21"/>
                      <w:szCs w:val="21"/>
                      <w:highlight w:val="none"/>
                      <w:lang w:val="en-US" w:eastAsia="zh-CN" w:bidi="ar"/>
                    </w:rPr>
                    <w:t>/</w:t>
                  </w:r>
                </w:p>
              </w:tc>
              <w:tc>
                <w:tcPr>
                  <w:tcW w:w="875" w:type="dxa"/>
                  <w:noWrap w:val="0"/>
                  <w:vAlign w:val="center"/>
                </w:tcPr>
                <w:p w14:paraId="19281DF1">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w:t>
                  </w:r>
                </w:p>
              </w:tc>
              <w:tc>
                <w:tcPr>
                  <w:tcW w:w="1083" w:type="dxa"/>
                  <w:noWrap w:val="0"/>
                  <w:vAlign w:val="center"/>
                </w:tcPr>
                <w:p w14:paraId="6E7DA2E5">
                  <w:pPr>
                    <w:spacing w:line="340" w:lineRule="exact"/>
                    <w:ind w:firstLine="0" w:firstLineChars="0"/>
                    <w:jc w:val="center"/>
                    <w:rPr>
                      <w:rFonts w:hint="default" w:eastAsia="宋体"/>
                      <w:color w:val="auto"/>
                      <w:sz w:val="21"/>
                      <w:szCs w:val="21"/>
                      <w:highlight w:val="none"/>
                      <w:lang w:val="en-US" w:eastAsia="zh-CN" w:bidi="ar"/>
                    </w:rPr>
                  </w:pPr>
                  <w:r>
                    <w:rPr>
                      <w:rFonts w:hint="eastAsia"/>
                      <w:color w:val="auto"/>
                      <w:sz w:val="21"/>
                      <w:szCs w:val="21"/>
                      <w:highlight w:val="none"/>
                      <w:lang w:val="en-US" w:eastAsia="zh-CN" w:bidi="ar"/>
                    </w:rPr>
                    <w:t>0.052</w:t>
                  </w:r>
                  <w:r>
                    <w:rPr>
                      <w:rFonts w:hint="eastAsia"/>
                      <w:color w:val="auto"/>
                      <w:sz w:val="21"/>
                      <w:szCs w:val="21"/>
                      <w:highlight w:val="none"/>
                      <w:lang w:bidi="ar"/>
                    </w:rPr>
                    <w:t>t/a</w:t>
                  </w:r>
                </w:p>
              </w:tc>
              <w:tc>
                <w:tcPr>
                  <w:tcW w:w="1115" w:type="dxa"/>
                  <w:noWrap w:val="0"/>
                  <w:vAlign w:val="center"/>
                </w:tcPr>
                <w:p w14:paraId="187A4518">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val="en-US" w:eastAsia="zh-CN" w:bidi="ar"/>
                    </w:rPr>
                    <w:t>0.052</w:t>
                  </w:r>
                  <w:r>
                    <w:rPr>
                      <w:rFonts w:hint="eastAsia"/>
                      <w:color w:val="auto"/>
                      <w:sz w:val="21"/>
                      <w:szCs w:val="21"/>
                      <w:highlight w:val="none"/>
                      <w:lang w:bidi="ar"/>
                    </w:rPr>
                    <w:t>t/a</w:t>
                  </w:r>
                </w:p>
              </w:tc>
            </w:tr>
            <w:tr w14:paraId="070243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8" w:hRule="atLeast"/>
                <w:jc w:val="center"/>
              </w:trPr>
              <w:tc>
                <w:tcPr>
                  <w:tcW w:w="1041" w:type="dxa"/>
                  <w:noWrap w:val="0"/>
                  <w:vAlign w:val="center"/>
                </w:tcPr>
                <w:p w14:paraId="1A9206CE">
                  <w:pPr>
                    <w:spacing w:line="340" w:lineRule="exact"/>
                    <w:ind w:firstLine="0" w:firstLineChars="0"/>
                    <w:jc w:val="center"/>
                    <w:rPr>
                      <w:color w:val="auto"/>
                      <w:sz w:val="21"/>
                      <w:szCs w:val="21"/>
                      <w:highlight w:val="none"/>
                      <w:lang w:bidi="ar"/>
                    </w:rPr>
                  </w:pPr>
                  <w:r>
                    <w:rPr>
                      <w:color w:val="auto"/>
                      <w:sz w:val="21"/>
                      <w:szCs w:val="21"/>
                      <w:highlight w:val="none"/>
                      <w:lang w:bidi="ar"/>
                    </w:rPr>
                    <w:t>DA00</w:t>
                  </w:r>
                  <w:r>
                    <w:rPr>
                      <w:rFonts w:hint="eastAsia"/>
                      <w:color w:val="auto"/>
                      <w:sz w:val="21"/>
                      <w:szCs w:val="21"/>
                      <w:highlight w:val="none"/>
                      <w:lang w:val="en-US" w:eastAsia="zh-CN" w:bidi="ar"/>
                    </w:rPr>
                    <w:t>3</w:t>
                  </w:r>
                  <w:r>
                    <w:rPr>
                      <w:rFonts w:hint="eastAsia"/>
                      <w:color w:val="auto"/>
                      <w:sz w:val="21"/>
                      <w:szCs w:val="21"/>
                      <w:highlight w:val="none"/>
                      <w:lang w:bidi="ar"/>
                    </w:rPr>
                    <w:t>排气筒</w:t>
                  </w:r>
                </w:p>
              </w:tc>
              <w:tc>
                <w:tcPr>
                  <w:tcW w:w="1313" w:type="dxa"/>
                  <w:noWrap w:val="0"/>
                  <w:vAlign w:val="center"/>
                </w:tcPr>
                <w:p w14:paraId="1EB4D0C3">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非甲烷总烃</w:t>
                  </w:r>
                </w:p>
              </w:tc>
              <w:tc>
                <w:tcPr>
                  <w:tcW w:w="810" w:type="dxa"/>
                  <w:vMerge w:val="continue"/>
                  <w:noWrap w:val="0"/>
                  <w:vAlign w:val="center"/>
                </w:tcPr>
                <w:p w14:paraId="3A0722A5">
                  <w:pPr>
                    <w:spacing w:line="340" w:lineRule="exact"/>
                    <w:ind w:firstLine="0" w:firstLineChars="0"/>
                    <w:jc w:val="center"/>
                    <w:rPr>
                      <w:rFonts w:hint="eastAsia"/>
                      <w:color w:val="auto"/>
                      <w:sz w:val="21"/>
                      <w:szCs w:val="21"/>
                      <w:highlight w:val="none"/>
                      <w:lang w:bidi="ar"/>
                    </w:rPr>
                  </w:pPr>
                </w:p>
              </w:tc>
              <w:tc>
                <w:tcPr>
                  <w:tcW w:w="780" w:type="dxa"/>
                  <w:vMerge w:val="continue"/>
                  <w:tcBorders>
                    <w:right w:val="single" w:color="auto" w:sz="4" w:space="0"/>
                  </w:tcBorders>
                  <w:noWrap w:val="0"/>
                  <w:vAlign w:val="center"/>
                </w:tcPr>
                <w:p w14:paraId="67AECFA9">
                  <w:pPr>
                    <w:spacing w:line="340" w:lineRule="exact"/>
                    <w:ind w:firstLine="0" w:firstLineChars="0"/>
                    <w:jc w:val="center"/>
                    <w:rPr>
                      <w:rFonts w:hint="eastAsia"/>
                      <w:color w:val="auto"/>
                      <w:sz w:val="21"/>
                      <w:szCs w:val="21"/>
                      <w:highlight w:val="none"/>
                      <w:lang w:bidi="ar"/>
                    </w:rPr>
                  </w:pPr>
                </w:p>
              </w:tc>
              <w:tc>
                <w:tcPr>
                  <w:tcW w:w="1200" w:type="dxa"/>
                  <w:noWrap w:val="0"/>
                  <w:vAlign w:val="center"/>
                </w:tcPr>
                <w:p w14:paraId="1D2F4EF3">
                  <w:pPr>
                    <w:spacing w:line="340" w:lineRule="exact"/>
                    <w:ind w:firstLine="0" w:firstLineChars="0"/>
                    <w:jc w:val="center"/>
                    <w:rPr>
                      <w:rFonts w:hint="default"/>
                      <w:color w:val="auto"/>
                      <w:sz w:val="21"/>
                      <w:szCs w:val="21"/>
                      <w:highlight w:val="none"/>
                      <w:lang w:val="en-US" w:eastAsia="zh-CN" w:bidi="ar"/>
                    </w:rPr>
                  </w:pPr>
                  <w:r>
                    <w:rPr>
                      <w:rFonts w:hint="eastAsia"/>
                      <w:color w:val="auto"/>
                      <w:sz w:val="21"/>
                      <w:szCs w:val="21"/>
                      <w:highlight w:val="none"/>
                      <w:lang w:val="en-US" w:eastAsia="zh-CN" w:bidi="ar"/>
                    </w:rPr>
                    <w:t>0.0006kg/h</w:t>
                  </w:r>
                </w:p>
              </w:tc>
              <w:tc>
                <w:tcPr>
                  <w:tcW w:w="875" w:type="dxa"/>
                  <w:noWrap w:val="0"/>
                  <w:vAlign w:val="center"/>
                </w:tcPr>
                <w:p w14:paraId="378160D2">
                  <w:pPr>
                    <w:spacing w:line="340" w:lineRule="exact"/>
                    <w:ind w:firstLine="0" w:firstLineChars="0"/>
                    <w:jc w:val="center"/>
                    <w:rPr>
                      <w:rFonts w:hint="default" w:eastAsia="宋体"/>
                      <w:color w:val="auto"/>
                      <w:sz w:val="21"/>
                      <w:szCs w:val="21"/>
                      <w:highlight w:val="none"/>
                      <w:lang w:val="en-US" w:eastAsia="zh-CN" w:bidi="ar"/>
                    </w:rPr>
                  </w:pPr>
                  <w:r>
                    <w:rPr>
                      <w:rFonts w:hint="eastAsia"/>
                      <w:color w:val="auto"/>
                      <w:sz w:val="21"/>
                      <w:szCs w:val="21"/>
                      <w:highlight w:val="none"/>
                      <w:lang w:val="en-US" w:eastAsia="zh-CN" w:bidi="ar"/>
                    </w:rPr>
                    <w:t>10kg/h</w:t>
                  </w:r>
                </w:p>
              </w:tc>
              <w:tc>
                <w:tcPr>
                  <w:tcW w:w="1083" w:type="dxa"/>
                  <w:noWrap w:val="0"/>
                  <w:vAlign w:val="center"/>
                </w:tcPr>
                <w:p w14:paraId="2C93D1C0">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val="en-US" w:eastAsia="zh-CN" w:bidi="ar"/>
                    </w:rPr>
                    <w:t>0.0022</w:t>
                  </w:r>
                  <w:r>
                    <w:rPr>
                      <w:rFonts w:hint="eastAsia"/>
                      <w:color w:val="auto"/>
                      <w:sz w:val="21"/>
                      <w:szCs w:val="21"/>
                      <w:highlight w:val="none"/>
                      <w:lang w:bidi="ar"/>
                    </w:rPr>
                    <w:t>t/a</w:t>
                  </w:r>
                </w:p>
              </w:tc>
              <w:tc>
                <w:tcPr>
                  <w:tcW w:w="1115" w:type="dxa"/>
                  <w:noWrap w:val="0"/>
                  <w:vAlign w:val="center"/>
                </w:tcPr>
                <w:p w14:paraId="119FAD62">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val="en-US" w:eastAsia="zh-CN" w:bidi="ar"/>
                    </w:rPr>
                    <w:t>0.0022</w:t>
                  </w:r>
                  <w:r>
                    <w:rPr>
                      <w:rFonts w:hint="eastAsia"/>
                      <w:color w:val="auto"/>
                      <w:sz w:val="21"/>
                      <w:szCs w:val="21"/>
                      <w:highlight w:val="none"/>
                      <w:lang w:bidi="ar"/>
                    </w:rPr>
                    <w:t>t/a</w:t>
                  </w:r>
                </w:p>
              </w:tc>
            </w:tr>
            <w:tr w14:paraId="586C1FE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2" w:hRule="atLeast"/>
                <w:jc w:val="center"/>
              </w:trPr>
              <w:tc>
                <w:tcPr>
                  <w:tcW w:w="1041" w:type="dxa"/>
                  <w:vMerge w:val="restart"/>
                  <w:noWrap w:val="0"/>
                  <w:vAlign w:val="center"/>
                </w:tcPr>
                <w:p w14:paraId="52BB311F">
                  <w:pPr>
                    <w:spacing w:line="340" w:lineRule="exact"/>
                    <w:ind w:firstLine="0" w:firstLineChars="0"/>
                    <w:jc w:val="center"/>
                    <w:rPr>
                      <w:color w:val="auto"/>
                      <w:sz w:val="21"/>
                      <w:szCs w:val="21"/>
                      <w:highlight w:val="none"/>
                      <w:lang w:bidi="ar"/>
                    </w:rPr>
                  </w:pPr>
                  <w:r>
                    <w:rPr>
                      <w:color w:val="auto"/>
                      <w:sz w:val="21"/>
                      <w:szCs w:val="21"/>
                      <w:highlight w:val="none"/>
                      <w:lang w:bidi="ar"/>
                    </w:rPr>
                    <w:t>DA00</w:t>
                  </w:r>
                  <w:r>
                    <w:rPr>
                      <w:rFonts w:hint="eastAsia"/>
                      <w:color w:val="auto"/>
                      <w:sz w:val="21"/>
                      <w:szCs w:val="21"/>
                      <w:highlight w:val="none"/>
                      <w:lang w:val="en-US" w:eastAsia="zh-CN" w:bidi="ar"/>
                    </w:rPr>
                    <w:t>4</w:t>
                  </w:r>
                  <w:r>
                    <w:rPr>
                      <w:rFonts w:hint="eastAsia"/>
                      <w:color w:val="auto"/>
                      <w:sz w:val="21"/>
                      <w:szCs w:val="21"/>
                      <w:highlight w:val="none"/>
                      <w:lang w:bidi="ar"/>
                    </w:rPr>
                    <w:t>排气筒</w:t>
                  </w:r>
                </w:p>
              </w:tc>
              <w:tc>
                <w:tcPr>
                  <w:tcW w:w="1313" w:type="dxa"/>
                  <w:noWrap w:val="0"/>
                  <w:vAlign w:val="center"/>
                </w:tcPr>
                <w:p w14:paraId="5C567D4E">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SO</w:t>
                  </w:r>
                  <w:r>
                    <w:rPr>
                      <w:rFonts w:hint="eastAsia"/>
                      <w:color w:val="auto"/>
                      <w:sz w:val="21"/>
                      <w:szCs w:val="21"/>
                      <w:highlight w:val="none"/>
                      <w:vertAlign w:val="subscript"/>
                      <w:lang w:bidi="ar"/>
                    </w:rPr>
                    <w:t>2</w:t>
                  </w:r>
                </w:p>
              </w:tc>
              <w:tc>
                <w:tcPr>
                  <w:tcW w:w="810" w:type="dxa"/>
                  <w:vMerge w:val="restart"/>
                  <w:noWrap w:val="0"/>
                  <w:vAlign w:val="center"/>
                </w:tcPr>
                <w:p w14:paraId="6A4D09E5">
                  <w:pPr>
                    <w:spacing w:line="340" w:lineRule="exact"/>
                    <w:ind w:firstLine="0" w:firstLineChars="0"/>
                    <w:jc w:val="center"/>
                    <w:rPr>
                      <w:rFonts w:hint="eastAsia" w:eastAsia="宋体"/>
                      <w:color w:val="auto"/>
                      <w:sz w:val="21"/>
                      <w:szCs w:val="21"/>
                      <w:highlight w:val="none"/>
                      <w:lang w:val="en-US" w:eastAsia="zh-CN" w:bidi="ar"/>
                    </w:rPr>
                  </w:pPr>
                  <w:r>
                    <w:rPr>
                      <w:rFonts w:hint="eastAsia"/>
                      <w:color w:val="auto"/>
                      <w:sz w:val="21"/>
                      <w:szCs w:val="21"/>
                      <w:highlight w:val="none"/>
                      <w:lang w:val="en-US" w:eastAsia="zh-CN" w:bidi="ar"/>
                    </w:rPr>
                    <w:t>二期</w:t>
                  </w:r>
                </w:p>
              </w:tc>
              <w:tc>
                <w:tcPr>
                  <w:tcW w:w="780" w:type="dxa"/>
                  <w:vMerge w:val="restart"/>
                  <w:tcBorders>
                    <w:right w:val="single" w:color="auto" w:sz="4" w:space="0"/>
                  </w:tcBorders>
                  <w:noWrap w:val="0"/>
                  <w:vAlign w:val="center"/>
                </w:tcPr>
                <w:p w14:paraId="433F6696">
                  <w:pPr>
                    <w:spacing w:line="340" w:lineRule="exact"/>
                    <w:ind w:firstLine="0" w:firstLineChars="0"/>
                    <w:jc w:val="center"/>
                    <w:rPr>
                      <w:rFonts w:hint="default" w:eastAsia="宋体"/>
                      <w:color w:val="auto"/>
                      <w:sz w:val="21"/>
                      <w:szCs w:val="21"/>
                      <w:highlight w:val="none"/>
                      <w:lang w:val="en-US" w:eastAsia="zh-CN" w:bidi="ar"/>
                    </w:rPr>
                  </w:pPr>
                  <w:r>
                    <w:rPr>
                      <w:rFonts w:hint="eastAsia"/>
                      <w:color w:val="auto"/>
                      <w:sz w:val="21"/>
                      <w:szCs w:val="21"/>
                      <w:highlight w:val="none"/>
                      <w:lang w:val="en-US" w:eastAsia="zh-CN" w:bidi="ar"/>
                    </w:rPr>
                    <w:t>3840h</w:t>
                  </w:r>
                </w:p>
              </w:tc>
              <w:tc>
                <w:tcPr>
                  <w:tcW w:w="1200" w:type="dxa"/>
                  <w:noWrap w:val="0"/>
                  <w:vAlign w:val="center"/>
                </w:tcPr>
                <w:p w14:paraId="125B1F8C">
                  <w:pPr>
                    <w:spacing w:line="340" w:lineRule="exact"/>
                    <w:ind w:firstLine="0" w:firstLineChars="0"/>
                    <w:jc w:val="center"/>
                    <w:rPr>
                      <w:rFonts w:hint="eastAsia"/>
                      <w:color w:val="auto"/>
                      <w:sz w:val="21"/>
                      <w:szCs w:val="21"/>
                      <w:highlight w:val="none"/>
                      <w:lang w:val="en-US" w:eastAsia="zh-CN" w:bidi="ar"/>
                    </w:rPr>
                  </w:pPr>
                  <w:r>
                    <w:rPr>
                      <w:rFonts w:hint="eastAsia"/>
                      <w:color w:val="auto"/>
                      <w:sz w:val="21"/>
                      <w:szCs w:val="21"/>
                      <w:highlight w:val="none"/>
                      <w:lang w:val="en-US" w:eastAsia="zh-CN" w:bidi="ar"/>
                    </w:rPr>
                    <w:t>/</w:t>
                  </w:r>
                </w:p>
              </w:tc>
              <w:tc>
                <w:tcPr>
                  <w:tcW w:w="875" w:type="dxa"/>
                  <w:noWrap w:val="0"/>
                  <w:vAlign w:val="center"/>
                </w:tcPr>
                <w:p w14:paraId="6072E4E4">
                  <w:pPr>
                    <w:spacing w:line="340" w:lineRule="exact"/>
                    <w:ind w:firstLine="0" w:firstLineChars="0"/>
                    <w:jc w:val="center"/>
                    <w:rPr>
                      <w:rFonts w:hint="eastAsia"/>
                      <w:color w:val="auto"/>
                      <w:sz w:val="21"/>
                      <w:szCs w:val="21"/>
                      <w:highlight w:val="none"/>
                      <w:lang w:val="en-US" w:eastAsia="zh-CN" w:bidi="ar"/>
                    </w:rPr>
                  </w:pPr>
                  <w:r>
                    <w:rPr>
                      <w:rFonts w:hint="eastAsia"/>
                      <w:color w:val="auto"/>
                      <w:sz w:val="21"/>
                      <w:szCs w:val="21"/>
                      <w:highlight w:val="none"/>
                      <w:lang w:bidi="ar"/>
                    </w:rPr>
                    <w:t>/</w:t>
                  </w:r>
                </w:p>
              </w:tc>
              <w:tc>
                <w:tcPr>
                  <w:tcW w:w="1083" w:type="dxa"/>
                  <w:noWrap w:val="0"/>
                  <w:vAlign w:val="center"/>
                </w:tcPr>
                <w:p w14:paraId="4E1589EE">
                  <w:pPr>
                    <w:spacing w:line="340" w:lineRule="exact"/>
                    <w:ind w:firstLine="0" w:firstLineChars="0"/>
                    <w:jc w:val="center"/>
                    <w:rPr>
                      <w:rFonts w:hint="default"/>
                      <w:color w:val="auto"/>
                      <w:sz w:val="21"/>
                      <w:szCs w:val="21"/>
                      <w:highlight w:val="none"/>
                      <w:lang w:val="en-US" w:eastAsia="zh-CN" w:bidi="ar"/>
                    </w:rPr>
                  </w:pPr>
                  <w:r>
                    <w:rPr>
                      <w:rFonts w:hint="eastAsia"/>
                      <w:color w:val="auto"/>
                      <w:sz w:val="21"/>
                      <w:szCs w:val="21"/>
                      <w:highlight w:val="none"/>
                      <w:lang w:val="en-US" w:eastAsia="zh-CN" w:bidi="ar"/>
                    </w:rPr>
                    <w:t>0.12</w:t>
                  </w:r>
                  <w:r>
                    <w:rPr>
                      <w:rFonts w:hint="eastAsia"/>
                      <w:color w:val="auto"/>
                      <w:sz w:val="21"/>
                      <w:szCs w:val="21"/>
                      <w:highlight w:val="none"/>
                      <w:lang w:bidi="ar"/>
                    </w:rPr>
                    <w:t>t/a</w:t>
                  </w:r>
                </w:p>
              </w:tc>
              <w:tc>
                <w:tcPr>
                  <w:tcW w:w="1115" w:type="dxa"/>
                  <w:noWrap w:val="0"/>
                  <w:vAlign w:val="center"/>
                </w:tcPr>
                <w:p w14:paraId="36654FBC">
                  <w:pPr>
                    <w:spacing w:line="340" w:lineRule="exact"/>
                    <w:ind w:firstLine="0" w:firstLineChars="0"/>
                    <w:jc w:val="center"/>
                    <w:rPr>
                      <w:rFonts w:hint="eastAsia"/>
                      <w:color w:val="auto"/>
                      <w:sz w:val="21"/>
                      <w:szCs w:val="21"/>
                      <w:highlight w:val="none"/>
                      <w:lang w:val="en-US" w:eastAsia="zh-CN" w:bidi="ar"/>
                    </w:rPr>
                  </w:pPr>
                  <w:r>
                    <w:rPr>
                      <w:rFonts w:hint="eastAsia"/>
                      <w:color w:val="auto"/>
                      <w:sz w:val="21"/>
                      <w:szCs w:val="21"/>
                      <w:highlight w:val="none"/>
                      <w:lang w:val="en-US" w:eastAsia="zh-CN" w:bidi="ar"/>
                    </w:rPr>
                    <w:t>0.12</w:t>
                  </w:r>
                  <w:r>
                    <w:rPr>
                      <w:rFonts w:hint="eastAsia"/>
                      <w:color w:val="auto"/>
                      <w:sz w:val="21"/>
                      <w:szCs w:val="21"/>
                      <w:highlight w:val="none"/>
                      <w:lang w:bidi="ar"/>
                    </w:rPr>
                    <w:t>t/a</w:t>
                  </w:r>
                </w:p>
              </w:tc>
            </w:tr>
            <w:tr w14:paraId="7327994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2" w:hRule="atLeast"/>
                <w:jc w:val="center"/>
              </w:trPr>
              <w:tc>
                <w:tcPr>
                  <w:tcW w:w="1041" w:type="dxa"/>
                  <w:vMerge w:val="continue"/>
                  <w:noWrap w:val="0"/>
                  <w:vAlign w:val="center"/>
                </w:tcPr>
                <w:p w14:paraId="7D5AAF4D">
                  <w:pPr>
                    <w:spacing w:line="340" w:lineRule="exact"/>
                    <w:ind w:firstLine="0" w:firstLineChars="0"/>
                    <w:jc w:val="center"/>
                    <w:rPr>
                      <w:color w:val="auto"/>
                      <w:sz w:val="21"/>
                      <w:szCs w:val="21"/>
                      <w:highlight w:val="none"/>
                      <w:lang w:bidi="ar"/>
                    </w:rPr>
                  </w:pPr>
                </w:p>
              </w:tc>
              <w:tc>
                <w:tcPr>
                  <w:tcW w:w="1313" w:type="dxa"/>
                  <w:noWrap w:val="0"/>
                  <w:vAlign w:val="center"/>
                </w:tcPr>
                <w:p w14:paraId="7609F979">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NO</w:t>
                  </w:r>
                  <w:r>
                    <w:rPr>
                      <w:rFonts w:hint="eastAsia"/>
                      <w:color w:val="auto"/>
                      <w:sz w:val="21"/>
                      <w:szCs w:val="21"/>
                      <w:highlight w:val="none"/>
                      <w:vertAlign w:val="subscript"/>
                      <w:lang w:bidi="ar"/>
                    </w:rPr>
                    <w:t>X</w:t>
                  </w:r>
                </w:p>
              </w:tc>
              <w:tc>
                <w:tcPr>
                  <w:tcW w:w="810" w:type="dxa"/>
                  <w:vMerge w:val="continue"/>
                  <w:noWrap w:val="0"/>
                  <w:vAlign w:val="center"/>
                </w:tcPr>
                <w:p w14:paraId="099CBF95">
                  <w:pPr>
                    <w:spacing w:line="340" w:lineRule="exact"/>
                    <w:ind w:firstLine="0" w:firstLineChars="0"/>
                    <w:jc w:val="center"/>
                    <w:rPr>
                      <w:rFonts w:hint="eastAsia"/>
                      <w:color w:val="auto"/>
                      <w:sz w:val="21"/>
                      <w:szCs w:val="21"/>
                      <w:highlight w:val="none"/>
                      <w:lang w:bidi="ar"/>
                    </w:rPr>
                  </w:pPr>
                </w:p>
              </w:tc>
              <w:tc>
                <w:tcPr>
                  <w:tcW w:w="780" w:type="dxa"/>
                  <w:vMerge w:val="continue"/>
                  <w:tcBorders>
                    <w:right w:val="single" w:color="auto" w:sz="4" w:space="0"/>
                  </w:tcBorders>
                  <w:noWrap w:val="0"/>
                  <w:vAlign w:val="center"/>
                </w:tcPr>
                <w:p w14:paraId="59034DBF">
                  <w:pPr>
                    <w:spacing w:line="340" w:lineRule="exact"/>
                    <w:ind w:firstLine="0" w:firstLineChars="0"/>
                    <w:jc w:val="center"/>
                    <w:rPr>
                      <w:rFonts w:hint="eastAsia"/>
                      <w:color w:val="auto"/>
                      <w:sz w:val="21"/>
                      <w:szCs w:val="21"/>
                      <w:highlight w:val="none"/>
                      <w:lang w:bidi="ar"/>
                    </w:rPr>
                  </w:pPr>
                </w:p>
              </w:tc>
              <w:tc>
                <w:tcPr>
                  <w:tcW w:w="1200" w:type="dxa"/>
                  <w:noWrap w:val="0"/>
                  <w:vAlign w:val="center"/>
                </w:tcPr>
                <w:p w14:paraId="20DAB89D">
                  <w:pPr>
                    <w:spacing w:line="340" w:lineRule="exact"/>
                    <w:ind w:firstLine="0" w:firstLineChars="0"/>
                    <w:jc w:val="center"/>
                    <w:rPr>
                      <w:rFonts w:hint="eastAsia"/>
                      <w:color w:val="auto"/>
                      <w:sz w:val="21"/>
                      <w:szCs w:val="21"/>
                      <w:highlight w:val="none"/>
                      <w:lang w:val="en-US" w:eastAsia="zh-CN" w:bidi="ar"/>
                    </w:rPr>
                  </w:pPr>
                  <w:r>
                    <w:rPr>
                      <w:rFonts w:hint="eastAsia"/>
                      <w:color w:val="auto"/>
                      <w:sz w:val="21"/>
                      <w:szCs w:val="21"/>
                      <w:highlight w:val="none"/>
                      <w:lang w:val="en-US" w:eastAsia="zh-CN" w:bidi="ar"/>
                    </w:rPr>
                    <w:t>/</w:t>
                  </w:r>
                </w:p>
              </w:tc>
              <w:tc>
                <w:tcPr>
                  <w:tcW w:w="875" w:type="dxa"/>
                  <w:noWrap w:val="0"/>
                  <w:vAlign w:val="center"/>
                </w:tcPr>
                <w:p w14:paraId="17B339D3">
                  <w:pPr>
                    <w:spacing w:line="340" w:lineRule="exact"/>
                    <w:ind w:firstLine="0" w:firstLineChars="0"/>
                    <w:jc w:val="center"/>
                    <w:rPr>
                      <w:rFonts w:hint="eastAsia"/>
                      <w:color w:val="auto"/>
                      <w:sz w:val="21"/>
                      <w:szCs w:val="21"/>
                      <w:highlight w:val="none"/>
                      <w:lang w:val="en-US" w:eastAsia="zh-CN" w:bidi="ar"/>
                    </w:rPr>
                  </w:pPr>
                  <w:r>
                    <w:rPr>
                      <w:rFonts w:hint="eastAsia"/>
                      <w:color w:val="auto"/>
                      <w:sz w:val="21"/>
                      <w:szCs w:val="21"/>
                      <w:highlight w:val="none"/>
                      <w:lang w:bidi="ar"/>
                    </w:rPr>
                    <w:t>/</w:t>
                  </w:r>
                </w:p>
              </w:tc>
              <w:tc>
                <w:tcPr>
                  <w:tcW w:w="1083" w:type="dxa"/>
                  <w:noWrap w:val="0"/>
                  <w:vAlign w:val="center"/>
                </w:tcPr>
                <w:p w14:paraId="19D51DBB">
                  <w:pPr>
                    <w:spacing w:line="340" w:lineRule="exact"/>
                    <w:ind w:firstLine="0" w:firstLineChars="0"/>
                    <w:jc w:val="center"/>
                    <w:rPr>
                      <w:rFonts w:hint="default"/>
                      <w:color w:val="auto"/>
                      <w:sz w:val="21"/>
                      <w:szCs w:val="21"/>
                      <w:highlight w:val="none"/>
                      <w:lang w:val="en-US" w:eastAsia="zh-CN" w:bidi="ar"/>
                    </w:rPr>
                  </w:pPr>
                  <w:r>
                    <w:rPr>
                      <w:rFonts w:hint="eastAsia"/>
                      <w:color w:val="auto"/>
                      <w:sz w:val="21"/>
                      <w:szCs w:val="21"/>
                      <w:highlight w:val="none"/>
                      <w:lang w:val="en-US" w:eastAsia="zh-CN" w:bidi="ar"/>
                    </w:rPr>
                    <w:t>1.78</w:t>
                  </w:r>
                  <w:r>
                    <w:rPr>
                      <w:rFonts w:hint="eastAsia"/>
                      <w:color w:val="auto"/>
                      <w:sz w:val="21"/>
                      <w:szCs w:val="21"/>
                      <w:highlight w:val="none"/>
                      <w:lang w:bidi="ar"/>
                    </w:rPr>
                    <w:t>t/a</w:t>
                  </w:r>
                </w:p>
              </w:tc>
              <w:tc>
                <w:tcPr>
                  <w:tcW w:w="1115" w:type="dxa"/>
                  <w:noWrap w:val="0"/>
                  <w:vAlign w:val="center"/>
                </w:tcPr>
                <w:p w14:paraId="2157C90A">
                  <w:pPr>
                    <w:spacing w:line="340" w:lineRule="exact"/>
                    <w:ind w:firstLine="0" w:firstLineChars="0"/>
                    <w:jc w:val="center"/>
                    <w:rPr>
                      <w:rFonts w:hint="eastAsia"/>
                      <w:color w:val="auto"/>
                      <w:sz w:val="21"/>
                      <w:szCs w:val="21"/>
                      <w:highlight w:val="none"/>
                      <w:lang w:val="en-US" w:eastAsia="zh-CN" w:bidi="ar"/>
                    </w:rPr>
                  </w:pPr>
                  <w:r>
                    <w:rPr>
                      <w:rFonts w:hint="eastAsia"/>
                      <w:color w:val="auto"/>
                      <w:sz w:val="21"/>
                      <w:szCs w:val="21"/>
                      <w:highlight w:val="none"/>
                      <w:lang w:val="en-US" w:eastAsia="zh-CN" w:bidi="ar"/>
                    </w:rPr>
                    <w:t>1.78</w:t>
                  </w:r>
                  <w:r>
                    <w:rPr>
                      <w:rFonts w:hint="eastAsia"/>
                      <w:color w:val="auto"/>
                      <w:sz w:val="21"/>
                      <w:szCs w:val="21"/>
                      <w:highlight w:val="none"/>
                      <w:lang w:bidi="ar"/>
                    </w:rPr>
                    <w:t>t/a</w:t>
                  </w:r>
                </w:p>
              </w:tc>
            </w:tr>
            <w:tr w14:paraId="0FD0172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2" w:hRule="atLeast"/>
                <w:jc w:val="center"/>
              </w:trPr>
              <w:tc>
                <w:tcPr>
                  <w:tcW w:w="1041" w:type="dxa"/>
                  <w:vMerge w:val="restart"/>
                  <w:noWrap w:val="0"/>
                  <w:vAlign w:val="center"/>
                </w:tcPr>
                <w:p w14:paraId="6D4D8B84">
                  <w:pPr>
                    <w:spacing w:line="340" w:lineRule="exact"/>
                    <w:ind w:firstLine="0" w:firstLineChars="0"/>
                    <w:jc w:val="center"/>
                    <w:rPr>
                      <w:color w:val="auto"/>
                      <w:sz w:val="21"/>
                      <w:szCs w:val="21"/>
                      <w:highlight w:val="none"/>
                      <w:lang w:bidi="ar"/>
                    </w:rPr>
                  </w:pPr>
                  <w:r>
                    <w:rPr>
                      <w:color w:val="auto"/>
                      <w:sz w:val="21"/>
                      <w:szCs w:val="21"/>
                      <w:highlight w:val="none"/>
                      <w:lang w:bidi="ar"/>
                    </w:rPr>
                    <w:t>DA00</w:t>
                  </w:r>
                  <w:r>
                    <w:rPr>
                      <w:rFonts w:hint="eastAsia"/>
                      <w:color w:val="auto"/>
                      <w:sz w:val="21"/>
                      <w:szCs w:val="21"/>
                      <w:highlight w:val="none"/>
                      <w:lang w:val="en-US" w:eastAsia="zh-CN" w:bidi="ar"/>
                    </w:rPr>
                    <w:t>5</w:t>
                  </w:r>
                  <w:r>
                    <w:rPr>
                      <w:rFonts w:hint="eastAsia"/>
                      <w:color w:val="auto"/>
                      <w:sz w:val="21"/>
                      <w:szCs w:val="21"/>
                      <w:highlight w:val="none"/>
                      <w:lang w:bidi="ar"/>
                    </w:rPr>
                    <w:t>排气筒</w:t>
                  </w:r>
                </w:p>
              </w:tc>
              <w:tc>
                <w:tcPr>
                  <w:tcW w:w="1313" w:type="dxa"/>
                  <w:noWrap w:val="0"/>
                  <w:vAlign w:val="center"/>
                </w:tcPr>
                <w:p w14:paraId="640D2C76">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SO</w:t>
                  </w:r>
                  <w:r>
                    <w:rPr>
                      <w:rFonts w:hint="eastAsia"/>
                      <w:color w:val="auto"/>
                      <w:sz w:val="21"/>
                      <w:szCs w:val="21"/>
                      <w:highlight w:val="none"/>
                      <w:vertAlign w:val="subscript"/>
                      <w:lang w:bidi="ar"/>
                    </w:rPr>
                    <w:t>2</w:t>
                  </w:r>
                </w:p>
              </w:tc>
              <w:tc>
                <w:tcPr>
                  <w:tcW w:w="810" w:type="dxa"/>
                  <w:vMerge w:val="continue"/>
                  <w:noWrap w:val="0"/>
                  <w:vAlign w:val="center"/>
                </w:tcPr>
                <w:p w14:paraId="6F9AF70A">
                  <w:pPr>
                    <w:spacing w:line="340" w:lineRule="exact"/>
                    <w:ind w:firstLine="0" w:firstLineChars="0"/>
                    <w:jc w:val="center"/>
                    <w:rPr>
                      <w:rFonts w:hint="eastAsia"/>
                      <w:color w:val="auto"/>
                      <w:sz w:val="21"/>
                      <w:szCs w:val="21"/>
                      <w:highlight w:val="none"/>
                      <w:lang w:bidi="ar"/>
                    </w:rPr>
                  </w:pPr>
                </w:p>
              </w:tc>
              <w:tc>
                <w:tcPr>
                  <w:tcW w:w="780" w:type="dxa"/>
                  <w:vMerge w:val="continue"/>
                  <w:tcBorders>
                    <w:right w:val="single" w:color="auto" w:sz="4" w:space="0"/>
                  </w:tcBorders>
                  <w:noWrap w:val="0"/>
                  <w:vAlign w:val="center"/>
                </w:tcPr>
                <w:p w14:paraId="18445B15">
                  <w:pPr>
                    <w:spacing w:line="340" w:lineRule="exact"/>
                    <w:ind w:firstLine="0" w:firstLineChars="0"/>
                    <w:jc w:val="center"/>
                    <w:rPr>
                      <w:rFonts w:hint="eastAsia"/>
                      <w:color w:val="auto"/>
                      <w:sz w:val="21"/>
                      <w:szCs w:val="21"/>
                      <w:highlight w:val="none"/>
                      <w:lang w:bidi="ar"/>
                    </w:rPr>
                  </w:pPr>
                </w:p>
              </w:tc>
              <w:tc>
                <w:tcPr>
                  <w:tcW w:w="1200" w:type="dxa"/>
                  <w:noWrap w:val="0"/>
                  <w:vAlign w:val="center"/>
                </w:tcPr>
                <w:p w14:paraId="0131D82C">
                  <w:pPr>
                    <w:spacing w:line="340" w:lineRule="exact"/>
                    <w:ind w:firstLine="0" w:firstLineChars="0"/>
                    <w:jc w:val="center"/>
                    <w:rPr>
                      <w:rFonts w:hint="eastAsia"/>
                      <w:color w:val="auto"/>
                      <w:sz w:val="21"/>
                      <w:szCs w:val="21"/>
                      <w:highlight w:val="none"/>
                      <w:lang w:val="en-US" w:eastAsia="zh-CN" w:bidi="ar"/>
                    </w:rPr>
                  </w:pPr>
                  <w:r>
                    <w:rPr>
                      <w:rFonts w:hint="eastAsia"/>
                      <w:color w:val="auto"/>
                      <w:sz w:val="21"/>
                      <w:szCs w:val="21"/>
                      <w:highlight w:val="none"/>
                      <w:lang w:val="en-US" w:eastAsia="zh-CN" w:bidi="ar"/>
                    </w:rPr>
                    <w:t>/</w:t>
                  </w:r>
                </w:p>
              </w:tc>
              <w:tc>
                <w:tcPr>
                  <w:tcW w:w="875" w:type="dxa"/>
                  <w:noWrap w:val="0"/>
                  <w:vAlign w:val="center"/>
                </w:tcPr>
                <w:p w14:paraId="70392D44">
                  <w:pPr>
                    <w:spacing w:line="340" w:lineRule="exact"/>
                    <w:ind w:firstLine="0" w:firstLineChars="0"/>
                    <w:jc w:val="center"/>
                    <w:rPr>
                      <w:rFonts w:hint="eastAsia"/>
                      <w:color w:val="auto"/>
                      <w:sz w:val="21"/>
                      <w:szCs w:val="21"/>
                      <w:highlight w:val="none"/>
                      <w:lang w:val="en-US" w:eastAsia="zh-CN" w:bidi="ar"/>
                    </w:rPr>
                  </w:pPr>
                  <w:r>
                    <w:rPr>
                      <w:rFonts w:hint="eastAsia"/>
                      <w:color w:val="auto"/>
                      <w:sz w:val="21"/>
                      <w:szCs w:val="21"/>
                      <w:highlight w:val="none"/>
                      <w:lang w:bidi="ar"/>
                    </w:rPr>
                    <w:t>/</w:t>
                  </w:r>
                </w:p>
              </w:tc>
              <w:tc>
                <w:tcPr>
                  <w:tcW w:w="1083" w:type="dxa"/>
                  <w:noWrap w:val="0"/>
                  <w:vAlign w:val="center"/>
                </w:tcPr>
                <w:p w14:paraId="51AB7420">
                  <w:pPr>
                    <w:spacing w:line="340" w:lineRule="exact"/>
                    <w:ind w:firstLine="0" w:firstLineChars="0"/>
                    <w:jc w:val="center"/>
                    <w:rPr>
                      <w:rFonts w:hint="default"/>
                      <w:color w:val="auto"/>
                      <w:sz w:val="21"/>
                      <w:szCs w:val="21"/>
                      <w:highlight w:val="none"/>
                      <w:lang w:val="en-US" w:eastAsia="zh-CN" w:bidi="ar"/>
                    </w:rPr>
                  </w:pPr>
                  <w:r>
                    <w:rPr>
                      <w:rFonts w:hint="eastAsia"/>
                      <w:color w:val="auto"/>
                      <w:sz w:val="21"/>
                      <w:szCs w:val="21"/>
                      <w:highlight w:val="none"/>
                      <w:lang w:val="en-US" w:eastAsia="zh-CN" w:bidi="ar"/>
                    </w:rPr>
                    <w:t>0.022</w:t>
                  </w:r>
                  <w:r>
                    <w:rPr>
                      <w:rFonts w:hint="eastAsia"/>
                      <w:color w:val="auto"/>
                      <w:sz w:val="21"/>
                      <w:szCs w:val="21"/>
                      <w:highlight w:val="none"/>
                      <w:lang w:bidi="ar"/>
                    </w:rPr>
                    <w:t>t/a</w:t>
                  </w:r>
                </w:p>
              </w:tc>
              <w:tc>
                <w:tcPr>
                  <w:tcW w:w="1115" w:type="dxa"/>
                  <w:noWrap w:val="0"/>
                  <w:vAlign w:val="center"/>
                </w:tcPr>
                <w:p w14:paraId="0CA1D2D2">
                  <w:pPr>
                    <w:spacing w:line="340" w:lineRule="exact"/>
                    <w:ind w:firstLine="0" w:firstLineChars="0"/>
                    <w:jc w:val="center"/>
                    <w:rPr>
                      <w:rFonts w:hint="eastAsia"/>
                      <w:color w:val="auto"/>
                      <w:sz w:val="21"/>
                      <w:szCs w:val="21"/>
                      <w:highlight w:val="none"/>
                      <w:lang w:val="en-US" w:eastAsia="zh-CN" w:bidi="ar"/>
                    </w:rPr>
                  </w:pPr>
                  <w:r>
                    <w:rPr>
                      <w:rFonts w:hint="eastAsia"/>
                      <w:color w:val="auto"/>
                      <w:sz w:val="21"/>
                      <w:szCs w:val="21"/>
                      <w:highlight w:val="none"/>
                      <w:lang w:val="en-US" w:eastAsia="zh-CN" w:bidi="ar"/>
                    </w:rPr>
                    <w:t>0.022</w:t>
                  </w:r>
                  <w:r>
                    <w:rPr>
                      <w:rFonts w:hint="eastAsia"/>
                      <w:color w:val="auto"/>
                      <w:sz w:val="21"/>
                      <w:szCs w:val="21"/>
                      <w:highlight w:val="none"/>
                      <w:lang w:bidi="ar"/>
                    </w:rPr>
                    <w:t>t/a</w:t>
                  </w:r>
                </w:p>
              </w:tc>
            </w:tr>
            <w:tr w14:paraId="5F23E8A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2" w:hRule="atLeast"/>
                <w:jc w:val="center"/>
              </w:trPr>
              <w:tc>
                <w:tcPr>
                  <w:tcW w:w="1041" w:type="dxa"/>
                  <w:vMerge w:val="continue"/>
                  <w:noWrap w:val="0"/>
                  <w:vAlign w:val="center"/>
                </w:tcPr>
                <w:p w14:paraId="48899A36">
                  <w:pPr>
                    <w:spacing w:line="340" w:lineRule="exact"/>
                    <w:ind w:firstLine="0" w:firstLineChars="0"/>
                    <w:jc w:val="center"/>
                    <w:rPr>
                      <w:color w:val="auto"/>
                      <w:sz w:val="21"/>
                      <w:szCs w:val="21"/>
                      <w:highlight w:val="none"/>
                      <w:lang w:bidi="ar"/>
                    </w:rPr>
                  </w:pPr>
                </w:p>
              </w:tc>
              <w:tc>
                <w:tcPr>
                  <w:tcW w:w="1313" w:type="dxa"/>
                  <w:noWrap w:val="0"/>
                  <w:vAlign w:val="center"/>
                </w:tcPr>
                <w:p w14:paraId="7EAB6182">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NO</w:t>
                  </w:r>
                  <w:r>
                    <w:rPr>
                      <w:rFonts w:hint="eastAsia"/>
                      <w:color w:val="auto"/>
                      <w:sz w:val="21"/>
                      <w:szCs w:val="21"/>
                      <w:highlight w:val="none"/>
                      <w:vertAlign w:val="subscript"/>
                      <w:lang w:bidi="ar"/>
                    </w:rPr>
                    <w:t>X</w:t>
                  </w:r>
                </w:p>
              </w:tc>
              <w:tc>
                <w:tcPr>
                  <w:tcW w:w="810" w:type="dxa"/>
                  <w:vMerge w:val="continue"/>
                  <w:noWrap w:val="0"/>
                  <w:vAlign w:val="center"/>
                </w:tcPr>
                <w:p w14:paraId="4A603C4A">
                  <w:pPr>
                    <w:spacing w:line="340" w:lineRule="exact"/>
                    <w:ind w:firstLine="0" w:firstLineChars="0"/>
                    <w:jc w:val="center"/>
                    <w:rPr>
                      <w:rFonts w:hint="eastAsia"/>
                      <w:color w:val="auto"/>
                      <w:sz w:val="21"/>
                      <w:szCs w:val="21"/>
                      <w:highlight w:val="none"/>
                      <w:lang w:bidi="ar"/>
                    </w:rPr>
                  </w:pPr>
                </w:p>
              </w:tc>
              <w:tc>
                <w:tcPr>
                  <w:tcW w:w="780" w:type="dxa"/>
                  <w:vMerge w:val="continue"/>
                  <w:tcBorders>
                    <w:right w:val="single" w:color="auto" w:sz="4" w:space="0"/>
                  </w:tcBorders>
                  <w:noWrap w:val="0"/>
                  <w:vAlign w:val="center"/>
                </w:tcPr>
                <w:p w14:paraId="2319E476">
                  <w:pPr>
                    <w:spacing w:line="340" w:lineRule="exact"/>
                    <w:ind w:firstLine="0" w:firstLineChars="0"/>
                    <w:jc w:val="center"/>
                    <w:rPr>
                      <w:rFonts w:hint="eastAsia"/>
                      <w:color w:val="auto"/>
                      <w:sz w:val="21"/>
                      <w:szCs w:val="21"/>
                      <w:highlight w:val="none"/>
                      <w:lang w:bidi="ar"/>
                    </w:rPr>
                  </w:pPr>
                </w:p>
              </w:tc>
              <w:tc>
                <w:tcPr>
                  <w:tcW w:w="1200" w:type="dxa"/>
                  <w:noWrap w:val="0"/>
                  <w:vAlign w:val="center"/>
                </w:tcPr>
                <w:p w14:paraId="2CE1F929">
                  <w:pPr>
                    <w:spacing w:line="340" w:lineRule="exact"/>
                    <w:ind w:firstLine="0" w:firstLineChars="0"/>
                    <w:jc w:val="center"/>
                    <w:rPr>
                      <w:rFonts w:hint="eastAsia"/>
                      <w:color w:val="auto"/>
                      <w:sz w:val="21"/>
                      <w:szCs w:val="21"/>
                      <w:highlight w:val="none"/>
                      <w:lang w:val="en-US" w:eastAsia="zh-CN" w:bidi="ar"/>
                    </w:rPr>
                  </w:pPr>
                  <w:r>
                    <w:rPr>
                      <w:rFonts w:hint="eastAsia"/>
                      <w:color w:val="auto"/>
                      <w:sz w:val="21"/>
                      <w:szCs w:val="21"/>
                      <w:highlight w:val="none"/>
                      <w:lang w:val="en-US" w:eastAsia="zh-CN" w:bidi="ar"/>
                    </w:rPr>
                    <w:t>/</w:t>
                  </w:r>
                </w:p>
              </w:tc>
              <w:tc>
                <w:tcPr>
                  <w:tcW w:w="875" w:type="dxa"/>
                  <w:noWrap w:val="0"/>
                  <w:vAlign w:val="center"/>
                </w:tcPr>
                <w:p w14:paraId="285C1B05">
                  <w:pPr>
                    <w:spacing w:line="340" w:lineRule="exact"/>
                    <w:ind w:firstLine="0" w:firstLineChars="0"/>
                    <w:jc w:val="center"/>
                    <w:rPr>
                      <w:rFonts w:hint="eastAsia"/>
                      <w:color w:val="auto"/>
                      <w:sz w:val="21"/>
                      <w:szCs w:val="21"/>
                      <w:highlight w:val="none"/>
                      <w:lang w:val="en-US" w:eastAsia="zh-CN" w:bidi="ar"/>
                    </w:rPr>
                  </w:pPr>
                  <w:r>
                    <w:rPr>
                      <w:rFonts w:hint="eastAsia"/>
                      <w:color w:val="auto"/>
                      <w:sz w:val="21"/>
                      <w:szCs w:val="21"/>
                      <w:highlight w:val="none"/>
                      <w:lang w:bidi="ar"/>
                    </w:rPr>
                    <w:t>/</w:t>
                  </w:r>
                </w:p>
              </w:tc>
              <w:tc>
                <w:tcPr>
                  <w:tcW w:w="1083" w:type="dxa"/>
                  <w:noWrap w:val="0"/>
                  <w:vAlign w:val="center"/>
                </w:tcPr>
                <w:p w14:paraId="7D20F76E">
                  <w:pPr>
                    <w:spacing w:line="340" w:lineRule="exact"/>
                    <w:ind w:firstLine="0" w:firstLineChars="0"/>
                    <w:jc w:val="center"/>
                    <w:rPr>
                      <w:rFonts w:hint="default"/>
                      <w:color w:val="auto"/>
                      <w:sz w:val="21"/>
                      <w:szCs w:val="21"/>
                      <w:highlight w:val="none"/>
                      <w:lang w:val="en-US" w:eastAsia="zh-CN" w:bidi="ar"/>
                    </w:rPr>
                  </w:pPr>
                  <w:r>
                    <w:rPr>
                      <w:rFonts w:hint="eastAsia"/>
                      <w:color w:val="auto"/>
                      <w:sz w:val="21"/>
                      <w:szCs w:val="21"/>
                      <w:highlight w:val="none"/>
                      <w:lang w:val="en-US" w:eastAsia="zh-CN" w:bidi="ar"/>
                    </w:rPr>
                    <w:t>0.104</w:t>
                  </w:r>
                  <w:r>
                    <w:rPr>
                      <w:rFonts w:hint="eastAsia"/>
                      <w:color w:val="auto"/>
                      <w:sz w:val="21"/>
                      <w:szCs w:val="21"/>
                      <w:highlight w:val="none"/>
                      <w:lang w:bidi="ar"/>
                    </w:rPr>
                    <w:t>t/a</w:t>
                  </w:r>
                </w:p>
              </w:tc>
              <w:tc>
                <w:tcPr>
                  <w:tcW w:w="1115" w:type="dxa"/>
                  <w:noWrap w:val="0"/>
                  <w:vAlign w:val="center"/>
                </w:tcPr>
                <w:p w14:paraId="2B4F90C0">
                  <w:pPr>
                    <w:spacing w:line="340" w:lineRule="exact"/>
                    <w:ind w:firstLine="0" w:firstLineChars="0"/>
                    <w:jc w:val="center"/>
                    <w:rPr>
                      <w:rFonts w:hint="eastAsia"/>
                      <w:color w:val="auto"/>
                      <w:sz w:val="21"/>
                      <w:szCs w:val="21"/>
                      <w:highlight w:val="none"/>
                      <w:lang w:val="en-US" w:eastAsia="zh-CN" w:bidi="ar"/>
                    </w:rPr>
                  </w:pPr>
                  <w:r>
                    <w:rPr>
                      <w:rFonts w:hint="eastAsia"/>
                      <w:color w:val="auto"/>
                      <w:sz w:val="21"/>
                      <w:szCs w:val="21"/>
                      <w:highlight w:val="none"/>
                      <w:lang w:val="en-US" w:eastAsia="zh-CN" w:bidi="ar"/>
                    </w:rPr>
                    <w:t>0.104</w:t>
                  </w:r>
                  <w:r>
                    <w:rPr>
                      <w:rFonts w:hint="eastAsia"/>
                      <w:color w:val="auto"/>
                      <w:sz w:val="21"/>
                      <w:szCs w:val="21"/>
                      <w:highlight w:val="none"/>
                      <w:lang w:bidi="ar"/>
                    </w:rPr>
                    <w:t>t/a</w:t>
                  </w:r>
                </w:p>
              </w:tc>
            </w:tr>
            <w:tr w14:paraId="528C142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8" w:hRule="atLeast"/>
                <w:jc w:val="center"/>
              </w:trPr>
              <w:tc>
                <w:tcPr>
                  <w:tcW w:w="1041" w:type="dxa"/>
                  <w:noWrap w:val="0"/>
                  <w:vAlign w:val="center"/>
                </w:tcPr>
                <w:p w14:paraId="0147E0F0">
                  <w:pPr>
                    <w:spacing w:line="340" w:lineRule="exact"/>
                    <w:ind w:firstLine="0" w:firstLineChars="0"/>
                    <w:jc w:val="center"/>
                    <w:rPr>
                      <w:color w:val="auto"/>
                      <w:sz w:val="21"/>
                      <w:szCs w:val="21"/>
                      <w:highlight w:val="none"/>
                      <w:lang w:bidi="ar"/>
                    </w:rPr>
                  </w:pPr>
                  <w:r>
                    <w:rPr>
                      <w:color w:val="auto"/>
                      <w:sz w:val="21"/>
                      <w:szCs w:val="21"/>
                      <w:highlight w:val="none"/>
                      <w:lang w:bidi="ar"/>
                    </w:rPr>
                    <w:t>DA00</w:t>
                  </w:r>
                  <w:r>
                    <w:rPr>
                      <w:rFonts w:hint="eastAsia"/>
                      <w:color w:val="auto"/>
                      <w:sz w:val="21"/>
                      <w:szCs w:val="21"/>
                      <w:highlight w:val="none"/>
                      <w:lang w:val="en-US" w:eastAsia="zh-CN" w:bidi="ar"/>
                    </w:rPr>
                    <w:t>6</w:t>
                  </w:r>
                  <w:r>
                    <w:rPr>
                      <w:rFonts w:hint="eastAsia"/>
                      <w:color w:val="auto"/>
                      <w:sz w:val="21"/>
                      <w:szCs w:val="21"/>
                      <w:highlight w:val="none"/>
                      <w:lang w:bidi="ar"/>
                    </w:rPr>
                    <w:t>排气筒</w:t>
                  </w:r>
                </w:p>
              </w:tc>
              <w:tc>
                <w:tcPr>
                  <w:tcW w:w="1313" w:type="dxa"/>
                  <w:noWrap w:val="0"/>
                  <w:vAlign w:val="center"/>
                </w:tcPr>
                <w:p w14:paraId="6D35656E">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非甲烷总烃</w:t>
                  </w:r>
                </w:p>
              </w:tc>
              <w:tc>
                <w:tcPr>
                  <w:tcW w:w="810" w:type="dxa"/>
                  <w:vMerge w:val="continue"/>
                  <w:noWrap w:val="0"/>
                  <w:vAlign w:val="center"/>
                </w:tcPr>
                <w:p w14:paraId="3C8F533A">
                  <w:pPr>
                    <w:spacing w:line="340" w:lineRule="exact"/>
                    <w:ind w:firstLine="0" w:firstLineChars="0"/>
                    <w:jc w:val="center"/>
                    <w:rPr>
                      <w:rFonts w:hint="eastAsia"/>
                      <w:color w:val="auto"/>
                      <w:sz w:val="21"/>
                      <w:szCs w:val="21"/>
                      <w:highlight w:val="none"/>
                      <w:lang w:bidi="ar"/>
                    </w:rPr>
                  </w:pPr>
                </w:p>
              </w:tc>
              <w:tc>
                <w:tcPr>
                  <w:tcW w:w="780" w:type="dxa"/>
                  <w:vMerge w:val="continue"/>
                  <w:tcBorders>
                    <w:right w:val="single" w:color="auto" w:sz="4" w:space="0"/>
                  </w:tcBorders>
                  <w:noWrap w:val="0"/>
                  <w:vAlign w:val="center"/>
                </w:tcPr>
                <w:p w14:paraId="258E5DA8">
                  <w:pPr>
                    <w:spacing w:line="340" w:lineRule="exact"/>
                    <w:ind w:firstLine="0" w:firstLineChars="0"/>
                    <w:jc w:val="center"/>
                    <w:rPr>
                      <w:rFonts w:hint="eastAsia"/>
                      <w:color w:val="auto"/>
                      <w:sz w:val="21"/>
                      <w:szCs w:val="21"/>
                      <w:highlight w:val="none"/>
                      <w:lang w:bidi="ar"/>
                    </w:rPr>
                  </w:pPr>
                </w:p>
              </w:tc>
              <w:tc>
                <w:tcPr>
                  <w:tcW w:w="1200" w:type="dxa"/>
                  <w:noWrap w:val="0"/>
                  <w:vAlign w:val="center"/>
                </w:tcPr>
                <w:p w14:paraId="77CA352A">
                  <w:pPr>
                    <w:spacing w:line="340" w:lineRule="exact"/>
                    <w:ind w:firstLine="0" w:firstLineChars="0"/>
                    <w:jc w:val="center"/>
                    <w:rPr>
                      <w:rFonts w:hint="default"/>
                      <w:color w:val="auto"/>
                      <w:sz w:val="21"/>
                      <w:szCs w:val="21"/>
                      <w:highlight w:val="none"/>
                      <w:lang w:val="en-US" w:eastAsia="zh-CN" w:bidi="ar"/>
                    </w:rPr>
                  </w:pPr>
                  <w:r>
                    <w:rPr>
                      <w:rFonts w:hint="eastAsia"/>
                      <w:color w:val="auto"/>
                      <w:sz w:val="21"/>
                      <w:szCs w:val="21"/>
                      <w:highlight w:val="none"/>
                      <w:lang w:val="en-US" w:eastAsia="zh-CN" w:bidi="ar"/>
                    </w:rPr>
                    <w:t>0.0012kg/h</w:t>
                  </w:r>
                </w:p>
              </w:tc>
              <w:tc>
                <w:tcPr>
                  <w:tcW w:w="875" w:type="dxa"/>
                  <w:noWrap w:val="0"/>
                  <w:vAlign w:val="center"/>
                </w:tcPr>
                <w:p w14:paraId="711B7063">
                  <w:pPr>
                    <w:spacing w:line="340" w:lineRule="exact"/>
                    <w:ind w:firstLine="0" w:firstLineChars="0"/>
                    <w:jc w:val="center"/>
                    <w:rPr>
                      <w:rFonts w:hint="eastAsia"/>
                      <w:color w:val="auto"/>
                      <w:sz w:val="21"/>
                      <w:szCs w:val="21"/>
                      <w:highlight w:val="none"/>
                      <w:lang w:val="en-US" w:eastAsia="zh-CN" w:bidi="ar"/>
                    </w:rPr>
                  </w:pPr>
                  <w:r>
                    <w:rPr>
                      <w:rFonts w:hint="eastAsia"/>
                      <w:color w:val="auto"/>
                      <w:sz w:val="21"/>
                      <w:szCs w:val="21"/>
                      <w:highlight w:val="none"/>
                      <w:lang w:val="en-US" w:eastAsia="zh-CN" w:bidi="ar"/>
                    </w:rPr>
                    <w:t>10kg/h</w:t>
                  </w:r>
                </w:p>
              </w:tc>
              <w:tc>
                <w:tcPr>
                  <w:tcW w:w="1083" w:type="dxa"/>
                  <w:noWrap w:val="0"/>
                  <w:vAlign w:val="center"/>
                </w:tcPr>
                <w:p w14:paraId="02A56C32">
                  <w:pPr>
                    <w:spacing w:line="340" w:lineRule="exact"/>
                    <w:ind w:firstLine="0" w:firstLineChars="0"/>
                    <w:jc w:val="center"/>
                    <w:rPr>
                      <w:rFonts w:hint="default"/>
                      <w:color w:val="auto"/>
                      <w:sz w:val="21"/>
                      <w:szCs w:val="21"/>
                      <w:highlight w:val="none"/>
                      <w:lang w:val="en-US" w:eastAsia="zh-CN" w:bidi="ar"/>
                    </w:rPr>
                  </w:pPr>
                  <w:r>
                    <w:rPr>
                      <w:rFonts w:hint="eastAsia"/>
                      <w:color w:val="auto"/>
                      <w:sz w:val="21"/>
                      <w:szCs w:val="21"/>
                      <w:highlight w:val="none"/>
                      <w:lang w:val="en-US" w:eastAsia="zh-CN" w:bidi="ar"/>
                    </w:rPr>
                    <w:t>0.0045</w:t>
                  </w:r>
                  <w:r>
                    <w:rPr>
                      <w:rFonts w:hint="eastAsia"/>
                      <w:color w:val="auto"/>
                      <w:sz w:val="21"/>
                      <w:szCs w:val="21"/>
                      <w:highlight w:val="none"/>
                      <w:lang w:bidi="ar"/>
                    </w:rPr>
                    <w:t>t/a</w:t>
                  </w:r>
                </w:p>
              </w:tc>
              <w:tc>
                <w:tcPr>
                  <w:tcW w:w="1115" w:type="dxa"/>
                  <w:noWrap w:val="0"/>
                  <w:vAlign w:val="center"/>
                </w:tcPr>
                <w:p w14:paraId="6C0FA262">
                  <w:pPr>
                    <w:spacing w:line="340" w:lineRule="exact"/>
                    <w:ind w:firstLine="0" w:firstLineChars="0"/>
                    <w:jc w:val="center"/>
                    <w:rPr>
                      <w:rFonts w:hint="eastAsia"/>
                      <w:color w:val="auto"/>
                      <w:sz w:val="21"/>
                      <w:szCs w:val="21"/>
                      <w:highlight w:val="none"/>
                      <w:lang w:val="en-US" w:eastAsia="zh-CN" w:bidi="ar"/>
                    </w:rPr>
                  </w:pPr>
                  <w:r>
                    <w:rPr>
                      <w:rFonts w:hint="eastAsia"/>
                      <w:color w:val="auto"/>
                      <w:sz w:val="21"/>
                      <w:szCs w:val="21"/>
                      <w:highlight w:val="none"/>
                      <w:lang w:val="en-US" w:eastAsia="zh-CN" w:bidi="ar"/>
                    </w:rPr>
                    <w:t>0.0045</w:t>
                  </w:r>
                  <w:r>
                    <w:rPr>
                      <w:rFonts w:hint="eastAsia"/>
                      <w:color w:val="auto"/>
                      <w:sz w:val="21"/>
                      <w:szCs w:val="21"/>
                      <w:highlight w:val="none"/>
                      <w:lang w:bidi="ar"/>
                    </w:rPr>
                    <w:t>t/a</w:t>
                  </w:r>
                </w:p>
              </w:tc>
            </w:tr>
            <w:tr w14:paraId="634D48D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8" w:hRule="atLeast"/>
                <w:jc w:val="center"/>
              </w:trPr>
              <w:tc>
                <w:tcPr>
                  <w:tcW w:w="1041" w:type="dxa"/>
                  <w:vMerge w:val="restart"/>
                  <w:noWrap w:val="0"/>
                  <w:vAlign w:val="center"/>
                </w:tcPr>
                <w:p w14:paraId="30BE67A6">
                  <w:pPr>
                    <w:spacing w:line="340" w:lineRule="exact"/>
                    <w:ind w:firstLine="0" w:firstLineChars="0"/>
                    <w:jc w:val="center"/>
                    <w:rPr>
                      <w:color w:val="auto"/>
                      <w:sz w:val="21"/>
                      <w:szCs w:val="21"/>
                      <w:highlight w:val="none"/>
                      <w:lang w:bidi="ar"/>
                    </w:rPr>
                  </w:pPr>
                  <w:r>
                    <w:rPr>
                      <w:rFonts w:hint="eastAsia"/>
                      <w:color w:val="auto"/>
                      <w:sz w:val="21"/>
                      <w:szCs w:val="21"/>
                      <w:highlight w:val="none"/>
                      <w:lang w:bidi="ar"/>
                    </w:rPr>
                    <w:t>无组织废气</w:t>
                  </w:r>
                </w:p>
              </w:tc>
              <w:tc>
                <w:tcPr>
                  <w:tcW w:w="1313" w:type="dxa"/>
                  <w:noWrap w:val="0"/>
                  <w:vAlign w:val="center"/>
                </w:tcPr>
                <w:p w14:paraId="17FA0500">
                  <w:pPr>
                    <w:spacing w:line="340" w:lineRule="exact"/>
                    <w:ind w:firstLine="0" w:firstLineChars="0"/>
                    <w:jc w:val="center"/>
                    <w:rPr>
                      <w:color w:val="auto"/>
                      <w:sz w:val="21"/>
                      <w:szCs w:val="21"/>
                      <w:highlight w:val="none"/>
                      <w:lang w:bidi="ar"/>
                    </w:rPr>
                  </w:pPr>
                  <w:r>
                    <w:rPr>
                      <w:rFonts w:hint="eastAsia"/>
                      <w:color w:val="auto"/>
                      <w:sz w:val="21"/>
                      <w:szCs w:val="21"/>
                      <w:highlight w:val="none"/>
                      <w:lang w:bidi="ar"/>
                    </w:rPr>
                    <w:t>非甲烷总烃</w:t>
                  </w:r>
                </w:p>
              </w:tc>
              <w:tc>
                <w:tcPr>
                  <w:tcW w:w="810" w:type="dxa"/>
                  <w:vMerge w:val="restart"/>
                  <w:noWrap w:val="0"/>
                  <w:vAlign w:val="center"/>
                </w:tcPr>
                <w:p w14:paraId="2C8000CC">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val="en-US" w:eastAsia="zh-CN" w:bidi="ar"/>
                    </w:rPr>
                    <w:t>一期</w:t>
                  </w:r>
                </w:p>
              </w:tc>
              <w:tc>
                <w:tcPr>
                  <w:tcW w:w="780" w:type="dxa"/>
                  <w:tcBorders>
                    <w:right w:val="single" w:color="auto" w:sz="4" w:space="0"/>
                  </w:tcBorders>
                  <w:noWrap w:val="0"/>
                  <w:vAlign w:val="center"/>
                </w:tcPr>
                <w:p w14:paraId="4B2EF5D3">
                  <w:pPr>
                    <w:spacing w:line="340" w:lineRule="exact"/>
                    <w:ind w:firstLine="0" w:firstLineChars="0"/>
                    <w:jc w:val="center"/>
                    <w:rPr>
                      <w:color w:val="auto"/>
                      <w:sz w:val="21"/>
                      <w:szCs w:val="21"/>
                      <w:highlight w:val="none"/>
                      <w:lang w:bidi="ar"/>
                    </w:rPr>
                  </w:pPr>
                  <w:r>
                    <w:rPr>
                      <w:rFonts w:hint="eastAsia"/>
                      <w:color w:val="auto"/>
                      <w:sz w:val="21"/>
                      <w:szCs w:val="21"/>
                      <w:highlight w:val="none"/>
                      <w:lang w:bidi="ar"/>
                    </w:rPr>
                    <w:t>/</w:t>
                  </w:r>
                </w:p>
              </w:tc>
              <w:tc>
                <w:tcPr>
                  <w:tcW w:w="1200" w:type="dxa"/>
                  <w:noWrap w:val="0"/>
                  <w:vAlign w:val="center"/>
                </w:tcPr>
                <w:p w14:paraId="59EE1F55">
                  <w:pPr>
                    <w:spacing w:line="340" w:lineRule="exact"/>
                    <w:ind w:firstLine="0" w:firstLineChars="0"/>
                    <w:jc w:val="center"/>
                    <w:rPr>
                      <w:color w:val="auto"/>
                      <w:sz w:val="21"/>
                      <w:szCs w:val="21"/>
                      <w:highlight w:val="none"/>
                      <w:lang w:bidi="ar"/>
                    </w:rPr>
                  </w:pPr>
                  <w:r>
                    <w:rPr>
                      <w:rFonts w:hint="eastAsia"/>
                      <w:color w:val="auto"/>
                      <w:sz w:val="21"/>
                      <w:szCs w:val="21"/>
                      <w:highlight w:val="none"/>
                      <w:lang w:bidi="ar"/>
                    </w:rPr>
                    <w:t>/</w:t>
                  </w:r>
                </w:p>
              </w:tc>
              <w:tc>
                <w:tcPr>
                  <w:tcW w:w="875" w:type="dxa"/>
                  <w:noWrap w:val="0"/>
                  <w:vAlign w:val="center"/>
                </w:tcPr>
                <w:p w14:paraId="75613FD4">
                  <w:pPr>
                    <w:spacing w:line="340" w:lineRule="exact"/>
                    <w:ind w:firstLine="0" w:firstLineChars="0"/>
                    <w:jc w:val="center"/>
                    <w:rPr>
                      <w:rFonts w:hint="default" w:eastAsia="宋体"/>
                      <w:color w:val="auto"/>
                      <w:sz w:val="21"/>
                      <w:szCs w:val="21"/>
                      <w:highlight w:val="none"/>
                      <w:lang w:val="en-US" w:eastAsia="zh-CN" w:bidi="ar"/>
                    </w:rPr>
                  </w:pPr>
                  <w:r>
                    <w:rPr>
                      <w:rFonts w:hint="eastAsia"/>
                      <w:color w:val="auto"/>
                      <w:sz w:val="21"/>
                      <w:szCs w:val="21"/>
                      <w:highlight w:val="none"/>
                      <w:lang w:val="en-US" w:eastAsia="zh-CN" w:bidi="ar"/>
                    </w:rPr>
                    <w:t>/</w:t>
                  </w:r>
                </w:p>
              </w:tc>
              <w:tc>
                <w:tcPr>
                  <w:tcW w:w="1083" w:type="dxa"/>
                  <w:noWrap w:val="0"/>
                  <w:vAlign w:val="center"/>
                </w:tcPr>
                <w:p w14:paraId="230EF54D">
                  <w:pPr>
                    <w:spacing w:line="340" w:lineRule="exact"/>
                    <w:ind w:firstLine="0" w:firstLineChars="0"/>
                    <w:jc w:val="center"/>
                    <w:rPr>
                      <w:rFonts w:hint="default" w:eastAsia="宋体"/>
                      <w:color w:val="auto"/>
                      <w:sz w:val="21"/>
                      <w:szCs w:val="21"/>
                      <w:highlight w:val="none"/>
                      <w:lang w:val="en-US" w:eastAsia="zh-CN" w:bidi="ar"/>
                    </w:rPr>
                  </w:pPr>
                  <w:r>
                    <w:rPr>
                      <w:rFonts w:hint="eastAsia" w:eastAsia="宋体"/>
                      <w:color w:val="auto"/>
                      <w:sz w:val="21"/>
                      <w:szCs w:val="21"/>
                      <w:highlight w:val="none"/>
                      <w:lang w:val="en-US" w:eastAsia="zh-CN" w:bidi="ar"/>
                    </w:rPr>
                    <w:t>0.00</w:t>
                  </w:r>
                  <w:r>
                    <w:rPr>
                      <w:rFonts w:hint="eastAsia"/>
                      <w:color w:val="auto"/>
                      <w:sz w:val="21"/>
                      <w:szCs w:val="21"/>
                      <w:highlight w:val="none"/>
                      <w:lang w:val="en-US" w:eastAsia="zh-CN" w:bidi="ar"/>
                    </w:rPr>
                    <w:t>12</w:t>
                  </w:r>
                  <w:r>
                    <w:rPr>
                      <w:rFonts w:hint="eastAsia"/>
                      <w:color w:val="auto"/>
                      <w:sz w:val="21"/>
                      <w:szCs w:val="21"/>
                      <w:highlight w:val="none"/>
                      <w:lang w:bidi="ar"/>
                    </w:rPr>
                    <w:t>t/a</w:t>
                  </w:r>
                </w:p>
              </w:tc>
              <w:tc>
                <w:tcPr>
                  <w:tcW w:w="1115" w:type="dxa"/>
                  <w:noWrap w:val="0"/>
                  <w:vAlign w:val="center"/>
                </w:tcPr>
                <w:p w14:paraId="3B9C9396">
                  <w:pPr>
                    <w:spacing w:line="340" w:lineRule="exact"/>
                    <w:ind w:firstLine="0" w:firstLineChars="0"/>
                    <w:jc w:val="center"/>
                    <w:rPr>
                      <w:rFonts w:hint="eastAsia"/>
                      <w:color w:val="auto"/>
                      <w:sz w:val="21"/>
                      <w:szCs w:val="21"/>
                      <w:highlight w:val="none"/>
                      <w:lang w:bidi="ar"/>
                    </w:rPr>
                  </w:pPr>
                  <w:r>
                    <w:rPr>
                      <w:rFonts w:hint="eastAsia" w:eastAsia="宋体"/>
                      <w:color w:val="auto"/>
                      <w:sz w:val="21"/>
                      <w:szCs w:val="21"/>
                      <w:highlight w:val="none"/>
                      <w:lang w:val="en-US" w:eastAsia="zh-CN" w:bidi="ar"/>
                    </w:rPr>
                    <w:t>0.00</w:t>
                  </w:r>
                  <w:r>
                    <w:rPr>
                      <w:rFonts w:hint="eastAsia"/>
                      <w:color w:val="auto"/>
                      <w:sz w:val="21"/>
                      <w:szCs w:val="21"/>
                      <w:highlight w:val="none"/>
                      <w:lang w:val="en-US" w:eastAsia="zh-CN" w:bidi="ar"/>
                    </w:rPr>
                    <w:t>12</w:t>
                  </w:r>
                  <w:r>
                    <w:rPr>
                      <w:rFonts w:hint="eastAsia"/>
                      <w:color w:val="auto"/>
                      <w:sz w:val="21"/>
                      <w:szCs w:val="21"/>
                      <w:highlight w:val="none"/>
                      <w:lang w:bidi="ar"/>
                    </w:rPr>
                    <w:t>t/a</w:t>
                  </w:r>
                </w:p>
              </w:tc>
            </w:tr>
            <w:tr w14:paraId="24F0545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2" w:hRule="atLeast"/>
                <w:jc w:val="center"/>
              </w:trPr>
              <w:tc>
                <w:tcPr>
                  <w:tcW w:w="1041" w:type="dxa"/>
                  <w:vMerge w:val="continue"/>
                  <w:noWrap w:val="0"/>
                  <w:vAlign w:val="center"/>
                </w:tcPr>
                <w:p w14:paraId="50143DB0">
                  <w:pPr>
                    <w:spacing w:line="340" w:lineRule="exact"/>
                    <w:ind w:firstLine="0" w:firstLineChars="0"/>
                    <w:jc w:val="center"/>
                    <w:rPr>
                      <w:rFonts w:hint="eastAsia"/>
                      <w:color w:val="auto"/>
                      <w:sz w:val="21"/>
                      <w:szCs w:val="21"/>
                      <w:highlight w:val="none"/>
                      <w:lang w:bidi="ar"/>
                    </w:rPr>
                  </w:pPr>
                </w:p>
              </w:tc>
              <w:tc>
                <w:tcPr>
                  <w:tcW w:w="1313" w:type="dxa"/>
                  <w:noWrap w:val="0"/>
                  <w:vAlign w:val="center"/>
                </w:tcPr>
                <w:p w14:paraId="49F4BE96">
                  <w:pPr>
                    <w:spacing w:line="340" w:lineRule="exact"/>
                    <w:ind w:firstLine="0" w:firstLineChars="0"/>
                    <w:jc w:val="center"/>
                    <w:rPr>
                      <w:color w:val="auto"/>
                      <w:sz w:val="21"/>
                      <w:szCs w:val="21"/>
                      <w:highlight w:val="none"/>
                      <w:lang w:bidi="ar"/>
                    </w:rPr>
                  </w:pPr>
                  <w:r>
                    <w:rPr>
                      <w:rFonts w:hint="eastAsia"/>
                      <w:color w:val="auto"/>
                      <w:sz w:val="21"/>
                      <w:szCs w:val="21"/>
                      <w:highlight w:val="none"/>
                      <w:lang w:bidi="ar"/>
                    </w:rPr>
                    <w:t>SO</w:t>
                  </w:r>
                  <w:r>
                    <w:rPr>
                      <w:rFonts w:hint="eastAsia"/>
                      <w:color w:val="auto"/>
                      <w:sz w:val="21"/>
                      <w:szCs w:val="21"/>
                      <w:highlight w:val="none"/>
                      <w:vertAlign w:val="subscript"/>
                      <w:lang w:bidi="ar"/>
                    </w:rPr>
                    <w:t>2</w:t>
                  </w:r>
                </w:p>
              </w:tc>
              <w:tc>
                <w:tcPr>
                  <w:tcW w:w="810" w:type="dxa"/>
                  <w:vMerge w:val="continue"/>
                  <w:noWrap w:val="0"/>
                  <w:vAlign w:val="center"/>
                </w:tcPr>
                <w:p w14:paraId="2A16429A">
                  <w:pPr>
                    <w:spacing w:line="340" w:lineRule="exact"/>
                    <w:ind w:firstLine="0" w:firstLineChars="0"/>
                    <w:jc w:val="center"/>
                    <w:rPr>
                      <w:rFonts w:hint="eastAsia"/>
                      <w:color w:val="auto"/>
                      <w:sz w:val="21"/>
                      <w:szCs w:val="21"/>
                      <w:highlight w:val="none"/>
                      <w:lang w:bidi="ar"/>
                    </w:rPr>
                  </w:pPr>
                </w:p>
              </w:tc>
              <w:tc>
                <w:tcPr>
                  <w:tcW w:w="780" w:type="dxa"/>
                  <w:tcBorders>
                    <w:right w:val="single" w:color="auto" w:sz="4" w:space="0"/>
                  </w:tcBorders>
                  <w:noWrap w:val="0"/>
                  <w:vAlign w:val="center"/>
                </w:tcPr>
                <w:p w14:paraId="0DC79A53">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w:t>
                  </w:r>
                </w:p>
              </w:tc>
              <w:tc>
                <w:tcPr>
                  <w:tcW w:w="1200" w:type="dxa"/>
                  <w:noWrap w:val="0"/>
                  <w:vAlign w:val="center"/>
                </w:tcPr>
                <w:p w14:paraId="6B5732ED">
                  <w:pPr>
                    <w:spacing w:line="340" w:lineRule="exact"/>
                    <w:ind w:firstLine="0" w:firstLineChars="0"/>
                    <w:jc w:val="center"/>
                    <w:rPr>
                      <w:color w:val="auto"/>
                      <w:sz w:val="21"/>
                      <w:szCs w:val="21"/>
                      <w:highlight w:val="none"/>
                      <w:lang w:bidi="ar"/>
                    </w:rPr>
                  </w:pPr>
                  <w:r>
                    <w:rPr>
                      <w:rFonts w:hint="eastAsia"/>
                      <w:color w:val="auto"/>
                      <w:sz w:val="21"/>
                      <w:szCs w:val="21"/>
                      <w:highlight w:val="none"/>
                      <w:lang w:bidi="ar"/>
                    </w:rPr>
                    <w:t>/</w:t>
                  </w:r>
                </w:p>
              </w:tc>
              <w:tc>
                <w:tcPr>
                  <w:tcW w:w="875" w:type="dxa"/>
                  <w:noWrap w:val="0"/>
                  <w:vAlign w:val="center"/>
                </w:tcPr>
                <w:p w14:paraId="1D6BDFDA">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w:t>
                  </w:r>
                </w:p>
              </w:tc>
              <w:tc>
                <w:tcPr>
                  <w:tcW w:w="1083" w:type="dxa"/>
                  <w:noWrap w:val="0"/>
                  <w:vAlign w:val="center"/>
                </w:tcPr>
                <w:p w14:paraId="055B023C">
                  <w:pPr>
                    <w:spacing w:line="340" w:lineRule="exact"/>
                    <w:ind w:firstLine="0" w:firstLineChars="0"/>
                    <w:jc w:val="center"/>
                    <w:rPr>
                      <w:rFonts w:hint="eastAsia" w:eastAsia="宋体"/>
                      <w:color w:val="auto"/>
                      <w:sz w:val="21"/>
                      <w:szCs w:val="21"/>
                      <w:highlight w:val="none"/>
                      <w:lang w:val="en-US" w:eastAsia="zh-CN" w:bidi="ar"/>
                    </w:rPr>
                  </w:pPr>
                  <w:r>
                    <w:rPr>
                      <w:rFonts w:hint="eastAsia"/>
                      <w:color w:val="auto"/>
                      <w:sz w:val="21"/>
                      <w:szCs w:val="21"/>
                      <w:highlight w:val="none"/>
                      <w:lang w:val="en-US" w:eastAsia="zh-CN" w:bidi="ar"/>
                    </w:rPr>
                    <w:t>/</w:t>
                  </w:r>
                </w:p>
              </w:tc>
              <w:tc>
                <w:tcPr>
                  <w:tcW w:w="1115" w:type="dxa"/>
                  <w:noWrap w:val="0"/>
                  <w:vAlign w:val="center"/>
                </w:tcPr>
                <w:p w14:paraId="4359B324">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val="en-US" w:eastAsia="zh-CN" w:bidi="ar"/>
                    </w:rPr>
                    <w:t>/</w:t>
                  </w:r>
                </w:p>
              </w:tc>
            </w:tr>
            <w:tr w14:paraId="77C5370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2" w:hRule="atLeast"/>
                <w:jc w:val="center"/>
              </w:trPr>
              <w:tc>
                <w:tcPr>
                  <w:tcW w:w="1041" w:type="dxa"/>
                  <w:vMerge w:val="continue"/>
                  <w:noWrap w:val="0"/>
                  <w:vAlign w:val="center"/>
                </w:tcPr>
                <w:p w14:paraId="1A7FE34E">
                  <w:pPr>
                    <w:spacing w:line="340" w:lineRule="exact"/>
                    <w:ind w:firstLine="0" w:firstLineChars="0"/>
                    <w:jc w:val="center"/>
                    <w:rPr>
                      <w:color w:val="auto"/>
                      <w:sz w:val="21"/>
                      <w:szCs w:val="21"/>
                      <w:highlight w:val="none"/>
                      <w:lang w:bidi="ar"/>
                    </w:rPr>
                  </w:pPr>
                </w:p>
              </w:tc>
              <w:tc>
                <w:tcPr>
                  <w:tcW w:w="1313" w:type="dxa"/>
                  <w:noWrap w:val="0"/>
                  <w:vAlign w:val="center"/>
                </w:tcPr>
                <w:p w14:paraId="329DF0E1">
                  <w:pPr>
                    <w:spacing w:line="340" w:lineRule="exact"/>
                    <w:ind w:firstLine="0" w:firstLineChars="0"/>
                    <w:jc w:val="center"/>
                    <w:rPr>
                      <w:color w:val="auto"/>
                      <w:sz w:val="21"/>
                      <w:szCs w:val="21"/>
                      <w:highlight w:val="none"/>
                      <w:lang w:bidi="ar"/>
                    </w:rPr>
                  </w:pPr>
                  <w:r>
                    <w:rPr>
                      <w:rFonts w:hint="eastAsia"/>
                      <w:color w:val="auto"/>
                      <w:sz w:val="21"/>
                      <w:szCs w:val="21"/>
                      <w:highlight w:val="none"/>
                      <w:lang w:bidi="ar"/>
                    </w:rPr>
                    <w:t>NO</w:t>
                  </w:r>
                  <w:r>
                    <w:rPr>
                      <w:rFonts w:hint="eastAsia"/>
                      <w:color w:val="auto"/>
                      <w:sz w:val="21"/>
                      <w:szCs w:val="21"/>
                      <w:highlight w:val="none"/>
                      <w:vertAlign w:val="subscript"/>
                      <w:lang w:bidi="ar"/>
                    </w:rPr>
                    <w:t>X</w:t>
                  </w:r>
                </w:p>
              </w:tc>
              <w:tc>
                <w:tcPr>
                  <w:tcW w:w="810" w:type="dxa"/>
                  <w:vMerge w:val="continue"/>
                  <w:noWrap w:val="0"/>
                  <w:vAlign w:val="center"/>
                </w:tcPr>
                <w:p w14:paraId="1C850D92">
                  <w:pPr>
                    <w:spacing w:line="340" w:lineRule="exact"/>
                    <w:ind w:firstLine="0" w:firstLineChars="0"/>
                    <w:jc w:val="center"/>
                    <w:rPr>
                      <w:rFonts w:hint="eastAsia"/>
                      <w:color w:val="auto"/>
                      <w:sz w:val="21"/>
                      <w:szCs w:val="21"/>
                      <w:highlight w:val="none"/>
                      <w:lang w:bidi="ar"/>
                    </w:rPr>
                  </w:pPr>
                </w:p>
              </w:tc>
              <w:tc>
                <w:tcPr>
                  <w:tcW w:w="780" w:type="dxa"/>
                  <w:tcBorders>
                    <w:right w:val="single" w:color="auto" w:sz="4" w:space="0"/>
                  </w:tcBorders>
                  <w:noWrap w:val="0"/>
                  <w:vAlign w:val="center"/>
                </w:tcPr>
                <w:p w14:paraId="239C4EFF">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w:t>
                  </w:r>
                </w:p>
              </w:tc>
              <w:tc>
                <w:tcPr>
                  <w:tcW w:w="1200" w:type="dxa"/>
                  <w:noWrap w:val="0"/>
                  <w:vAlign w:val="center"/>
                </w:tcPr>
                <w:p w14:paraId="046472C6">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w:t>
                  </w:r>
                </w:p>
              </w:tc>
              <w:tc>
                <w:tcPr>
                  <w:tcW w:w="875" w:type="dxa"/>
                  <w:noWrap w:val="0"/>
                  <w:vAlign w:val="center"/>
                </w:tcPr>
                <w:p w14:paraId="106B3CF6">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w:t>
                  </w:r>
                </w:p>
              </w:tc>
              <w:tc>
                <w:tcPr>
                  <w:tcW w:w="1083" w:type="dxa"/>
                  <w:noWrap w:val="0"/>
                  <w:vAlign w:val="center"/>
                </w:tcPr>
                <w:p w14:paraId="519EDC6B">
                  <w:pPr>
                    <w:spacing w:line="340" w:lineRule="exact"/>
                    <w:ind w:firstLine="0" w:firstLineChars="0"/>
                    <w:jc w:val="center"/>
                    <w:rPr>
                      <w:rFonts w:hint="eastAsia" w:eastAsia="宋体"/>
                      <w:color w:val="auto"/>
                      <w:sz w:val="21"/>
                      <w:szCs w:val="21"/>
                      <w:highlight w:val="none"/>
                      <w:lang w:val="en-US" w:eastAsia="zh-CN" w:bidi="ar"/>
                    </w:rPr>
                  </w:pPr>
                  <w:r>
                    <w:rPr>
                      <w:rFonts w:hint="eastAsia"/>
                      <w:color w:val="auto"/>
                      <w:sz w:val="21"/>
                      <w:szCs w:val="21"/>
                      <w:highlight w:val="none"/>
                      <w:lang w:val="en-US" w:eastAsia="zh-CN" w:bidi="ar"/>
                    </w:rPr>
                    <w:t>/</w:t>
                  </w:r>
                </w:p>
              </w:tc>
              <w:tc>
                <w:tcPr>
                  <w:tcW w:w="1115" w:type="dxa"/>
                  <w:noWrap w:val="0"/>
                  <w:vAlign w:val="center"/>
                </w:tcPr>
                <w:p w14:paraId="2D4A77DA">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val="en-US" w:eastAsia="zh-CN" w:bidi="ar"/>
                    </w:rPr>
                    <w:t>/</w:t>
                  </w:r>
                </w:p>
              </w:tc>
            </w:tr>
            <w:tr w14:paraId="7750DF8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8" w:hRule="atLeast"/>
                <w:jc w:val="center"/>
              </w:trPr>
              <w:tc>
                <w:tcPr>
                  <w:tcW w:w="1041" w:type="dxa"/>
                  <w:vMerge w:val="continue"/>
                  <w:noWrap w:val="0"/>
                  <w:vAlign w:val="center"/>
                </w:tcPr>
                <w:p w14:paraId="018D5F84">
                  <w:pPr>
                    <w:spacing w:line="340" w:lineRule="exact"/>
                    <w:ind w:firstLine="0" w:firstLineChars="0"/>
                    <w:jc w:val="center"/>
                    <w:rPr>
                      <w:color w:val="auto"/>
                      <w:sz w:val="21"/>
                      <w:szCs w:val="21"/>
                      <w:highlight w:val="none"/>
                      <w:lang w:bidi="ar"/>
                    </w:rPr>
                  </w:pPr>
                </w:p>
              </w:tc>
              <w:tc>
                <w:tcPr>
                  <w:tcW w:w="1313" w:type="dxa"/>
                  <w:noWrap w:val="0"/>
                  <w:vAlign w:val="center"/>
                </w:tcPr>
                <w:p w14:paraId="5F98F193">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非甲烷总烃</w:t>
                  </w:r>
                </w:p>
              </w:tc>
              <w:tc>
                <w:tcPr>
                  <w:tcW w:w="810" w:type="dxa"/>
                  <w:vMerge w:val="restart"/>
                  <w:noWrap w:val="0"/>
                  <w:vAlign w:val="center"/>
                </w:tcPr>
                <w:p w14:paraId="002896E6">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val="en-US" w:eastAsia="zh-CN" w:bidi="ar"/>
                    </w:rPr>
                    <w:t>二期</w:t>
                  </w:r>
                </w:p>
              </w:tc>
              <w:tc>
                <w:tcPr>
                  <w:tcW w:w="780" w:type="dxa"/>
                  <w:tcBorders>
                    <w:right w:val="single" w:color="auto" w:sz="4" w:space="0"/>
                  </w:tcBorders>
                  <w:noWrap w:val="0"/>
                  <w:vAlign w:val="center"/>
                </w:tcPr>
                <w:p w14:paraId="7632DB5E">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w:t>
                  </w:r>
                </w:p>
              </w:tc>
              <w:tc>
                <w:tcPr>
                  <w:tcW w:w="1200" w:type="dxa"/>
                  <w:noWrap w:val="0"/>
                  <w:vAlign w:val="center"/>
                </w:tcPr>
                <w:p w14:paraId="691728E9">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w:t>
                  </w:r>
                </w:p>
              </w:tc>
              <w:tc>
                <w:tcPr>
                  <w:tcW w:w="875" w:type="dxa"/>
                  <w:noWrap w:val="0"/>
                  <w:vAlign w:val="center"/>
                </w:tcPr>
                <w:p w14:paraId="5848E42C">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val="en-US" w:eastAsia="zh-CN" w:bidi="ar"/>
                    </w:rPr>
                    <w:t>/</w:t>
                  </w:r>
                </w:p>
              </w:tc>
              <w:tc>
                <w:tcPr>
                  <w:tcW w:w="1083" w:type="dxa"/>
                  <w:noWrap w:val="0"/>
                  <w:vAlign w:val="center"/>
                </w:tcPr>
                <w:p w14:paraId="5A83E4BD">
                  <w:pPr>
                    <w:spacing w:line="340" w:lineRule="exact"/>
                    <w:ind w:firstLine="0" w:firstLineChars="0"/>
                    <w:jc w:val="center"/>
                    <w:rPr>
                      <w:rFonts w:hint="default"/>
                      <w:color w:val="auto"/>
                      <w:sz w:val="21"/>
                      <w:szCs w:val="21"/>
                      <w:highlight w:val="none"/>
                      <w:lang w:val="en-US" w:eastAsia="zh-CN" w:bidi="ar"/>
                    </w:rPr>
                  </w:pPr>
                  <w:r>
                    <w:rPr>
                      <w:rFonts w:hint="eastAsia"/>
                      <w:color w:val="auto"/>
                      <w:sz w:val="21"/>
                      <w:szCs w:val="21"/>
                      <w:highlight w:val="none"/>
                      <w:lang w:val="en-US" w:eastAsia="zh-CN" w:bidi="ar"/>
                    </w:rPr>
                    <w:t>0.0024</w:t>
                  </w:r>
                  <w:r>
                    <w:rPr>
                      <w:rFonts w:hint="eastAsia"/>
                      <w:color w:val="auto"/>
                      <w:sz w:val="21"/>
                      <w:szCs w:val="21"/>
                      <w:highlight w:val="none"/>
                      <w:lang w:bidi="ar"/>
                    </w:rPr>
                    <w:t>t/a</w:t>
                  </w:r>
                </w:p>
              </w:tc>
              <w:tc>
                <w:tcPr>
                  <w:tcW w:w="1115" w:type="dxa"/>
                  <w:noWrap w:val="0"/>
                  <w:vAlign w:val="center"/>
                </w:tcPr>
                <w:p w14:paraId="14EA555E">
                  <w:pPr>
                    <w:spacing w:line="340" w:lineRule="exact"/>
                    <w:ind w:firstLine="0" w:firstLineChars="0"/>
                    <w:jc w:val="center"/>
                    <w:rPr>
                      <w:rFonts w:hint="eastAsia"/>
                      <w:color w:val="auto"/>
                      <w:sz w:val="21"/>
                      <w:szCs w:val="21"/>
                      <w:highlight w:val="none"/>
                      <w:lang w:val="en-US" w:eastAsia="zh-CN" w:bidi="ar"/>
                    </w:rPr>
                  </w:pPr>
                  <w:r>
                    <w:rPr>
                      <w:rFonts w:hint="eastAsia"/>
                      <w:color w:val="auto"/>
                      <w:sz w:val="21"/>
                      <w:szCs w:val="21"/>
                      <w:highlight w:val="none"/>
                      <w:lang w:val="en-US" w:eastAsia="zh-CN" w:bidi="ar"/>
                    </w:rPr>
                    <w:t>0.0024</w:t>
                  </w:r>
                  <w:r>
                    <w:rPr>
                      <w:rFonts w:hint="eastAsia"/>
                      <w:color w:val="auto"/>
                      <w:sz w:val="21"/>
                      <w:szCs w:val="21"/>
                      <w:highlight w:val="none"/>
                      <w:lang w:bidi="ar"/>
                    </w:rPr>
                    <w:t>t/a</w:t>
                  </w:r>
                </w:p>
              </w:tc>
            </w:tr>
            <w:tr w14:paraId="0218BA3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2" w:hRule="atLeast"/>
                <w:jc w:val="center"/>
              </w:trPr>
              <w:tc>
                <w:tcPr>
                  <w:tcW w:w="1041" w:type="dxa"/>
                  <w:vMerge w:val="continue"/>
                  <w:noWrap w:val="0"/>
                  <w:vAlign w:val="center"/>
                </w:tcPr>
                <w:p w14:paraId="0A97797D">
                  <w:pPr>
                    <w:spacing w:line="340" w:lineRule="exact"/>
                    <w:ind w:firstLine="0" w:firstLineChars="0"/>
                    <w:jc w:val="center"/>
                    <w:rPr>
                      <w:color w:val="auto"/>
                      <w:sz w:val="21"/>
                      <w:szCs w:val="21"/>
                      <w:highlight w:val="none"/>
                      <w:lang w:bidi="ar"/>
                    </w:rPr>
                  </w:pPr>
                </w:p>
              </w:tc>
              <w:tc>
                <w:tcPr>
                  <w:tcW w:w="1313" w:type="dxa"/>
                  <w:noWrap w:val="0"/>
                  <w:vAlign w:val="center"/>
                </w:tcPr>
                <w:p w14:paraId="00761413">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SO</w:t>
                  </w:r>
                  <w:r>
                    <w:rPr>
                      <w:rFonts w:hint="eastAsia"/>
                      <w:color w:val="auto"/>
                      <w:sz w:val="21"/>
                      <w:szCs w:val="21"/>
                      <w:highlight w:val="none"/>
                      <w:vertAlign w:val="subscript"/>
                      <w:lang w:bidi="ar"/>
                    </w:rPr>
                    <w:t>2</w:t>
                  </w:r>
                </w:p>
              </w:tc>
              <w:tc>
                <w:tcPr>
                  <w:tcW w:w="810" w:type="dxa"/>
                  <w:vMerge w:val="continue"/>
                  <w:noWrap w:val="0"/>
                  <w:vAlign w:val="center"/>
                </w:tcPr>
                <w:p w14:paraId="5A84BB52">
                  <w:pPr>
                    <w:spacing w:line="340" w:lineRule="exact"/>
                    <w:ind w:firstLine="0" w:firstLineChars="0"/>
                    <w:jc w:val="center"/>
                    <w:rPr>
                      <w:rFonts w:hint="eastAsia"/>
                      <w:color w:val="auto"/>
                      <w:sz w:val="21"/>
                      <w:szCs w:val="21"/>
                      <w:highlight w:val="none"/>
                      <w:lang w:bidi="ar"/>
                    </w:rPr>
                  </w:pPr>
                </w:p>
              </w:tc>
              <w:tc>
                <w:tcPr>
                  <w:tcW w:w="780" w:type="dxa"/>
                  <w:tcBorders>
                    <w:right w:val="single" w:color="auto" w:sz="4" w:space="0"/>
                  </w:tcBorders>
                  <w:noWrap w:val="0"/>
                  <w:vAlign w:val="center"/>
                </w:tcPr>
                <w:p w14:paraId="608B004B">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w:t>
                  </w:r>
                </w:p>
              </w:tc>
              <w:tc>
                <w:tcPr>
                  <w:tcW w:w="1200" w:type="dxa"/>
                  <w:noWrap w:val="0"/>
                  <w:vAlign w:val="center"/>
                </w:tcPr>
                <w:p w14:paraId="5A283903">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w:t>
                  </w:r>
                </w:p>
              </w:tc>
              <w:tc>
                <w:tcPr>
                  <w:tcW w:w="875" w:type="dxa"/>
                  <w:noWrap w:val="0"/>
                  <w:vAlign w:val="center"/>
                </w:tcPr>
                <w:p w14:paraId="5B3FE576">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w:t>
                  </w:r>
                </w:p>
              </w:tc>
              <w:tc>
                <w:tcPr>
                  <w:tcW w:w="1083" w:type="dxa"/>
                  <w:noWrap w:val="0"/>
                  <w:vAlign w:val="center"/>
                </w:tcPr>
                <w:p w14:paraId="0657D595">
                  <w:pPr>
                    <w:spacing w:line="340" w:lineRule="exact"/>
                    <w:ind w:firstLine="0" w:firstLineChars="0"/>
                    <w:jc w:val="center"/>
                    <w:rPr>
                      <w:rFonts w:hint="eastAsia"/>
                      <w:color w:val="auto"/>
                      <w:sz w:val="21"/>
                      <w:szCs w:val="21"/>
                      <w:highlight w:val="none"/>
                      <w:lang w:val="en-US" w:eastAsia="zh-CN" w:bidi="ar"/>
                    </w:rPr>
                  </w:pPr>
                  <w:r>
                    <w:rPr>
                      <w:rFonts w:hint="eastAsia"/>
                      <w:color w:val="auto"/>
                      <w:sz w:val="21"/>
                      <w:szCs w:val="21"/>
                      <w:highlight w:val="none"/>
                      <w:lang w:val="en-US" w:eastAsia="zh-CN" w:bidi="ar"/>
                    </w:rPr>
                    <w:t>/</w:t>
                  </w:r>
                </w:p>
              </w:tc>
              <w:tc>
                <w:tcPr>
                  <w:tcW w:w="1115" w:type="dxa"/>
                  <w:noWrap w:val="0"/>
                  <w:vAlign w:val="center"/>
                </w:tcPr>
                <w:p w14:paraId="3F1F3D0B">
                  <w:pPr>
                    <w:spacing w:line="340" w:lineRule="exact"/>
                    <w:ind w:firstLine="0" w:firstLineChars="0"/>
                    <w:jc w:val="center"/>
                    <w:rPr>
                      <w:rFonts w:hint="eastAsia"/>
                      <w:color w:val="auto"/>
                      <w:sz w:val="21"/>
                      <w:szCs w:val="21"/>
                      <w:highlight w:val="none"/>
                      <w:lang w:val="en-US" w:eastAsia="zh-CN" w:bidi="ar"/>
                    </w:rPr>
                  </w:pPr>
                  <w:r>
                    <w:rPr>
                      <w:rFonts w:hint="eastAsia"/>
                      <w:color w:val="auto"/>
                      <w:sz w:val="21"/>
                      <w:szCs w:val="21"/>
                      <w:highlight w:val="none"/>
                      <w:lang w:val="en-US" w:eastAsia="zh-CN" w:bidi="ar"/>
                    </w:rPr>
                    <w:t>/</w:t>
                  </w:r>
                </w:p>
              </w:tc>
            </w:tr>
            <w:tr w14:paraId="177465B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2" w:hRule="atLeast"/>
                <w:jc w:val="center"/>
              </w:trPr>
              <w:tc>
                <w:tcPr>
                  <w:tcW w:w="1041" w:type="dxa"/>
                  <w:vMerge w:val="continue"/>
                  <w:noWrap w:val="0"/>
                  <w:vAlign w:val="center"/>
                </w:tcPr>
                <w:p w14:paraId="1CE46073">
                  <w:pPr>
                    <w:spacing w:line="340" w:lineRule="exact"/>
                    <w:ind w:firstLine="0" w:firstLineChars="0"/>
                    <w:jc w:val="center"/>
                    <w:rPr>
                      <w:color w:val="auto"/>
                      <w:sz w:val="21"/>
                      <w:szCs w:val="21"/>
                      <w:highlight w:val="none"/>
                      <w:lang w:bidi="ar"/>
                    </w:rPr>
                  </w:pPr>
                </w:p>
              </w:tc>
              <w:tc>
                <w:tcPr>
                  <w:tcW w:w="1313" w:type="dxa"/>
                  <w:noWrap w:val="0"/>
                  <w:vAlign w:val="center"/>
                </w:tcPr>
                <w:p w14:paraId="2D4FE715">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NO</w:t>
                  </w:r>
                  <w:r>
                    <w:rPr>
                      <w:rFonts w:hint="eastAsia"/>
                      <w:color w:val="auto"/>
                      <w:sz w:val="21"/>
                      <w:szCs w:val="21"/>
                      <w:highlight w:val="none"/>
                      <w:vertAlign w:val="subscript"/>
                      <w:lang w:bidi="ar"/>
                    </w:rPr>
                    <w:t>X</w:t>
                  </w:r>
                </w:p>
              </w:tc>
              <w:tc>
                <w:tcPr>
                  <w:tcW w:w="810" w:type="dxa"/>
                  <w:vMerge w:val="continue"/>
                  <w:noWrap w:val="0"/>
                  <w:vAlign w:val="center"/>
                </w:tcPr>
                <w:p w14:paraId="0A3FC5A4">
                  <w:pPr>
                    <w:spacing w:line="340" w:lineRule="exact"/>
                    <w:ind w:firstLine="0" w:firstLineChars="0"/>
                    <w:jc w:val="center"/>
                    <w:rPr>
                      <w:rFonts w:hint="eastAsia"/>
                      <w:color w:val="auto"/>
                      <w:sz w:val="21"/>
                      <w:szCs w:val="21"/>
                      <w:highlight w:val="none"/>
                      <w:lang w:bidi="ar"/>
                    </w:rPr>
                  </w:pPr>
                </w:p>
              </w:tc>
              <w:tc>
                <w:tcPr>
                  <w:tcW w:w="780" w:type="dxa"/>
                  <w:tcBorders>
                    <w:right w:val="single" w:color="auto" w:sz="4" w:space="0"/>
                  </w:tcBorders>
                  <w:noWrap w:val="0"/>
                  <w:vAlign w:val="center"/>
                </w:tcPr>
                <w:p w14:paraId="422F7614">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w:t>
                  </w:r>
                </w:p>
              </w:tc>
              <w:tc>
                <w:tcPr>
                  <w:tcW w:w="1200" w:type="dxa"/>
                  <w:noWrap w:val="0"/>
                  <w:vAlign w:val="center"/>
                </w:tcPr>
                <w:p w14:paraId="74785880">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w:t>
                  </w:r>
                </w:p>
              </w:tc>
              <w:tc>
                <w:tcPr>
                  <w:tcW w:w="875" w:type="dxa"/>
                  <w:noWrap w:val="0"/>
                  <w:vAlign w:val="center"/>
                </w:tcPr>
                <w:p w14:paraId="56F82812">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w:t>
                  </w:r>
                </w:p>
              </w:tc>
              <w:tc>
                <w:tcPr>
                  <w:tcW w:w="1083" w:type="dxa"/>
                  <w:noWrap w:val="0"/>
                  <w:vAlign w:val="center"/>
                </w:tcPr>
                <w:p w14:paraId="0DFF2AD2">
                  <w:pPr>
                    <w:spacing w:line="340" w:lineRule="exact"/>
                    <w:ind w:firstLine="0" w:firstLineChars="0"/>
                    <w:jc w:val="center"/>
                    <w:rPr>
                      <w:rFonts w:hint="eastAsia"/>
                      <w:color w:val="auto"/>
                      <w:sz w:val="21"/>
                      <w:szCs w:val="21"/>
                      <w:highlight w:val="none"/>
                      <w:lang w:val="en-US" w:eastAsia="zh-CN" w:bidi="ar"/>
                    </w:rPr>
                  </w:pPr>
                  <w:r>
                    <w:rPr>
                      <w:rFonts w:hint="eastAsia"/>
                      <w:color w:val="auto"/>
                      <w:sz w:val="21"/>
                      <w:szCs w:val="21"/>
                      <w:highlight w:val="none"/>
                      <w:lang w:val="en-US" w:eastAsia="zh-CN" w:bidi="ar"/>
                    </w:rPr>
                    <w:t>/</w:t>
                  </w:r>
                </w:p>
              </w:tc>
              <w:tc>
                <w:tcPr>
                  <w:tcW w:w="1115" w:type="dxa"/>
                  <w:noWrap w:val="0"/>
                  <w:vAlign w:val="center"/>
                </w:tcPr>
                <w:p w14:paraId="3DB12F98">
                  <w:pPr>
                    <w:spacing w:line="340" w:lineRule="exact"/>
                    <w:ind w:firstLine="0" w:firstLineChars="0"/>
                    <w:jc w:val="center"/>
                    <w:rPr>
                      <w:rFonts w:hint="eastAsia"/>
                      <w:color w:val="auto"/>
                      <w:sz w:val="21"/>
                      <w:szCs w:val="21"/>
                      <w:highlight w:val="none"/>
                      <w:lang w:val="en-US" w:eastAsia="zh-CN" w:bidi="ar"/>
                    </w:rPr>
                  </w:pPr>
                  <w:r>
                    <w:rPr>
                      <w:rFonts w:hint="eastAsia"/>
                      <w:color w:val="auto"/>
                      <w:sz w:val="21"/>
                      <w:szCs w:val="21"/>
                      <w:highlight w:val="none"/>
                      <w:lang w:val="en-US" w:eastAsia="zh-CN" w:bidi="ar"/>
                    </w:rPr>
                    <w:t>/</w:t>
                  </w:r>
                </w:p>
              </w:tc>
            </w:tr>
            <w:tr w14:paraId="1BE4DA5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2" w:hRule="atLeast"/>
                <w:jc w:val="center"/>
              </w:trPr>
              <w:tc>
                <w:tcPr>
                  <w:tcW w:w="1041" w:type="dxa"/>
                  <w:vMerge w:val="restart"/>
                  <w:noWrap w:val="0"/>
                  <w:vAlign w:val="center"/>
                </w:tcPr>
                <w:p w14:paraId="2FB2A2B4">
                  <w:pPr>
                    <w:spacing w:line="340" w:lineRule="exact"/>
                    <w:ind w:firstLine="0" w:firstLineChars="0"/>
                    <w:jc w:val="center"/>
                    <w:rPr>
                      <w:rFonts w:hint="eastAsia" w:eastAsia="宋体"/>
                      <w:color w:val="auto"/>
                      <w:sz w:val="21"/>
                      <w:szCs w:val="21"/>
                      <w:highlight w:val="none"/>
                      <w:lang w:val="en-US" w:eastAsia="zh-CN" w:bidi="ar"/>
                    </w:rPr>
                  </w:pPr>
                  <w:r>
                    <w:rPr>
                      <w:rFonts w:hint="eastAsia"/>
                      <w:color w:val="auto"/>
                      <w:sz w:val="21"/>
                      <w:szCs w:val="21"/>
                      <w:highlight w:val="none"/>
                      <w:lang w:val="en-US" w:eastAsia="zh-CN" w:bidi="ar"/>
                    </w:rPr>
                    <w:t>小计</w:t>
                  </w:r>
                </w:p>
              </w:tc>
              <w:tc>
                <w:tcPr>
                  <w:tcW w:w="1313" w:type="dxa"/>
                  <w:vMerge w:val="restart"/>
                  <w:noWrap w:val="0"/>
                  <w:vAlign w:val="center"/>
                </w:tcPr>
                <w:p w14:paraId="13FC8B85">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非甲烷总烃</w:t>
                  </w:r>
                </w:p>
              </w:tc>
              <w:tc>
                <w:tcPr>
                  <w:tcW w:w="810" w:type="dxa"/>
                  <w:noWrap w:val="0"/>
                  <w:vAlign w:val="center"/>
                </w:tcPr>
                <w:p w14:paraId="200A5832">
                  <w:pPr>
                    <w:spacing w:line="340" w:lineRule="exact"/>
                    <w:ind w:firstLine="0" w:firstLineChars="0"/>
                    <w:jc w:val="center"/>
                    <w:rPr>
                      <w:rFonts w:hint="eastAsia" w:eastAsia="宋体"/>
                      <w:color w:val="auto"/>
                      <w:sz w:val="21"/>
                      <w:szCs w:val="21"/>
                      <w:highlight w:val="none"/>
                      <w:lang w:val="en-US" w:eastAsia="zh-CN" w:bidi="ar"/>
                    </w:rPr>
                  </w:pPr>
                  <w:r>
                    <w:rPr>
                      <w:rFonts w:hint="eastAsia"/>
                      <w:color w:val="auto"/>
                      <w:sz w:val="21"/>
                      <w:szCs w:val="21"/>
                      <w:highlight w:val="none"/>
                      <w:lang w:val="en-US" w:eastAsia="zh-CN" w:bidi="ar"/>
                    </w:rPr>
                    <w:t>一期</w:t>
                  </w:r>
                </w:p>
              </w:tc>
              <w:tc>
                <w:tcPr>
                  <w:tcW w:w="780" w:type="dxa"/>
                  <w:tcBorders>
                    <w:right w:val="single" w:color="auto" w:sz="4" w:space="0"/>
                  </w:tcBorders>
                  <w:noWrap w:val="0"/>
                  <w:vAlign w:val="center"/>
                </w:tcPr>
                <w:p w14:paraId="7AF2E59E">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w:t>
                  </w:r>
                </w:p>
              </w:tc>
              <w:tc>
                <w:tcPr>
                  <w:tcW w:w="1200" w:type="dxa"/>
                  <w:noWrap w:val="0"/>
                  <w:vAlign w:val="center"/>
                </w:tcPr>
                <w:p w14:paraId="71992CBC">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w:t>
                  </w:r>
                </w:p>
              </w:tc>
              <w:tc>
                <w:tcPr>
                  <w:tcW w:w="875" w:type="dxa"/>
                  <w:noWrap w:val="0"/>
                  <w:vAlign w:val="center"/>
                </w:tcPr>
                <w:p w14:paraId="60D19188">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w:t>
                  </w:r>
                </w:p>
              </w:tc>
              <w:tc>
                <w:tcPr>
                  <w:tcW w:w="1083" w:type="dxa"/>
                  <w:noWrap w:val="0"/>
                  <w:vAlign w:val="center"/>
                </w:tcPr>
                <w:p w14:paraId="06085D82">
                  <w:pPr>
                    <w:spacing w:line="340" w:lineRule="exact"/>
                    <w:ind w:firstLine="0" w:firstLineChars="0"/>
                    <w:jc w:val="center"/>
                    <w:rPr>
                      <w:rFonts w:hint="default" w:eastAsia="宋体"/>
                      <w:color w:val="auto"/>
                      <w:sz w:val="21"/>
                      <w:szCs w:val="21"/>
                      <w:highlight w:val="none"/>
                      <w:lang w:val="en-US" w:eastAsia="zh-CN" w:bidi="ar"/>
                    </w:rPr>
                  </w:pPr>
                  <w:r>
                    <w:rPr>
                      <w:rFonts w:hint="eastAsia"/>
                      <w:color w:val="auto"/>
                      <w:sz w:val="21"/>
                      <w:szCs w:val="21"/>
                      <w:highlight w:val="none"/>
                      <w:lang w:val="en-US" w:eastAsia="zh-CN" w:bidi="ar"/>
                    </w:rPr>
                    <w:t>0.0034t/a</w:t>
                  </w:r>
                </w:p>
              </w:tc>
              <w:tc>
                <w:tcPr>
                  <w:tcW w:w="1115" w:type="dxa"/>
                  <w:noWrap w:val="0"/>
                  <w:vAlign w:val="center"/>
                </w:tcPr>
                <w:p w14:paraId="52FF0FF4">
                  <w:pPr>
                    <w:spacing w:line="340" w:lineRule="exact"/>
                    <w:ind w:firstLine="0" w:firstLineChars="0"/>
                    <w:jc w:val="center"/>
                    <w:rPr>
                      <w:rFonts w:hint="eastAsia" w:eastAsia="宋体"/>
                      <w:color w:val="auto"/>
                      <w:sz w:val="21"/>
                      <w:szCs w:val="21"/>
                      <w:highlight w:val="none"/>
                      <w:lang w:val="en-US" w:eastAsia="zh-CN" w:bidi="ar"/>
                    </w:rPr>
                  </w:pPr>
                  <w:r>
                    <w:rPr>
                      <w:rFonts w:hint="eastAsia"/>
                      <w:color w:val="auto"/>
                      <w:sz w:val="21"/>
                      <w:szCs w:val="21"/>
                      <w:highlight w:val="none"/>
                      <w:lang w:val="en-US" w:eastAsia="zh-CN" w:bidi="ar"/>
                    </w:rPr>
                    <w:t>0.0034t/a</w:t>
                  </w:r>
                </w:p>
              </w:tc>
            </w:tr>
            <w:tr w14:paraId="40BEEFC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2" w:hRule="atLeast"/>
                <w:jc w:val="center"/>
              </w:trPr>
              <w:tc>
                <w:tcPr>
                  <w:tcW w:w="1041" w:type="dxa"/>
                  <w:vMerge w:val="continue"/>
                  <w:noWrap w:val="0"/>
                  <w:vAlign w:val="center"/>
                </w:tcPr>
                <w:p w14:paraId="3D4BBB6B">
                  <w:pPr>
                    <w:spacing w:line="340" w:lineRule="exact"/>
                    <w:ind w:firstLine="0" w:firstLineChars="0"/>
                    <w:jc w:val="center"/>
                    <w:rPr>
                      <w:color w:val="auto"/>
                      <w:highlight w:val="none"/>
                    </w:rPr>
                  </w:pPr>
                </w:p>
              </w:tc>
              <w:tc>
                <w:tcPr>
                  <w:tcW w:w="1313" w:type="dxa"/>
                  <w:vMerge w:val="continue"/>
                  <w:noWrap w:val="0"/>
                  <w:vAlign w:val="center"/>
                </w:tcPr>
                <w:p w14:paraId="1F12AA5A">
                  <w:pPr>
                    <w:spacing w:line="340" w:lineRule="exact"/>
                    <w:ind w:firstLine="0" w:firstLineChars="0"/>
                    <w:jc w:val="center"/>
                    <w:rPr>
                      <w:color w:val="auto"/>
                      <w:highlight w:val="none"/>
                    </w:rPr>
                  </w:pPr>
                </w:p>
              </w:tc>
              <w:tc>
                <w:tcPr>
                  <w:tcW w:w="810" w:type="dxa"/>
                  <w:noWrap w:val="0"/>
                  <w:vAlign w:val="center"/>
                </w:tcPr>
                <w:p w14:paraId="4EF8201E">
                  <w:pPr>
                    <w:spacing w:line="340" w:lineRule="exact"/>
                    <w:ind w:firstLine="0" w:firstLineChars="0"/>
                    <w:jc w:val="center"/>
                    <w:rPr>
                      <w:rFonts w:hint="eastAsia" w:eastAsia="宋体"/>
                      <w:color w:val="auto"/>
                      <w:sz w:val="21"/>
                      <w:szCs w:val="21"/>
                      <w:highlight w:val="none"/>
                      <w:lang w:val="en-US" w:eastAsia="zh-CN" w:bidi="ar"/>
                    </w:rPr>
                  </w:pPr>
                  <w:r>
                    <w:rPr>
                      <w:rFonts w:hint="eastAsia"/>
                      <w:color w:val="auto"/>
                      <w:sz w:val="21"/>
                      <w:szCs w:val="21"/>
                      <w:highlight w:val="none"/>
                      <w:lang w:val="en-US" w:eastAsia="zh-CN" w:bidi="ar"/>
                    </w:rPr>
                    <w:t>二期</w:t>
                  </w:r>
                </w:p>
              </w:tc>
              <w:tc>
                <w:tcPr>
                  <w:tcW w:w="780" w:type="dxa"/>
                  <w:tcBorders>
                    <w:right w:val="single" w:color="auto" w:sz="4" w:space="0"/>
                  </w:tcBorders>
                  <w:noWrap w:val="0"/>
                  <w:vAlign w:val="center"/>
                </w:tcPr>
                <w:p w14:paraId="6E20A72F">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w:t>
                  </w:r>
                </w:p>
              </w:tc>
              <w:tc>
                <w:tcPr>
                  <w:tcW w:w="1200" w:type="dxa"/>
                  <w:noWrap w:val="0"/>
                  <w:vAlign w:val="center"/>
                </w:tcPr>
                <w:p w14:paraId="6984379C">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w:t>
                  </w:r>
                </w:p>
              </w:tc>
              <w:tc>
                <w:tcPr>
                  <w:tcW w:w="875" w:type="dxa"/>
                  <w:noWrap w:val="0"/>
                  <w:vAlign w:val="center"/>
                </w:tcPr>
                <w:p w14:paraId="0A2D25A4">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w:t>
                  </w:r>
                </w:p>
              </w:tc>
              <w:tc>
                <w:tcPr>
                  <w:tcW w:w="1083" w:type="dxa"/>
                  <w:noWrap w:val="0"/>
                  <w:vAlign w:val="center"/>
                </w:tcPr>
                <w:p w14:paraId="56C7A75B">
                  <w:pPr>
                    <w:spacing w:line="340" w:lineRule="exact"/>
                    <w:ind w:firstLine="0" w:firstLineChars="0"/>
                    <w:jc w:val="center"/>
                    <w:rPr>
                      <w:rFonts w:hint="default" w:eastAsia="宋体"/>
                      <w:color w:val="auto"/>
                      <w:sz w:val="21"/>
                      <w:szCs w:val="21"/>
                      <w:highlight w:val="none"/>
                      <w:lang w:val="en-US" w:eastAsia="zh-CN" w:bidi="ar"/>
                    </w:rPr>
                  </w:pPr>
                  <w:r>
                    <w:rPr>
                      <w:rFonts w:hint="eastAsia"/>
                      <w:color w:val="auto"/>
                      <w:sz w:val="21"/>
                      <w:szCs w:val="21"/>
                      <w:highlight w:val="none"/>
                      <w:lang w:val="en-US" w:eastAsia="zh-CN" w:bidi="ar"/>
                    </w:rPr>
                    <w:t>0.0069t/a</w:t>
                  </w:r>
                </w:p>
              </w:tc>
              <w:tc>
                <w:tcPr>
                  <w:tcW w:w="1115" w:type="dxa"/>
                  <w:noWrap w:val="0"/>
                  <w:vAlign w:val="center"/>
                </w:tcPr>
                <w:p w14:paraId="4B6531E2">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val="en-US" w:eastAsia="zh-CN" w:bidi="ar"/>
                    </w:rPr>
                    <w:t>0.0069t/a</w:t>
                  </w:r>
                </w:p>
              </w:tc>
            </w:tr>
            <w:tr w14:paraId="4BD346F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2" w:hRule="atLeast"/>
                <w:jc w:val="center"/>
              </w:trPr>
              <w:tc>
                <w:tcPr>
                  <w:tcW w:w="1041" w:type="dxa"/>
                  <w:vMerge w:val="continue"/>
                  <w:noWrap w:val="0"/>
                  <w:vAlign w:val="center"/>
                </w:tcPr>
                <w:p w14:paraId="7FE6A2B8">
                  <w:pPr>
                    <w:spacing w:line="340" w:lineRule="exact"/>
                    <w:ind w:firstLine="0" w:firstLineChars="0"/>
                    <w:jc w:val="center"/>
                    <w:rPr>
                      <w:rFonts w:hint="eastAsia"/>
                      <w:color w:val="auto"/>
                      <w:sz w:val="21"/>
                      <w:szCs w:val="21"/>
                      <w:highlight w:val="none"/>
                      <w:lang w:bidi="ar"/>
                    </w:rPr>
                  </w:pPr>
                </w:p>
              </w:tc>
              <w:tc>
                <w:tcPr>
                  <w:tcW w:w="1313" w:type="dxa"/>
                  <w:vMerge w:val="restart"/>
                  <w:noWrap w:val="0"/>
                  <w:vAlign w:val="center"/>
                </w:tcPr>
                <w:p w14:paraId="124993CC">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SO</w:t>
                  </w:r>
                  <w:r>
                    <w:rPr>
                      <w:rFonts w:hint="eastAsia"/>
                      <w:color w:val="auto"/>
                      <w:sz w:val="21"/>
                      <w:szCs w:val="21"/>
                      <w:highlight w:val="none"/>
                      <w:vertAlign w:val="subscript"/>
                      <w:lang w:bidi="ar"/>
                    </w:rPr>
                    <w:t>2</w:t>
                  </w:r>
                </w:p>
              </w:tc>
              <w:tc>
                <w:tcPr>
                  <w:tcW w:w="810" w:type="dxa"/>
                  <w:noWrap w:val="0"/>
                  <w:vAlign w:val="center"/>
                </w:tcPr>
                <w:p w14:paraId="478E3E29">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val="en-US" w:eastAsia="zh-CN" w:bidi="ar"/>
                    </w:rPr>
                    <w:t>一期</w:t>
                  </w:r>
                </w:p>
              </w:tc>
              <w:tc>
                <w:tcPr>
                  <w:tcW w:w="780" w:type="dxa"/>
                  <w:tcBorders>
                    <w:right w:val="single" w:color="auto" w:sz="4" w:space="0"/>
                  </w:tcBorders>
                  <w:noWrap w:val="0"/>
                  <w:vAlign w:val="center"/>
                </w:tcPr>
                <w:p w14:paraId="3768ABFE">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w:t>
                  </w:r>
                </w:p>
              </w:tc>
              <w:tc>
                <w:tcPr>
                  <w:tcW w:w="1200" w:type="dxa"/>
                  <w:noWrap w:val="0"/>
                  <w:vAlign w:val="center"/>
                </w:tcPr>
                <w:p w14:paraId="1989CCE0">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w:t>
                  </w:r>
                </w:p>
              </w:tc>
              <w:tc>
                <w:tcPr>
                  <w:tcW w:w="875" w:type="dxa"/>
                  <w:noWrap w:val="0"/>
                  <w:vAlign w:val="center"/>
                </w:tcPr>
                <w:p w14:paraId="064B2BF3">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w:t>
                  </w:r>
                </w:p>
              </w:tc>
              <w:tc>
                <w:tcPr>
                  <w:tcW w:w="1083" w:type="dxa"/>
                  <w:noWrap w:val="0"/>
                  <w:vAlign w:val="center"/>
                </w:tcPr>
                <w:p w14:paraId="41FFD4A9">
                  <w:pPr>
                    <w:spacing w:line="340" w:lineRule="exact"/>
                    <w:ind w:firstLine="0" w:firstLineChars="0"/>
                    <w:jc w:val="center"/>
                    <w:rPr>
                      <w:rFonts w:hint="default" w:eastAsia="宋体"/>
                      <w:color w:val="auto"/>
                      <w:sz w:val="21"/>
                      <w:szCs w:val="21"/>
                      <w:highlight w:val="none"/>
                      <w:lang w:val="en-US" w:eastAsia="zh-CN" w:bidi="ar"/>
                    </w:rPr>
                  </w:pPr>
                  <w:r>
                    <w:rPr>
                      <w:rFonts w:hint="eastAsia"/>
                      <w:color w:val="auto"/>
                      <w:sz w:val="21"/>
                      <w:szCs w:val="21"/>
                      <w:highlight w:val="none"/>
                      <w:lang w:val="en-US" w:eastAsia="zh-CN" w:bidi="ar"/>
                    </w:rPr>
                    <w:t>0.071t/a</w:t>
                  </w:r>
                </w:p>
              </w:tc>
              <w:tc>
                <w:tcPr>
                  <w:tcW w:w="1115" w:type="dxa"/>
                  <w:noWrap w:val="0"/>
                  <w:vAlign w:val="center"/>
                </w:tcPr>
                <w:p w14:paraId="0D0BEDC0">
                  <w:pPr>
                    <w:spacing w:line="340" w:lineRule="exact"/>
                    <w:ind w:firstLine="0" w:firstLineChars="0"/>
                    <w:jc w:val="center"/>
                    <w:rPr>
                      <w:rFonts w:hint="eastAsia" w:eastAsia="宋体"/>
                      <w:color w:val="auto"/>
                      <w:sz w:val="21"/>
                      <w:szCs w:val="21"/>
                      <w:highlight w:val="none"/>
                      <w:lang w:val="en-US" w:eastAsia="zh-CN" w:bidi="ar"/>
                    </w:rPr>
                  </w:pPr>
                  <w:r>
                    <w:rPr>
                      <w:rFonts w:hint="eastAsia"/>
                      <w:color w:val="auto"/>
                      <w:sz w:val="21"/>
                      <w:szCs w:val="21"/>
                      <w:highlight w:val="none"/>
                      <w:lang w:val="en-US" w:eastAsia="zh-CN" w:bidi="ar"/>
                    </w:rPr>
                    <w:t>0.071t/a</w:t>
                  </w:r>
                </w:p>
              </w:tc>
            </w:tr>
            <w:tr w14:paraId="1A9D6C4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2" w:hRule="atLeast"/>
                <w:jc w:val="center"/>
              </w:trPr>
              <w:tc>
                <w:tcPr>
                  <w:tcW w:w="1041" w:type="dxa"/>
                  <w:vMerge w:val="continue"/>
                  <w:noWrap w:val="0"/>
                  <w:vAlign w:val="center"/>
                </w:tcPr>
                <w:p w14:paraId="21510CFE">
                  <w:pPr>
                    <w:spacing w:line="340" w:lineRule="exact"/>
                    <w:ind w:firstLine="0" w:firstLineChars="0"/>
                    <w:jc w:val="center"/>
                    <w:rPr>
                      <w:rFonts w:hint="eastAsia"/>
                      <w:color w:val="auto"/>
                      <w:sz w:val="21"/>
                      <w:szCs w:val="21"/>
                      <w:highlight w:val="none"/>
                      <w:lang w:bidi="ar"/>
                    </w:rPr>
                  </w:pPr>
                </w:p>
              </w:tc>
              <w:tc>
                <w:tcPr>
                  <w:tcW w:w="1313" w:type="dxa"/>
                  <w:vMerge w:val="continue"/>
                  <w:noWrap w:val="0"/>
                  <w:vAlign w:val="center"/>
                </w:tcPr>
                <w:p w14:paraId="469B3856">
                  <w:pPr>
                    <w:spacing w:line="340" w:lineRule="exact"/>
                    <w:ind w:firstLine="0" w:firstLineChars="0"/>
                    <w:jc w:val="center"/>
                    <w:rPr>
                      <w:rFonts w:hint="eastAsia"/>
                      <w:color w:val="auto"/>
                      <w:sz w:val="21"/>
                      <w:szCs w:val="21"/>
                      <w:highlight w:val="none"/>
                      <w:lang w:bidi="ar"/>
                    </w:rPr>
                  </w:pPr>
                </w:p>
              </w:tc>
              <w:tc>
                <w:tcPr>
                  <w:tcW w:w="810" w:type="dxa"/>
                  <w:noWrap w:val="0"/>
                  <w:vAlign w:val="center"/>
                </w:tcPr>
                <w:p w14:paraId="219A1EB4">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val="en-US" w:eastAsia="zh-CN" w:bidi="ar"/>
                    </w:rPr>
                    <w:t>二期</w:t>
                  </w:r>
                </w:p>
              </w:tc>
              <w:tc>
                <w:tcPr>
                  <w:tcW w:w="780" w:type="dxa"/>
                  <w:tcBorders>
                    <w:right w:val="single" w:color="auto" w:sz="4" w:space="0"/>
                  </w:tcBorders>
                  <w:noWrap w:val="0"/>
                  <w:vAlign w:val="center"/>
                </w:tcPr>
                <w:p w14:paraId="23DF0065">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w:t>
                  </w:r>
                </w:p>
              </w:tc>
              <w:tc>
                <w:tcPr>
                  <w:tcW w:w="1200" w:type="dxa"/>
                  <w:noWrap w:val="0"/>
                  <w:vAlign w:val="center"/>
                </w:tcPr>
                <w:p w14:paraId="05849740">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w:t>
                  </w:r>
                </w:p>
              </w:tc>
              <w:tc>
                <w:tcPr>
                  <w:tcW w:w="875" w:type="dxa"/>
                  <w:noWrap w:val="0"/>
                  <w:vAlign w:val="center"/>
                </w:tcPr>
                <w:p w14:paraId="1284959E">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w:t>
                  </w:r>
                </w:p>
              </w:tc>
              <w:tc>
                <w:tcPr>
                  <w:tcW w:w="1083" w:type="dxa"/>
                  <w:noWrap w:val="0"/>
                  <w:vAlign w:val="center"/>
                </w:tcPr>
                <w:p w14:paraId="2AF3E1FB">
                  <w:pPr>
                    <w:spacing w:line="340" w:lineRule="exact"/>
                    <w:ind w:firstLine="0" w:firstLineChars="0"/>
                    <w:jc w:val="center"/>
                    <w:rPr>
                      <w:rFonts w:hint="default" w:eastAsia="宋体"/>
                      <w:color w:val="auto"/>
                      <w:sz w:val="21"/>
                      <w:szCs w:val="21"/>
                      <w:highlight w:val="none"/>
                      <w:lang w:val="en-US" w:eastAsia="zh-CN" w:bidi="ar"/>
                    </w:rPr>
                  </w:pPr>
                  <w:r>
                    <w:rPr>
                      <w:rFonts w:hint="eastAsia"/>
                      <w:color w:val="auto"/>
                      <w:sz w:val="21"/>
                      <w:szCs w:val="21"/>
                      <w:highlight w:val="none"/>
                      <w:lang w:val="en-US" w:eastAsia="zh-CN" w:bidi="ar"/>
                    </w:rPr>
                    <w:t>0.142t/a</w:t>
                  </w:r>
                </w:p>
              </w:tc>
              <w:tc>
                <w:tcPr>
                  <w:tcW w:w="1115" w:type="dxa"/>
                  <w:noWrap w:val="0"/>
                  <w:vAlign w:val="center"/>
                </w:tcPr>
                <w:p w14:paraId="1E56CE57">
                  <w:pPr>
                    <w:spacing w:line="340" w:lineRule="exact"/>
                    <w:ind w:firstLine="0" w:firstLineChars="0"/>
                    <w:jc w:val="center"/>
                    <w:rPr>
                      <w:rFonts w:hint="eastAsia" w:eastAsia="宋体"/>
                      <w:color w:val="auto"/>
                      <w:sz w:val="21"/>
                      <w:szCs w:val="21"/>
                      <w:highlight w:val="none"/>
                      <w:lang w:val="en-US" w:eastAsia="zh-CN" w:bidi="ar"/>
                    </w:rPr>
                  </w:pPr>
                  <w:r>
                    <w:rPr>
                      <w:rFonts w:hint="eastAsia"/>
                      <w:color w:val="auto"/>
                      <w:sz w:val="21"/>
                      <w:szCs w:val="21"/>
                      <w:highlight w:val="none"/>
                      <w:lang w:val="en-US" w:eastAsia="zh-CN" w:bidi="ar"/>
                    </w:rPr>
                    <w:t>0.142t/a</w:t>
                  </w:r>
                </w:p>
              </w:tc>
            </w:tr>
            <w:tr w14:paraId="2A8334D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2" w:hRule="atLeast"/>
                <w:jc w:val="center"/>
              </w:trPr>
              <w:tc>
                <w:tcPr>
                  <w:tcW w:w="1041" w:type="dxa"/>
                  <w:vMerge w:val="continue"/>
                  <w:noWrap w:val="0"/>
                  <w:vAlign w:val="center"/>
                </w:tcPr>
                <w:p w14:paraId="756925C8">
                  <w:pPr>
                    <w:spacing w:line="340" w:lineRule="exact"/>
                    <w:ind w:firstLine="0" w:firstLineChars="0"/>
                    <w:jc w:val="center"/>
                    <w:rPr>
                      <w:rFonts w:hint="eastAsia"/>
                      <w:color w:val="auto"/>
                      <w:sz w:val="21"/>
                      <w:szCs w:val="21"/>
                      <w:highlight w:val="none"/>
                      <w:lang w:bidi="ar"/>
                    </w:rPr>
                  </w:pPr>
                </w:p>
              </w:tc>
              <w:tc>
                <w:tcPr>
                  <w:tcW w:w="1313" w:type="dxa"/>
                  <w:vMerge w:val="restart"/>
                  <w:noWrap w:val="0"/>
                  <w:vAlign w:val="center"/>
                </w:tcPr>
                <w:p w14:paraId="3470A998">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NO</w:t>
                  </w:r>
                  <w:r>
                    <w:rPr>
                      <w:rFonts w:hint="eastAsia"/>
                      <w:color w:val="auto"/>
                      <w:sz w:val="21"/>
                      <w:szCs w:val="21"/>
                      <w:highlight w:val="none"/>
                      <w:vertAlign w:val="subscript"/>
                      <w:lang w:bidi="ar"/>
                    </w:rPr>
                    <w:t>X</w:t>
                  </w:r>
                </w:p>
              </w:tc>
              <w:tc>
                <w:tcPr>
                  <w:tcW w:w="810" w:type="dxa"/>
                  <w:noWrap w:val="0"/>
                  <w:vAlign w:val="center"/>
                </w:tcPr>
                <w:p w14:paraId="6891B935">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val="en-US" w:eastAsia="zh-CN" w:bidi="ar"/>
                    </w:rPr>
                    <w:t>一期</w:t>
                  </w:r>
                </w:p>
              </w:tc>
              <w:tc>
                <w:tcPr>
                  <w:tcW w:w="780" w:type="dxa"/>
                  <w:tcBorders>
                    <w:right w:val="single" w:color="auto" w:sz="4" w:space="0"/>
                  </w:tcBorders>
                  <w:noWrap w:val="0"/>
                  <w:vAlign w:val="center"/>
                </w:tcPr>
                <w:p w14:paraId="2B62A589">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w:t>
                  </w:r>
                </w:p>
              </w:tc>
              <w:tc>
                <w:tcPr>
                  <w:tcW w:w="1200" w:type="dxa"/>
                  <w:noWrap w:val="0"/>
                  <w:vAlign w:val="center"/>
                </w:tcPr>
                <w:p w14:paraId="06C79624">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w:t>
                  </w:r>
                </w:p>
              </w:tc>
              <w:tc>
                <w:tcPr>
                  <w:tcW w:w="875" w:type="dxa"/>
                  <w:noWrap w:val="0"/>
                  <w:vAlign w:val="center"/>
                </w:tcPr>
                <w:p w14:paraId="0B38494D">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w:t>
                  </w:r>
                </w:p>
              </w:tc>
              <w:tc>
                <w:tcPr>
                  <w:tcW w:w="1083" w:type="dxa"/>
                  <w:noWrap w:val="0"/>
                  <w:vAlign w:val="center"/>
                </w:tcPr>
                <w:p w14:paraId="36A5C5E8">
                  <w:pPr>
                    <w:spacing w:line="340" w:lineRule="exact"/>
                    <w:ind w:firstLine="0" w:firstLineChars="0"/>
                    <w:jc w:val="center"/>
                    <w:rPr>
                      <w:rFonts w:hint="default" w:eastAsia="宋体"/>
                      <w:color w:val="auto"/>
                      <w:sz w:val="21"/>
                      <w:szCs w:val="21"/>
                      <w:highlight w:val="none"/>
                      <w:lang w:val="en-US" w:eastAsia="zh-CN" w:bidi="ar"/>
                    </w:rPr>
                  </w:pPr>
                  <w:r>
                    <w:rPr>
                      <w:rFonts w:hint="eastAsia"/>
                      <w:color w:val="auto"/>
                      <w:sz w:val="21"/>
                      <w:szCs w:val="21"/>
                      <w:highlight w:val="none"/>
                      <w:lang w:val="en-US" w:eastAsia="zh-CN" w:bidi="ar"/>
                    </w:rPr>
                    <w:t>0.942t/a</w:t>
                  </w:r>
                </w:p>
              </w:tc>
              <w:tc>
                <w:tcPr>
                  <w:tcW w:w="1115" w:type="dxa"/>
                  <w:noWrap w:val="0"/>
                  <w:vAlign w:val="center"/>
                </w:tcPr>
                <w:p w14:paraId="484BED1A">
                  <w:pPr>
                    <w:spacing w:line="340" w:lineRule="exact"/>
                    <w:ind w:firstLine="0" w:firstLineChars="0"/>
                    <w:jc w:val="center"/>
                    <w:rPr>
                      <w:rFonts w:hint="eastAsia" w:eastAsia="宋体"/>
                      <w:color w:val="auto"/>
                      <w:sz w:val="21"/>
                      <w:szCs w:val="21"/>
                      <w:highlight w:val="none"/>
                      <w:lang w:val="en-US" w:eastAsia="zh-CN" w:bidi="ar"/>
                    </w:rPr>
                  </w:pPr>
                  <w:r>
                    <w:rPr>
                      <w:rFonts w:hint="eastAsia"/>
                      <w:color w:val="auto"/>
                      <w:sz w:val="21"/>
                      <w:szCs w:val="21"/>
                      <w:highlight w:val="none"/>
                      <w:lang w:val="en-US" w:eastAsia="zh-CN" w:bidi="ar"/>
                    </w:rPr>
                    <w:t>0.942t/a</w:t>
                  </w:r>
                </w:p>
              </w:tc>
            </w:tr>
            <w:tr w14:paraId="6DB1013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2" w:hRule="atLeast"/>
                <w:jc w:val="center"/>
              </w:trPr>
              <w:tc>
                <w:tcPr>
                  <w:tcW w:w="1041" w:type="dxa"/>
                  <w:vMerge w:val="continue"/>
                  <w:noWrap w:val="0"/>
                  <w:vAlign w:val="center"/>
                </w:tcPr>
                <w:p w14:paraId="2E3523C8">
                  <w:pPr>
                    <w:spacing w:line="340" w:lineRule="exact"/>
                    <w:ind w:firstLine="0" w:firstLineChars="0"/>
                    <w:jc w:val="center"/>
                    <w:rPr>
                      <w:rFonts w:hint="eastAsia"/>
                      <w:color w:val="auto"/>
                      <w:sz w:val="21"/>
                      <w:szCs w:val="21"/>
                      <w:highlight w:val="none"/>
                      <w:lang w:bidi="ar"/>
                    </w:rPr>
                  </w:pPr>
                </w:p>
              </w:tc>
              <w:tc>
                <w:tcPr>
                  <w:tcW w:w="1313" w:type="dxa"/>
                  <w:vMerge w:val="continue"/>
                  <w:noWrap w:val="0"/>
                  <w:vAlign w:val="center"/>
                </w:tcPr>
                <w:p w14:paraId="56798A40">
                  <w:pPr>
                    <w:spacing w:line="340" w:lineRule="exact"/>
                    <w:ind w:firstLine="0" w:firstLineChars="0"/>
                    <w:jc w:val="center"/>
                    <w:rPr>
                      <w:rFonts w:hint="eastAsia"/>
                      <w:color w:val="auto"/>
                      <w:sz w:val="21"/>
                      <w:szCs w:val="21"/>
                      <w:highlight w:val="none"/>
                      <w:lang w:bidi="ar"/>
                    </w:rPr>
                  </w:pPr>
                </w:p>
              </w:tc>
              <w:tc>
                <w:tcPr>
                  <w:tcW w:w="810" w:type="dxa"/>
                  <w:noWrap w:val="0"/>
                  <w:vAlign w:val="center"/>
                </w:tcPr>
                <w:p w14:paraId="0FDB8A01">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val="en-US" w:eastAsia="zh-CN" w:bidi="ar"/>
                    </w:rPr>
                    <w:t>二期</w:t>
                  </w:r>
                </w:p>
              </w:tc>
              <w:tc>
                <w:tcPr>
                  <w:tcW w:w="780" w:type="dxa"/>
                  <w:tcBorders>
                    <w:right w:val="single" w:color="auto" w:sz="4" w:space="0"/>
                  </w:tcBorders>
                  <w:noWrap w:val="0"/>
                  <w:vAlign w:val="center"/>
                </w:tcPr>
                <w:p w14:paraId="6F46F2E3">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w:t>
                  </w:r>
                </w:p>
              </w:tc>
              <w:tc>
                <w:tcPr>
                  <w:tcW w:w="1200" w:type="dxa"/>
                  <w:noWrap w:val="0"/>
                  <w:vAlign w:val="center"/>
                </w:tcPr>
                <w:p w14:paraId="1CB65E39">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w:t>
                  </w:r>
                </w:p>
              </w:tc>
              <w:tc>
                <w:tcPr>
                  <w:tcW w:w="875" w:type="dxa"/>
                  <w:noWrap w:val="0"/>
                  <w:vAlign w:val="center"/>
                </w:tcPr>
                <w:p w14:paraId="09756521">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w:t>
                  </w:r>
                </w:p>
              </w:tc>
              <w:tc>
                <w:tcPr>
                  <w:tcW w:w="1083" w:type="dxa"/>
                  <w:noWrap w:val="0"/>
                  <w:vAlign w:val="center"/>
                </w:tcPr>
                <w:p w14:paraId="1FA7EF2D">
                  <w:pPr>
                    <w:spacing w:line="340" w:lineRule="exact"/>
                    <w:ind w:firstLine="0" w:firstLineChars="0"/>
                    <w:jc w:val="center"/>
                    <w:rPr>
                      <w:rFonts w:hint="default" w:eastAsia="宋体"/>
                      <w:color w:val="auto"/>
                      <w:sz w:val="21"/>
                      <w:szCs w:val="21"/>
                      <w:highlight w:val="none"/>
                      <w:lang w:val="en-US" w:eastAsia="zh-CN" w:bidi="ar"/>
                    </w:rPr>
                  </w:pPr>
                  <w:r>
                    <w:rPr>
                      <w:rFonts w:hint="eastAsia"/>
                      <w:color w:val="auto"/>
                      <w:sz w:val="21"/>
                      <w:szCs w:val="21"/>
                      <w:highlight w:val="none"/>
                      <w:lang w:val="en-US" w:eastAsia="zh-CN" w:bidi="ar"/>
                    </w:rPr>
                    <w:t>1.884t/a</w:t>
                  </w:r>
                </w:p>
              </w:tc>
              <w:tc>
                <w:tcPr>
                  <w:tcW w:w="1115" w:type="dxa"/>
                  <w:noWrap w:val="0"/>
                  <w:vAlign w:val="center"/>
                </w:tcPr>
                <w:p w14:paraId="0FB02BBC">
                  <w:pPr>
                    <w:spacing w:line="340" w:lineRule="exact"/>
                    <w:ind w:firstLine="0" w:firstLineChars="0"/>
                    <w:jc w:val="center"/>
                    <w:rPr>
                      <w:rFonts w:hint="eastAsia" w:eastAsia="宋体"/>
                      <w:color w:val="auto"/>
                      <w:sz w:val="21"/>
                      <w:szCs w:val="21"/>
                      <w:highlight w:val="none"/>
                      <w:lang w:val="en-US" w:eastAsia="zh-CN" w:bidi="ar"/>
                    </w:rPr>
                  </w:pPr>
                  <w:r>
                    <w:rPr>
                      <w:rFonts w:hint="eastAsia"/>
                      <w:color w:val="auto"/>
                      <w:sz w:val="21"/>
                      <w:szCs w:val="21"/>
                      <w:highlight w:val="none"/>
                      <w:lang w:val="en-US" w:eastAsia="zh-CN" w:bidi="ar"/>
                    </w:rPr>
                    <w:t>1.884t/a</w:t>
                  </w:r>
                </w:p>
              </w:tc>
            </w:tr>
            <w:tr w14:paraId="46CEB7F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2" w:hRule="atLeast"/>
                <w:jc w:val="center"/>
              </w:trPr>
              <w:tc>
                <w:tcPr>
                  <w:tcW w:w="1041" w:type="dxa"/>
                  <w:vMerge w:val="restart"/>
                  <w:noWrap w:val="0"/>
                  <w:vAlign w:val="center"/>
                </w:tcPr>
                <w:p w14:paraId="2CAA2B41">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合计</w:t>
                  </w:r>
                </w:p>
              </w:tc>
              <w:tc>
                <w:tcPr>
                  <w:tcW w:w="2123" w:type="dxa"/>
                  <w:gridSpan w:val="2"/>
                  <w:noWrap w:val="0"/>
                  <w:vAlign w:val="center"/>
                </w:tcPr>
                <w:p w14:paraId="4BADDEC3">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非甲烷总烃</w:t>
                  </w:r>
                </w:p>
              </w:tc>
              <w:tc>
                <w:tcPr>
                  <w:tcW w:w="780" w:type="dxa"/>
                  <w:tcBorders>
                    <w:right w:val="single" w:color="auto" w:sz="4" w:space="0"/>
                  </w:tcBorders>
                  <w:noWrap w:val="0"/>
                  <w:vAlign w:val="center"/>
                </w:tcPr>
                <w:p w14:paraId="27BADC5B">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w:t>
                  </w:r>
                </w:p>
              </w:tc>
              <w:tc>
                <w:tcPr>
                  <w:tcW w:w="1200" w:type="dxa"/>
                  <w:noWrap w:val="0"/>
                  <w:vAlign w:val="center"/>
                </w:tcPr>
                <w:p w14:paraId="01E90A54">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w:t>
                  </w:r>
                </w:p>
              </w:tc>
              <w:tc>
                <w:tcPr>
                  <w:tcW w:w="875" w:type="dxa"/>
                  <w:noWrap w:val="0"/>
                  <w:vAlign w:val="center"/>
                </w:tcPr>
                <w:p w14:paraId="714E8192">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w:t>
                  </w:r>
                </w:p>
              </w:tc>
              <w:tc>
                <w:tcPr>
                  <w:tcW w:w="1083" w:type="dxa"/>
                  <w:noWrap w:val="0"/>
                  <w:vAlign w:val="center"/>
                </w:tcPr>
                <w:p w14:paraId="1CE3D86C">
                  <w:pPr>
                    <w:spacing w:line="340" w:lineRule="exact"/>
                    <w:ind w:firstLine="0" w:firstLineChars="0"/>
                    <w:jc w:val="center"/>
                    <w:rPr>
                      <w:rFonts w:hint="default" w:eastAsia="宋体"/>
                      <w:color w:val="auto"/>
                      <w:sz w:val="21"/>
                      <w:szCs w:val="21"/>
                      <w:highlight w:val="none"/>
                      <w:lang w:val="en-US" w:eastAsia="zh-CN" w:bidi="ar"/>
                    </w:rPr>
                  </w:pPr>
                  <w:r>
                    <w:rPr>
                      <w:rFonts w:hint="eastAsia" w:eastAsia="宋体"/>
                      <w:color w:val="auto"/>
                      <w:sz w:val="21"/>
                      <w:szCs w:val="21"/>
                      <w:highlight w:val="none"/>
                      <w:lang w:val="en-US" w:eastAsia="zh-CN" w:bidi="ar"/>
                    </w:rPr>
                    <w:t>0.0</w:t>
                  </w:r>
                  <w:r>
                    <w:rPr>
                      <w:rFonts w:hint="eastAsia"/>
                      <w:color w:val="auto"/>
                      <w:sz w:val="21"/>
                      <w:szCs w:val="21"/>
                      <w:highlight w:val="none"/>
                      <w:lang w:val="en-US" w:eastAsia="zh-CN" w:bidi="ar"/>
                    </w:rPr>
                    <w:t>103</w:t>
                  </w:r>
                  <w:r>
                    <w:rPr>
                      <w:rFonts w:hint="eastAsia"/>
                      <w:color w:val="auto"/>
                      <w:sz w:val="21"/>
                      <w:szCs w:val="21"/>
                      <w:highlight w:val="none"/>
                      <w:lang w:bidi="ar"/>
                    </w:rPr>
                    <w:t>t/a</w:t>
                  </w:r>
                </w:p>
              </w:tc>
              <w:tc>
                <w:tcPr>
                  <w:tcW w:w="1115" w:type="dxa"/>
                  <w:noWrap w:val="0"/>
                  <w:vAlign w:val="center"/>
                </w:tcPr>
                <w:p w14:paraId="65A93B52">
                  <w:pPr>
                    <w:spacing w:line="340" w:lineRule="exact"/>
                    <w:ind w:firstLine="0" w:firstLineChars="0"/>
                    <w:jc w:val="center"/>
                    <w:rPr>
                      <w:rFonts w:hint="default" w:eastAsia="宋体"/>
                      <w:color w:val="auto"/>
                      <w:sz w:val="21"/>
                      <w:szCs w:val="21"/>
                      <w:highlight w:val="none"/>
                      <w:lang w:val="en-US" w:eastAsia="zh-CN" w:bidi="ar"/>
                    </w:rPr>
                  </w:pPr>
                  <w:r>
                    <w:rPr>
                      <w:rFonts w:hint="eastAsia" w:eastAsia="宋体"/>
                      <w:color w:val="auto"/>
                      <w:sz w:val="21"/>
                      <w:szCs w:val="21"/>
                      <w:highlight w:val="none"/>
                      <w:lang w:val="en-US" w:eastAsia="zh-CN" w:bidi="ar"/>
                    </w:rPr>
                    <w:t>0.0</w:t>
                  </w:r>
                  <w:r>
                    <w:rPr>
                      <w:rFonts w:hint="eastAsia"/>
                      <w:color w:val="auto"/>
                      <w:sz w:val="21"/>
                      <w:szCs w:val="21"/>
                      <w:highlight w:val="none"/>
                      <w:lang w:val="en-US" w:eastAsia="zh-CN" w:bidi="ar"/>
                    </w:rPr>
                    <w:t>103</w:t>
                  </w:r>
                  <w:r>
                    <w:rPr>
                      <w:rFonts w:hint="eastAsia"/>
                      <w:color w:val="auto"/>
                      <w:sz w:val="21"/>
                      <w:szCs w:val="21"/>
                      <w:highlight w:val="none"/>
                      <w:lang w:bidi="ar"/>
                    </w:rPr>
                    <w:t>t/a</w:t>
                  </w:r>
                </w:p>
              </w:tc>
            </w:tr>
            <w:tr w14:paraId="16D527E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2" w:hRule="atLeast"/>
                <w:jc w:val="center"/>
              </w:trPr>
              <w:tc>
                <w:tcPr>
                  <w:tcW w:w="1041" w:type="dxa"/>
                  <w:vMerge w:val="continue"/>
                  <w:noWrap w:val="0"/>
                  <w:vAlign w:val="center"/>
                </w:tcPr>
                <w:p w14:paraId="5F349405">
                  <w:pPr>
                    <w:spacing w:line="340" w:lineRule="exact"/>
                    <w:ind w:firstLine="0" w:firstLineChars="0"/>
                    <w:jc w:val="center"/>
                    <w:rPr>
                      <w:rFonts w:hint="eastAsia"/>
                      <w:color w:val="auto"/>
                      <w:sz w:val="21"/>
                      <w:szCs w:val="21"/>
                      <w:highlight w:val="none"/>
                      <w:lang w:bidi="ar"/>
                    </w:rPr>
                  </w:pPr>
                </w:p>
              </w:tc>
              <w:tc>
                <w:tcPr>
                  <w:tcW w:w="2123" w:type="dxa"/>
                  <w:gridSpan w:val="2"/>
                  <w:noWrap w:val="0"/>
                  <w:vAlign w:val="center"/>
                </w:tcPr>
                <w:p w14:paraId="34D2644B">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SO</w:t>
                  </w:r>
                  <w:r>
                    <w:rPr>
                      <w:rFonts w:hint="eastAsia"/>
                      <w:color w:val="auto"/>
                      <w:sz w:val="21"/>
                      <w:szCs w:val="21"/>
                      <w:highlight w:val="none"/>
                      <w:vertAlign w:val="subscript"/>
                      <w:lang w:bidi="ar"/>
                    </w:rPr>
                    <w:t>2</w:t>
                  </w:r>
                </w:p>
              </w:tc>
              <w:tc>
                <w:tcPr>
                  <w:tcW w:w="780" w:type="dxa"/>
                  <w:tcBorders>
                    <w:right w:val="single" w:color="auto" w:sz="4" w:space="0"/>
                  </w:tcBorders>
                  <w:noWrap w:val="0"/>
                  <w:vAlign w:val="center"/>
                </w:tcPr>
                <w:p w14:paraId="08CF19AF">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w:t>
                  </w:r>
                </w:p>
              </w:tc>
              <w:tc>
                <w:tcPr>
                  <w:tcW w:w="1200" w:type="dxa"/>
                  <w:noWrap w:val="0"/>
                  <w:vAlign w:val="center"/>
                </w:tcPr>
                <w:p w14:paraId="4DDA4437">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w:t>
                  </w:r>
                </w:p>
              </w:tc>
              <w:tc>
                <w:tcPr>
                  <w:tcW w:w="875" w:type="dxa"/>
                  <w:noWrap w:val="0"/>
                  <w:vAlign w:val="center"/>
                </w:tcPr>
                <w:p w14:paraId="68104EC4">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w:t>
                  </w:r>
                </w:p>
              </w:tc>
              <w:tc>
                <w:tcPr>
                  <w:tcW w:w="1083" w:type="dxa"/>
                  <w:noWrap w:val="0"/>
                  <w:vAlign w:val="center"/>
                </w:tcPr>
                <w:p w14:paraId="5C4259D3">
                  <w:pPr>
                    <w:spacing w:line="340" w:lineRule="exact"/>
                    <w:ind w:firstLine="0" w:firstLineChars="0"/>
                    <w:jc w:val="center"/>
                    <w:rPr>
                      <w:rFonts w:hint="default" w:eastAsia="宋体"/>
                      <w:color w:val="auto"/>
                      <w:sz w:val="21"/>
                      <w:szCs w:val="21"/>
                      <w:highlight w:val="none"/>
                      <w:lang w:val="en-US" w:eastAsia="zh-CN" w:bidi="ar"/>
                    </w:rPr>
                  </w:pPr>
                  <w:r>
                    <w:rPr>
                      <w:rFonts w:hint="eastAsia"/>
                      <w:color w:val="auto"/>
                      <w:sz w:val="21"/>
                      <w:szCs w:val="21"/>
                      <w:highlight w:val="none"/>
                      <w:lang w:val="en-US" w:eastAsia="zh-CN" w:bidi="ar"/>
                    </w:rPr>
                    <w:t>0.213</w:t>
                  </w:r>
                  <w:r>
                    <w:rPr>
                      <w:rFonts w:hint="eastAsia"/>
                      <w:color w:val="auto"/>
                      <w:sz w:val="21"/>
                      <w:szCs w:val="21"/>
                      <w:highlight w:val="none"/>
                      <w:lang w:bidi="ar"/>
                    </w:rPr>
                    <w:t>t/a</w:t>
                  </w:r>
                </w:p>
              </w:tc>
              <w:tc>
                <w:tcPr>
                  <w:tcW w:w="1115" w:type="dxa"/>
                  <w:noWrap w:val="0"/>
                  <w:vAlign w:val="center"/>
                </w:tcPr>
                <w:p w14:paraId="37947F9F">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val="en-US" w:eastAsia="zh-CN" w:bidi="ar"/>
                    </w:rPr>
                    <w:t>0.213</w:t>
                  </w:r>
                  <w:r>
                    <w:rPr>
                      <w:rFonts w:hint="eastAsia"/>
                      <w:color w:val="auto"/>
                      <w:sz w:val="21"/>
                      <w:szCs w:val="21"/>
                      <w:highlight w:val="none"/>
                      <w:lang w:bidi="ar"/>
                    </w:rPr>
                    <w:t>t/a</w:t>
                  </w:r>
                </w:p>
              </w:tc>
            </w:tr>
            <w:tr w14:paraId="4973556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1" w:hRule="atLeast"/>
                <w:jc w:val="center"/>
              </w:trPr>
              <w:tc>
                <w:tcPr>
                  <w:tcW w:w="1041" w:type="dxa"/>
                  <w:vMerge w:val="continue"/>
                  <w:noWrap w:val="0"/>
                  <w:vAlign w:val="center"/>
                </w:tcPr>
                <w:p w14:paraId="3002CB73">
                  <w:pPr>
                    <w:spacing w:line="340" w:lineRule="exact"/>
                    <w:ind w:firstLine="0" w:firstLineChars="0"/>
                    <w:jc w:val="center"/>
                    <w:rPr>
                      <w:rFonts w:hint="eastAsia"/>
                      <w:color w:val="auto"/>
                      <w:sz w:val="21"/>
                      <w:szCs w:val="21"/>
                      <w:highlight w:val="none"/>
                      <w:lang w:bidi="ar"/>
                    </w:rPr>
                  </w:pPr>
                </w:p>
              </w:tc>
              <w:tc>
                <w:tcPr>
                  <w:tcW w:w="2123" w:type="dxa"/>
                  <w:gridSpan w:val="2"/>
                  <w:noWrap w:val="0"/>
                  <w:vAlign w:val="center"/>
                </w:tcPr>
                <w:p w14:paraId="06B73B16">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NO</w:t>
                  </w:r>
                  <w:r>
                    <w:rPr>
                      <w:rFonts w:hint="eastAsia"/>
                      <w:color w:val="auto"/>
                      <w:sz w:val="21"/>
                      <w:szCs w:val="21"/>
                      <w:highlight w:val="none"/>
                      <w:vertAlign w:val="subscript"/>
                      <w:lang w:bidi="ar"/>
                    </w:rPr>
                    <w:t>X</w:t>
                  </w:r>
                </w:p>
              </w:tc>
              <w:tc>
                <w:tcPr>
                  <w:tcW w:w="780" w:type="dxa"/>
                  <w:tcBorders>
                    <w:right w:val="single" w:color="auto" w:sz="4" w:space="0"/>
                  </w:tcBorders>
                  <w:noWrap w:val="0"/>
                  <w:vAlign w:val="center"/>
                </w:tcPr>
                <w:p w14:paraId="1A8E5064">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w:t>
                  </w:r>
                </w:p>
              </w:tc>
              <w:tc>
                <w:tcPr>
                  <w:tcW w:w="1200" w:type="dxa"/>
                  <w:noWrap w:val="0"/>
                  <w:vAlign w:val="center"/>
                </w:tcPr>
                <w:p w14:paraId="3A850F49">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w:t>
                  </w:r>
                </w:p>
              </w:tc>
              <w:tc>
                <w:tcPr>
                  <w:tcW w:w="875" w:type="dxa"/>
                  <w:noWrap w:val="0"/>
                  <w:vAlign w:val="center"/>
                </w:tcPr>
                <w:p w14:paraId="2E9A4FCE">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w:t>
                  </w:r>
                </w:p>
              </w:tc>
              <w:tc>
                <w:tcPr>
                  <w:tcW w:w="1083" w:type="dxa"/>
                  <w:noWrap w:val="0"/>
                  <w:vAlign w:val="center"/>
                </w:tcPr>
                <w:p w14:paraId="71B2075C">
                  <w:pPr>
                    <w:spacing w:line="340" w:lineRule="exact"/>
                    <w:ind w:firstLine="0" w:firstLineChars="0"/>
                    <w:jc w:val="center"/>
                    <w:rPr>
                      <w:rFonts w:hint="default" w:eastAsia="宋体"/>
                      <w:color w:val="auto"/>
                      <w:sz w:val="21"/>
                      <w:szCs w:val="21"/>
                      <w:highlight w:val="none"/>
                      <w:lang w:val="en-US" w:eastAsia="zh-CN" w:bidi="ar"/>
                    </w:rPr>
                  </w:pPr>
                  <w:r>
                    <w:rPr>
                      <w:rFonts w:hint="eastAsia"/>
                      <w:color w:val="auto"/>
                      <w:sz w:val="21"/>
                      <w:szCs w:val="21"/>
                      <w:highlight w:val="none"/>
                      <w:lang w:val="en-US" w:eastAsia="zh-CN" w:bidi="ar"/>
                    </w:rPr>
                    <w:t>2.826</w:t>
                  </w:r>
                  <w:r>
                    <w:rPr>
                      <w:rFonts w:hint="eastAsia"/>
                      <w:color w:val="auto"/>
                      <w:sz w:val="21"/>
                      <w:szCs w:val="21"/>
                      <w:highlight w:val="none"/>
                      <w:lang w:bidi="ar"/>
                    </w:rPr>
                    <w:t>t/a</w:t>
                  </w:r>
                </w:p>
              </w:tc>
              <w:tc>
                <w:tcPr>
                  <w:tcW w:w="1115" w:type="dxa"/>
                  <w:noWrap w:val="0"/>
                  <w:vAlign w:val="center"/>
                </w:tcPr>
                <w:p w14:paraId="4071FB53">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val="en-US" w:eastAsia="zh-CN" w:bidi="ar"/>
                    </w:rPr>
                    <w:t>2.826</w:t>
                  </w:r>
                  <w:r>
                    <w:rPr>
                      <w:rFonts w:hint="eastAsia"/>
                      <w:color w:val="auto"/>
                      <w:sz w:val="21"/>
                      <w:szCs w:val="21"/>
                      <w:highlight w:val="none"/>
                      <w:lang w:bidi="ar"/>
                    </w:rPr>
                    <w:t>t/a</w:t>
                  </w:r>
                </w:p>
              </w:tc>
            </w:tr>
          </w:tbl>
          <w:p w14:paraId="3C9CD9C5">
            <w:pPr>
              <w:bidi w:val="0"/>
              <w:rPr>
                <w:rFonts w:hint="eastAsia"/>
                <w:color w:val="auto"/>
                <w:highlight w:val="none"/>
              </w:rPr>
            </w:pPr>
            <w:r>
              <w:rPr>
                <w:rFonts w:hint="eastAsia"/>
                <w:color w:val="auto"/>
                <w:highlight w:val="none"/>
              </w:rPr>
              <w:t>本项目投产前，NOx和SO</w:t>
            </w:r>
            <w:r>
              <w:rPr>
                <w:rFonts w:hint="eastAsia"/>
                <w:color w:val="auto"/>
                <w:highlight w:val="none"/>
                <w:vertAlign w:val="subscript"/>
              </w:rPr>
              <w:t>2</w:t>
            </w:r>
            <w:r>
              <w:rPr>
                <w:rFonts w:hint="eastAsia"/>
                <w:color w:val="auto"/>
                <w:highlight w:val="none"/>
              </w:rPr>
              <w:t>拟</w:t>
            </w:r>
            <w:r>
              <w:rPr>
                <w:color w:val="auto"/>
                <w:highlight w:val="none"/>
              </w:rPr>
              <w:t>从福建海峡股权交易中心申请购买</w:t>
            </w:r>
            <w:r>
              <w:rPr>
                <w:rFonts w:hint="eastAsia"/>
                <w:color w:val="auto"/>
                <w:highlight w:val="none"/>
                <w:lang w:eastAsia="zh-CN"/>
              </w:rPr>
              <w:t>，</w:t>
            </w:r>
            <w:r>
              <w:rPr>
                <w:color w:val="auto"/>
                <w:highlight w:val="none"/>
              </w:rPr>
              <w:t>根据《福州市环境保护局关于印发福州市大气污染联防联控联治工作方案的通知》</w:t>
            </w:r>
            <w:r>
              <w:rPr>
                <w:rFonts w:hint="eastAsia"/>
                <w:color w:val="auto"/>
                <w:highlight w:val="none"/>
              </w:rPr>
              <w:t>（</w:t>
            </w:r>
            <w:r>
              <w:rPr>
                <w:color w:val="auto"/>
                <w:highlight w:val="none"/>
              </w:rPr>
              <w:t>榕环保综</w:t>
            </w:r>
            <w:r>
              <w:rPr>
                <w:rFonts w:hint="eastAsia"/>
                <w:color w:val="auto"/>
                <w:highlight w:val="none"/>
              </w:rPr>
              <w:t>〔2018〕</w:t>
            </w:r>
            <w:r>
              <w:rPr>
                <w:color w:val="auto"/>
                <w:highlight w:val="none"/>
              </w:rPr>
              <w:t>386号</w:t>
            </w:r>
            <w:r>
              <w:rPr>
                <w:rFonts w:hint="eastAsia"/>
                <w:color w:val="auto"/>
                <w:highlight w:val="none"/>
              </w:rPr>
              <w:t>）</w:t>
            </w:r>
            <w:r>
              <w:rPr>
                <w:color w:val="auto"/>
                <w:highlight w:val="none"/>
              </w:rPr>
              <w:t>，VOCs排放实行区域内倍量替代。由建设单位向福州市</w:t>
            </w:r>
            <w:r>
              <w:rPr>
                <w:rFonts w:hint="eastAsia"/>
                <w:color w:val="auto"/>
                <w:highlight w:val="none"/>
              </w:rPr>
              <w:t>罗源</w:t>
            </w:r>
            <w:r>
              <w:rPr>
                <w:color w:val="auto"/>
                <w:highlight w:val="none"/>
              </w:rPr>
              <w:t>生态环境局申请区域倍量替代</w:t>
            </w:r>
            <w:r>
              <w:rPr>
                <w:rFonts w:hint="eastAsia"/>
                <w:color w:val="auto"/>
                <w:highlight w:val="none"/>
              </w:rPr>
              <w:t>。</w:t>
            </w:r>
          </w:p>
        </w:tc>
      </w:tr>
    </w:tbl>
    <w:p w14:paraId="730C4817">
      <w:pPr>
        <w:pStyle w:val="2"/>
        <w:rPr>
          <w:rFonts w:hint="eastAsia"/>
          <w:color w:val="auto"/>
          <w:highlight w:val="none"/>
        </w:rPr>
        <w:sectPr>
          <w:pgSz w:w="11907" w:h="16840"/>
          <w:pgMar w:top="1418" w:right="1418" w:bottom="1418" w:left="1418" w:header="851" w:footer="851" w:gutter="0"/>
          <w:pgBorders>
            <w:top w:val="none" w:sz="0" w:space="0"/>
            <w:left w:val="none" w:sz="0" w:space="0"/>
            <w:bottom w:val="none" w:sz="0" w:space="0"/>
            <w:right w:val="none" w:sz="0" w:space="0"/>
          </w:pgBorders>
          <w:cols w:space="720" w:num="1"/>
          <w:docGrid w:linePitch="312" w:charSpace="0"/>
        </w:sectPr>
      </w:pPr>
    </w:p>
    <w:p w14:paraId="67A8A454">
      <w:pPr>
        <w:pStyle w:val="2"/>
        <w:rPr>
          <w:color w:val="auto"/>
          <w:highlight w:val="none"/>
        </w:rPr>
      </w:pPr>
      <w:bookmarkStart w:id="18" w:name="_Toc14169"/>
      <w:r>
        <w:rPr>
          <w:rFonts w:hint="eastAsia"/>
          <w:color w:val="auto"/>
          <w:highlight w:val="none"/>
        </w:rPr>
        <w:t>四、主要环境影响和保护措施</w:t>
      </w:r>
      <w:bookmarkEnd w:id="18"/>
    </w:p>
    <w:tbl>
      <w:tblPr>
        <w:tblStyle w:val="27"/>
        <w:tblW w:w="953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02"/>
        <w:gridCol w:w="8535"/>
      </w:tblGrid>
      <w:tr w14:paraId="69E555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64" w:hRule="atLeast"/>
          <w:jc w:val="center"/>
        </w:trPr>
        <w:tc>
          <w:tcPr>
            <w:tcW w:w="1002" w:type="dxa"/>
            <w:noWrap w:val="0"/>
            <w:tcMar>
              <w:left w:w="28" w:type="dxa"/>
              <w:right w:w="28" w:type="dxa"/>
            </w:tcMar>
            <w:vAlign w:val="center"/>
          </w:tcPr>
          <w:p w14:paraId="3ACE9D7C">
            <w:pPr>
              <w:pStyle w:val="73"/>
              <w:spacing w:line="240" w:lineRule="auto"/>
              <w:ind w:firstLine="0" w:firstLineChars="0"/>
              <w:rPr>
                <w:color w:val="auto"/>
                <w:highlight w:val="none"/>
              </w:rPr>
            </w:pPr>
            <w:r>
              <w:rPr>
                <w:color w:val="auto"/>
                <w:highlight w:val="none"/>
              </w:rPr>
              <w:t>施工期环境保</w:t>
            </w:r>
          </w:p>
          <w:p w14:paraId="72A5FEE6">
            <w:pPr>
              <w:pStyle w:val="73"/>
              <w:spacing w:line="240" w:lineRule="auto"/>
              <w:ind w:firstLine="0" w:firstLineChars="0"/>
              <w:rPr>
                <w:color w:val="auto"/>
                <w:highlight w:val="none"/>
              </w:rPr>
            </w:pPr>
            <w:r>
              <w:rPr>
                <w:color w:val="auto"/>
                <w:highlight w:val="none"/>
              </w:rPr>
              <w:t>护措施</w:t>
            </w:r>
          </w:p>
        </w:tc>
        <w:tc>
          <w:tcPr>
            <w:tcW w:w="8535" w:type="dxa"/>
            <w:noWrap w:val="0"/>
            <w:vAlign w:val="center"/>
          </w:tcPr>
          <w:p w14:paraId="33F848F2">
            <w:pPr>
              <w:pStyle w:val="3"/>
              <w:rPr>
                <w:color w:val="auto"/>
                <w:highlight w:val="none"/>
              </w:rPr>
            </w:pPr>
            <w:r>
              <w:rPr>
                <w:color w:val="auto"/>
                <w:highlight w:val="none"/>
              </w:rPr>
              <w:t>4.</w:t>
            </w:r>
            <w:r>
              <w:rPr>
                <w:rFonts w:hint="eastAsia"/>
                <w:color w:val="auto"/>
                <w:highlight w:val="none"/>
              </w:rPr>
              <w:t>1 施工期</w:t>
            </w:r>
            <w:r>
              <w:rPr>
                <w:color w:val="auto"/>
                <w:highlight w:val="none"/>
              </w:rPr>
              <w:t>环境影响分析和污染防治措施</w:t>
            </w:r>
          </w:p>
          <w:p w14:paraId="7EEA1AE7">
            <w:pPr>
              <w:pStyle w:val="4"/>
              <w:rPr>
                <w:color w:val="auto"/>
                <w:highlight w:val="none"/>
              </w:rPr>
            </w:pPr>
            <w:bookmarkStart w:id="19" w:name="_Toc8752"/>
            <w:bookmarkStart w:id="20" w:name="_Toc23218"/>
            <w:r>
              <w:rPr>
                <w:rFonts w:hint="eastAsia"/>
                <w:color w:val="auto"/>
                <w:highlight w:val="none"/>
              </w:rPr>
              <w:t>4.1.1 施工期水环境影响分析和污染防治措施</w:t>
            </w:r>
          </w:p>
          <w:p w14:paraId="5C3FDFFC">
            <w:pPr>
              <w:pStyle w:val="5"/>
              <w:rPr>
                <w:color w:val="auto"/>
                <w:highlight w:val="none"/>
              </w:rPr>
            </w:pPr>
            <w:r>
              <w:rPr>
                <w:color w:val="auto"/>
                <w:highlight w:val="none"/>
              </w:rPr>
              <w:t>4.1</w:t>
            </w:r>
            <w:r>
              <w:rPr>
                <w:rFonts w:hint="eastAsia"/>
                <w:color w:val="auto"/>
                <w:highlight w:val="none"/>
              </w:rPr>
              <w:t>.1.1 施工期水</w:t>
            </w:r>
            <w:r>
              <w:rPr>
                <w:color w:val="auto"/>
                <w:highlight w:val="none"/>
              </w:rPr>
              <w:t>环境影响</w:t>
            </w:r>
            <w:r>
              <w:rPr>
                <w:rFonts w:hint="eastAsia"/>
                <w:color w:val="auto"/>
                <w:highlight w:val="none"/>
              </w:rPr>
              <w:t>分析</w:t>
            </w:r>
            <w:bookmarkEnd w:id="19"/>
            <w:bookmarkEnd w:id="20"/>
          </w:p>
          <w:p w14:paraId="44E21EB0">
            <w:pPr>
              <w:pStyle w:val="85"/>
              <w:ind w:firstLine="480"/>
              <w:rPr>
                <w:rFonts w:cs="宋体"/>
                <w:color w:val="auto"/>
                <w:highlight w:val="none"/>
              </w:rPr>
            </w:pPr>
            <w:r>
              <w:rPr>
                <w:rFonts w:cs="宋体"/>
                <w:color w:val="auto"/>
                <w:highlight w:val="none"/>
              </w:rPr>
              <w:t>施工期的废水排放主要来自于施工人员的生活</w:t>
            </w:r>
            <w:r>
              <w:rPr>
                <w:rFonts w:hint="eastAsia" w:cs="宋体"/>
                <w:color w:val="auto"/>
                <w:highlight w:val="none"/>
                <w:lang w:val="en-US" w:eastAsia="zh-CN"/>
              </w:rPr>
              <w:t>废水</w:t>
            </w:r>
            <w:r>
              <w:rPr>
                <w:rFonts w:cs="宋体"/>
                <w:color w:val="auto"/>
                <w:highlight w:val="none"/>
              </w:rPr>
              <w:t>及施工废水。</w:t>
            </w:r>
          </w:p>
          <w:p w14:paraId="27CA049D">
            <w:pPr>
              <w:pStyle w:val="85"/>
              <w:ind w:firstLine="480"/>
              <w:rPr>
                <w:rFonts w:hint="eastAsia" w:eastAsia="宋体" w:cs="宋体"/>
                <w:color w:val="auto"/>
                <w:highlight w:val="none"/>
                <w:lang w:val="en-US" w:eastAsia="zh-CN"/>
              </w:rPr>
            </w:pPr>
            <w:r>
              <w:rPr>
                <w:rFonts w:hint="eastAsia" w:cs="宋体"/>
                <w:color w:val="auto"/>
                <w:highlight w:val="none"/>
              </w:rPr>
              <w:t>（1）</w:t>
            </w:r>
            <w:r>
              <w:rPr>
                <w:rFonts w:cs="宋体"/>
                <w:color w:val="auto"/>
                <w:highlight w:val="none"/>
              </w:rPr>
              <w:t>施工人员的生活</w:t>
            </w:r>
            <w:r>
              <w:rPr>
                <w:rFonts w:hint="eastAsia" w:cs="宋体"/>
                <w:color w:val="auto"/>
                <w:highlight w:val="none"/>
                <w:lang w:val="en-US" w:eastAsia="zh-CN"/>
              </w:rPr>
              <w:t>废水</w:t>
            </w:r>
          </w:p>
          <w:p w14:paraId="2CE86C49">
            <w:pPr>
              <w:keepNext w:val="0"/>
              <w:keepLines w:val="0"/>
              <w:widowControl/>
              <w:suppressLineNumbers w:val="0"/>
              <w:jc w:val="left"/>
              <w:rPr>
                <w:rFonts w:hint="eastAsia" w:eastAsia="宋体" w:cs="宋体"/>
                <w:color w:val="auto"/>
                <w:highlight w:val="none"/>
                <w:lang w:eastAsia="zh-CN"/>
              </w:rPr>
            </w:pPr>
            <w:r>
              <w:rPr>
                <w:rFonts w:cs="宋体"/>
                <w:color w:val="auto"/>
                <w:highlight w:val="none"/>
              </w:rPr>
              <w:t>施工员工的生活</w:t>
            </w:r>
            <w:r>
              <w:rPr>
                <w:rFonts w:hint="eastAsia" w:cs="宋体"/>
                <w:color w:val="auto"/>
                <w:highlight w:val="none"/>
                <w:lang w:val="en-US" w:eastAsia="zh-CN"/>
              </w:rPr>
              <w:t>废水</w:t>
            </w:r>
            <w:r>
              <w:rPr>
                <w:rFonts w:cs="宋体"/>
                <w:color w:val="auto"/>
                <w:highlight w:val="none"/>
              </w:rPr>
              <w:t>按高峰期施工人员约</w:t>
            </w:r>
            <w:r>
              <w:rPr>
                <w:rFonts w:hint="eastAsia" w:cs="宋体"/>
                <w:color w:val="auto"/>
                <w:highlight w:val="none"/>
                <w:lang w:val="en-US" w:eastAsia="zh-CN"/>
              </w:rPr>
              <w:t>30</w:t>
            </w:r>
            <w:r>
              <w:rPr>
                <w:rFonts w:cs="宋体"/>
                <w:color w:val="auto"/>
                <w:highlight w:val="none"/>
              </w:rPr>
              <w:t>人计，根据GB50015-2003《建筑给水排水设计规范》，按供水定额100L人/d，则用水量为</w:t>
            </w:r>
            <w:r>
              <w:rPr>
                <w:rFonts w:hint="eastAsia" w:cs="宋体"/>
                <w:color w:val="auto"/>
                <w:highlight w:val="none"/>
                <w:lang w:val="en-US" w:eastAsia="zh-CN"/>
              </w:rPr>
              <w:t>3</w:t>
            </w:r>
            <w:r>
              <w:rPr>
                <w:rFonts w:cs="宋体"/>
                <w:color w:val="auto"/>
                <w:highlight w:val="none"/>
              </w:rPr>
              <w:t>m</w:t>
            </w:r>
            <w:r>
              <w:rPr>
                <w:rFonts w:hint="eastAsia" w:cs="宋体"/>
                <w:color w:val="auto"/>
                <w:highlight w:val="none"/>
                <w:vertAlign w:val="superscript"/>
              </w:rPr>
              <w:t>3</w:t>
            </w:r>
            <w:r>
              <w:rPr>
                <w:rFonts w:cs="宋体"/>
                <w:color w:val="auto"/>
                <w:highlight w:val="none"/>
              </w:rPr>
              <w:t>/d</w:t>
            </w:r>
            <w:r>
              <w:rPr>
                <w:rFonts w:hint="eastAsia" w:cs="宋体"/>
                <w:color w:val="auto"/>
                <w:highlight w:val="none"/>
              </w:rPr>
              <w:t>，</w:t>
            </w:r>
            <w:r>
              <w:rPr>
                <w:rFonts w:cs="宋体"/>
                <w:color w:val="auto"/>
                <w:highlight w:val="none"/>
              </w:rPr>
              <w:t>排污系数取0.8，则施工人员产生的生活</w:t>
            </w:r>
            <w:r>
              <w:rPr>
                <w:rFonts w:hint="eastAsia" w:cs="宋体"/>
                <w:color w:val="auto"/>
                <w:highlight w:val="none"/>
                <w:lang w:val="en-US" w:eastAsia="zh-CN"/>
              </w:rPr>
              <w:t>废水</w:t>
            </w:r>
            <w:r>
              <w:rPr>
                <w:rFonts w:cs="宋体"/>
                <w:color w:val="auto"/>
                <w:highlight w:val="none"/>
              </w:rPr>
              <w:t>量为</w:t>
            </w:r>
            <w:r>
              <w:rPr>
                <w:rFonts w:hint="eastAsia" w:cs="宋体"/>
                <w:color w:val="auto"/>
                <w:highlight w:val="none"/>
                <w:lang w:val="en-US" w:eastAsia="zh-CN"/>
              </w:rPr>
              <w:t>2.</w:t>
            </w:r>
            <w:r>
              <w:rPr>
                <w:rFonts w:cs="宋体"/>
                <w:color w:val="auto"/>
                <w:highlight w:val="none"/>
              </w:rPr>
              <w:t>4m</w:t>
            </w:r>
            <w:r>
              <w:rPr>
                <w:rFonts w:hint="eastAsia" w:cs="宋体"/>
                <w:color w:val="auto"/>
                <w:highlight w:val="none"/>
                <w:vertAlign w:val="superscript"/>
              </w:rPr>
              <w:t>3</w:t>
            </w:r>
            <w:r>
              <w:rPr>
                <w:rFonts w:cs="宋体"/>
                <w:color w:val="auto"/>
                <w:highlight w:val="none"/>
              </w:rPr>
              <w:t>/d，其</w:t>
            </w:r>
            <w:r>
              <w:rPr>
                <w:color w:val="auto"/>
                <w:highlight w:val="none"/>
              </w:rPr>
              <w:t>主要污染物为COD</w:t>
            </w:r>
            <w:r>
              <w:rPr>
                <w:rFonts w:hint="eastAsia"/>
                <w:color w:val="auto"/>
                <w:highlight w:val="none"/>
                <w:vertAlign w:val="subscript"/>
              </w:rPr>
              <w:t>Cr</w:t>
            </w:r>
            <w:r>
              <w:rPr>
                <w:color w:val="auto"/>
                <w:highlight w:val="none"/>
              </w:rPr>
              <w:t>、BOD</w:t>
            </w:r>
            <w:r>
              <w:rPr>
                <w:color w:val="auto"/>
                <w:highlight w:val="none"/>
                <w:vertAlign w:val="subscript"/>
              </w:rPr>
              <w:t>5</w:t>
            </w:r>
            <w:r>
              <w:rPr>
                <w:color w:val="auto"/>
                <w:highlight w:val="none"/>
              </w:rPr>
              <w:t>、SS、NH</w:t>
            </w:r>
            <w:r>
              <w:rPr>
                <w:color w:val="auto"/>
                <w:highlight w:val="none"/>
                <w:vertAlign w:val="subscript"/>
              </w:rPr>
              <w:t>3</w:t>
            </w:r>
            <w:r>
              <w:rPr>
                <w:color w:val="auto"/>
                <w:highlight w:val="none"/>
              </w:rPr>
              <w:t>-N</w:t>
            </w:r>
            <w:r>
              <w:rPr>
                <w:rFonts w:cs="宋体"/>
                <w:color w:val="auto"/>
                <w:highlight w:val="none"/>
              </w:rPr>
              <w:t>。</w:t>
            </w:r>
            <w:r>
              <w:rPr>
                <w:rFonts w:hint="eastAsia" w:ascii="宋体" w:hAnsi="宋体" w:eastAsia="宋体" w:cs="宋体"/>
                <w:color w:val="auto"/>
                <w:kern w:val="0"/>
                <w:sz w:val="24"/>
                <w:szCs w:val="24"/>
                <w:highlight w:val="none"/>
                <w:lang w:val="en-US" w:eastAsia="zh-CN" w:bidi="ar"/>
              </w:rPr>
              <w:t>生</w:t>
            </w:r>
            <w:r>
              <w:rPr>
                <w:rFonts w:hint="eastAsia"/>
                <w:color w:val="auto"/>
                <w:highlight w:val="none"/>
                <w:lang w:val="en-US" w:eastAsia="zh-CN"/>
              </w:rPr>
              <w:t>活废水采取</w:t>
            </w:r>
            <w:r>
              <w:rPr>
                <w:rFonts w:hint="eastAsia"/>
                <w:color w:val="auto"/>
                <w:highlight w:val="none"/>
              </w:rPr>
              <w:t>化粪池处理后排入市政污水管网</w:t>
            </w:r>
            <w:r>
              <w:rPr>
                <w:rFonts w:hint="eastAsia"/>
                <w:color w:val="auto"/>
                <w:highlight w:val="none"/>
                <w:lang w:eastAsia="zh-CN"/>
              </w:rPr>
              <w:t>。</w:t>
            </w:r>
          </w:p>
          <w:p w14:paraId="4B79AFF1">
            <w:pPr>
              <w:pStyle w:val="85"/>
              <w:ind w:firstLine="480"/>
              <w:rPr>
                <w:rFonts w:cs="宋体"/>
                <w:color w:val="auto"/>
                <w:highlight w:val="none"/>
              </w:rPr>
            </w:pPr>
            <w:r>
              <w:rPr>
                <w:rFonts w:hint="eastAsia" w:cs="宋体"/>
                <w:color w:val="auto"/>
                <w:highlight w:val="none"/>
              </w:rPr>
              <w:t>（2）</w:t>
            </w:r>
            <w:r>
              <w:rPr>
                <w:rFonts w:cs="宋体"/>
                <w:color w:val="auto"/>
                <w:highlight w:val="none"/>
              </w:rPr>
              <w:t>施工废水</w:t>
            </w:r>
          </w:p>
          <w:p w14:paraId="17C063D3">
            <w:pPr>
              <w:pStyle w:val="85"/>
              <w:ind w:firstLine="480"/>
              <w:rPr>
                <w:rFonts w:cs="宋体"/>
                <w:color w:val="auto"/>
                <w:highlight w:val="none"/>
              </w:rPr>
            </w:pPr>
            <w:r>
              <w:rPr>
                <w:rFonts w:cs="宋体"/>
                <w:color w:val="auto"/>
                <w:highlight w:val="none"/>
              </w:rPr>
              <w:t>项目施工设备冲洗废水量与施工设备的数量、混凝土工程量有直接关系。施工设备及车辆的冲洗用水约2m</w:t>
            </w:r>
            <w:r>
              <w:rPr>
                <w:rFonts w:cs="宋体"/>
                <w:color w:val="auto"/>
                <w:highlight w:val="none"/>
                <w:vertAlign w:val="superscript"/>
              </w:rPr>
              <w:t>3</w:t>
            </w:r>
            <w:r>
              <w:rPr>
                <w:rFonts w:cs="宋体"/>
                <w:color w:val="auto"/>
                <w:highlight w:val="none"/>
              </w:rPr>
              <w:t>/d</w:t>
            </w:r>
            <w:r>
              <w:rPr>
                <w:rFonts w:hint="eastAsia" w:cs="宋体"/>
                <w:color w:val="auto"/>
                <w:highlight w:val="none"/>
              </w:rPr>
              <w:t>，</w:t>
            </w:r>
            <w:r>
              <w:rPr>
                <w:rFonts w:cs="宋体"/>
                <w:color w:val="auto"/>
                <w:highlight w:val="none"/>
              </w:rPr>
              <w:t>产生的废水量按90%计，则施工废水约为1.8m</w:t>
            </w:r>
            <w:r>
              <w:rPr>
                <w:rFonts w:cs="宋体"/>
                <w:color w:val="auto"/>
                <w:highlight w:val="none"/>
                <w:vertAlign w:val="superscript"/>
              </w:rPr>
              <w:t>3</w:t>
            </w:r>
            <w:r>
              <w:rPr>
                <w:rFonts w:cs="宋体"/>
                <w:color w:val="auto"/>
                <w:highlight w:val="none"/>
              </w:rPr>
              <w:t>/d</w:t>
            </w:r>
            <w:r>
              <w:rPr>
                <w:rFonts w:hint="eastAsia" w:cs="宋体"/>
                <w:color w:val="auto"/>
                <w:highlight w:val="none"/>
                <w:lang w:eastAsia="zh-CN"/>
              </w:rPr>
              <w:t>，</w:t>
            </w:r>
            <w:r>
              <w:rPr>
                <w:rFonts w:cs="宋体"/>
                <w:color w:val="auto"/>
                <w:highlight w:val="none"/>
              </w:rPr>
              <w:t>其中含有石油类污染物和大量悬浮物，SS约为1000~ 6000mg/L</w:t>
            </w:r>
            <w:r>
              <w:rPr>
                <w:rFonts w:hint="eastAsia" w:cs="宋体"/>
                <w:color w:val="auto"/>
                <w:highlight w:val="none"/>
              </w:rPr>
              <w:t>，</w:t>
            </w:r>
            <w:r>
              <w:rPr>
                <w:rFonts w:cs="宋体"/>
                <w:color w:val="auto"/>
                <w:highlight w:val="none"/>
              </w:rPr>
              <w:t>石油类约为15mg/L。这部分废水可经隔油池和沉淀池处理后用于施工场地洒水，项目产生的冲洗废水不外排。</w:t>
            </w:r>
          </w:p>
          <w:p w14:paraId="008EEDF5">
            <w:pPr>
              <w:pStyle w:val="5"/>
              <w:rPr>
                <w:rFonts w:hint="eastAsia"/>
                <w:color w:val="auto"/>
                <w:highlight w:val="none"/>
              </w:rPr>
            </w:pPr>
            <w:bookmarkStart w:id="21" w:name="_Toc7340"/>
            <w:bookmarkStart w:id="22" w:name="_Toc15421"/>
            <w:r>
              <w:rPr>
                <w:color w:val="auto"/>
                <w:highlight w:val="none"/>
              </w:rPr>
              <w:t>4.1</w:t>
            </w:r>
            <w:r>
              <w:rPr>
                <w:rFonts w:hint="eastAsia"/>
                <w:color w:val="auto"/>
                <w:highlight w:val="none"/>
              </w:rPr>
              <w:t>.1.2 施工期水污染防治措施</w:t>
            </w:r>
            <w:bookmarkEnd w:id="21"/>
            <w:bookmarkEnd w:id="22"/>
          </w:p>
          <w:p w14:paraId="34E1F495">
            <w:pPr>
              <w:bidi w:val="0"/>
              <w:rPr>
                <w:color w:val="auto"/>
                <w:highlight w:val="none"/>
              </w:rPr>
            </w:pPr>
            <w:r>
              <w:rPr>
                <w:color w:val="auto"/>
                <w:highlight w:val="none"/>
              </w:rPr>
              <w:t>（1）建设期应合理安排施工作业期，基础开挖、场地平整应避开雨季，减少雨水对地表的冲刷；修建沉淀池，减少对地表水体影响。在临时堆土场使用前，先沿场地周边开挖临时排水沟，并于末端建设沉淀池，避免雨水随处排放的现象；</w:t>
            </w:r>
          </w:p>
          <w:p w14:paraId="440112A2">
            <w:pPr>
              <w:bidi w:val="0"/>
              <w:rPr>
                <w:color w:val="auto"/>
                <w:highlight w:val="none"/>
              </w:rPr>
            </w:pPr>
            <w:r>
              <w:rPr>
                <w:color w:val="auto"/>
                <w:highlight w:val="none"/>
              </w:rPr>
              <w:t>（2）项目施工期汽车、施工机械等冲洗废水，污染物以石油类和悬浮物为主。施工机械保养场地及车辆冲洗场地四周应设置防溢座或其它防治设施，防止冲洗废水乱排、漫流；针对此类废水应设置收集池，通过隔油池及沉淀池处置，经处理后的冲洗废水上清液回用于施工场地洒水抑尘或机械冲洗；</w:t>
            </w:r>
          </w:p>
          <w:p w14:paraId="38047C83">
            <w:pPr>
              <w:bidi w:val="0"/>
              <w:rPr>
                <w:rFonts w:hint="eastAsia" w:eastAsia="宋体"/>
                <w:color w:val="auto"/>
                <w:highlight w:val="none"/>
                <w:lang w:eastAsia="zh-CN"/>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color w:val="auto"/>
                <w:highlight w:val="none"/>
                <w:lang w:val="en-US" w:eastAsia="zh-CN"/>
              </w:rPr>
              <w:t>建筑工地应按照卫生标准和环境卫生作业要求设置相应的厕所和</w:t>
            </w:r>
            <w:r>
              <w:rPr>
                <w:rFonts w:hint="eastAsia"/>
                <w:color w:val="auto"/>
                <w:highlight w:val="none"/>
                <w:lang w:val="en-US" w:eastAsia="zh-CN"/>
              </w:rPr>
              <w:t>化粪池</w:t>
            </w:r>
            <w:r>
              <w:rPr>
                <w:rFonts w:hint="default"/>
                <w:color w:val="auto"/>
                <w:highlight w:val="none"/>
                <w:lang w:val="en-US" w:eastAsia="zh-CN"/>
              </w:rPr>
              <w:t>，并落实专人管理，按规定时间清除；厕所必须有冲洗设备，便池贴瓷砖，并保持清洁卫生。施工人员的生活</w:t>
            </w:r>
            <w:r>
              <w:rPr>
                <w:rFonts w:hint="eastAsia"/>
                <w:color w:val="auto"/>
                <w:highlight w:val="none"/>
                <w:lang w:val="en-US" w:eastAsia="zh-CN"/>
              </w:rPr>
              <w:t>废水</w:t>
            </w:r>
            <w:r>
              <w:rPr>
                <w:rFonts w:hint="default"/>
                <w:color w:val="auto"/>
                <w:highlight w:val="none"/>
                <w:lang w:val="en-US" w:eastAsia="zh-CN"/>
              </w:rPr>
              <w:t>经</w:t>
            </w:r>
            <w:r>
              <w:rPr>
                <w:rFonts w:hint="eastAsia"/>
                <w:color w:val="auto"/>
                <w:highlight w:val="none"/>
                <w:lang w:val="en-US" w:eastAsia="zh-CN"/>
              </w:rPr>
              <w:t>一体化污水处理设施</w:t>
            </w:r>
            <w:r>
              <w:rPr>
                <w:rFonts w:hint="default"/>
                <w:color w:val="auto"/>
                <w:highlight w:val="none"/>
                <w:lang w:val="en-US" w:eastAsia="zh-CN"/>
              </w:rPr>
              <w:t>处理后</w:t>
            </w:r>
            <w:r>
              <w:rPr>
                <w:rFonts w:hint="eastAsia"/>
                <w:color w:val="auto"/>
                <w:kern w:val="0"/>
                <w:highlight w:val="none"/>
                <w:lang w:val="en-US" w:eastAsia="zh-CN" w:bidi="ar"/>
              </w:rPr>
              <w:t>用于周边林灌</w:t>
            </w:r>
            <w:r>
              <w:rPr>
                <w:rFonts w:hint="eastAsia"/>
                <w:color w:val="auto"/>
                <w:kern w:val="0"/>
                <w:highlight w:val="none"/>
                <w:lang w:eastAsia="zh-CN" w:bidi="ar"/>
              </w:rPr>
              <w:t>。</w:t>
            </w:r>
          </w:p>
          <w:p w14:paraId="4100485F">
            <w:pPr>
              <w:pStyle w:val="85"/>
              <w:ind w:firstLine="480"/>
              <w:rPr>
                <w:color w:val="auto"/>
                <w:highlight w:val="none"/>
              </w:rPr>
            </w:pPr>
            <w:r>
              <w:rPr>
                <w:color w:val="auto"/>
                <w:highlight w:val="none"/>
              </w:rPr>
              <w:t>采取以上措施后，施工期废水可以做到不外排，可以有效避免污染物排放。</w:t>
            </w:r>
          </w:p>
          <w:p w14:paraId="7BDB6017">
            <w:pPr>
              <w:pStyle w:val="4"/>
              <w:rPr>
                <w:color w:val="auto"/>
                <w:highlight w:val="none"/>
              </w:rPr>
            </w:pPr>
            <w:bookmarkStart w:id="23" w:name="_Toc26732"/>
            <w:bookmarkStart w:id="24" w:name="_Toc7950"/>
            <w:bookmarkStart w:id="25" w:name="_Toc28589"/>
            <w:bookmarkStart w:id="26" w:name="_Toc15719"/>
            <w:r>
              <w:rPr>
                <w:color w:val="auto"/>
                <w:highlight w:val="none"/>
              </w:rPr>
              <w:t>4.</w:t>
            </w:r>
            <w:r>
              <w:rPr>
                <w:rFonts w:hint="eastAsia"/>
                <w:color w:val="auto"/>
                <w:highlight w:val="none"/>
              </w:rPr>
              <w:t>1.2 施工期大气</w:t>
            </w:r>
            <w:r>
              <w:rPr>
                <w:color w:val="auto"/>
                <w:highlight w:val="none"/>
              </w:rPr>
              <w:t>环境影响分析和污染防治措施</w:t>
            </w:r>
            <w:bookmarkEnd w:id="23"/>
            <w:bookmarkEnd w:id="24"/>
            <w:bookmarkEnd w:id="25"/>
            <w:bookmarkEnd w:id="26"/>
          </w:p>
          <w:p w14:paraId="67A35F45">
            <w:pPr>
              <w:pStyle w:val="5"/>
              <w:rPr>
                <w:color w:val="auto"/>
                <w:highlight w:val="none"/>
              </w:rPr>
            </w:pPr>
            <w:bookmarkStart w:id="27" w:name="_Toc26283"/>
            <w:bookmarkStart w:id="28" w:name="_Toc17676"/>
            <w:r>
              <w:rPr>
                <w:color w:val="auto"/>
                <w:highlight w:val="none"/>
              </w:rPr>
              <w:t>4.</w:t>
            </w:r>
            <w:r>
              <w:rPr>
                <w:rFonts w:hint="eastAsia"/>
                <w:color w:val="auto"/>
                <w:highlight w:val="none"/>
              </w:rPr>
              <w:t>1.2.1 施工期大气</w:t>
            </w:r>
            <w:r>
              <w:rPr>
                <w:color w:val="auto"/>
                <w:highlight w:val="none"/>
              </w:rPr>
              <w:t>环境影响</w:t>
            </w:r>
            <w:r>
              <w:rPr>
                <w:rFonts w:hint="eastAsia"/>
                <w:color w:val="auto"/>
                <w:highlight w:val="none"/>
              </w:rPr>
              <w:t>分析</w:t>
            </w:r>
            <w:bookmarkEnd w:id="27"/>
            <w:bookmarkEnd w:id="28"/>
          </w:p>
          <w:p w14:paraId="6AD88C3B">
            <w:pPr>
              <w:ind w:firstLine="480"/>
              <w:rPr>
                <w:color w:val="auto"/>
                <w:highlight w:val="none"/>
              </w:rPr>
            </w:pPr>
            <w:r>
              <w:rPr>
                <w:color w:val="auto"/>
                <w:highlight w:val="none"/>
              </w:rPr>
              <w:t>施工期的大气污染源主要为各类扬尘，主要来自建筑施工、建筑材料装卸过程、土方开挖以及回填、车辆运输过程及施工垃圾清理过程，起尘点将对周围大气环境产生污染，此类扬尘为无组织方式扬尘。</w:t>
            </w:r>
          </w:p>
          <w:p w14:paraId="6365C620">
            <w:pPr>
              <w:pStyle w:val="5"/>
              <w:rPr>
                <w:color w:val="auto"/>
                <w:highlight w:val="none"/>
              </w:rPr>
            </w:pPr>
            <w:bookmarkStart w:id="29" w:name="_Toc18995"/>
            <w:bookmarkStart w:id="30" w:name="_Toc23315"/>
            <w:r>
              <w:rPr>
                <w:color w:val="auto"/>
                <w:highlight w:val="none"/>
              </w:rPr>
              <w:t>4.</w:t>
            </w:r>
            <w:r>
              <w:rPr>
                <w:rFonts w:hint="eastAsia"/>
                <w:color w:val="auto"/>
                <w:highlight w:val="none"/>
              </w:rPr>
              <w:t>1.2.2 施工期大气污染防治措施</w:t>
            </w:r>
            <w:bookmarkEnd w:id="29"/>
            <w:bookmarkEnd w:id="30"/>
          </w:p>
          <w:p w14:paraId="2EB6CDFF">
            <w:pPr>
              <w:ind w:firstLine="480"/>
              <w:rPr>
                <w:color w:val="auto"/>
                <w:highlight w:val="none"/>
              </w:rPr>
            </w:pPr>
            <w:r>
              <w:rPr>
                <w:rFonts w:hint="eastAsia"/>
                <w:color w:val="auto"/>
                <w:highlight w:val="none"/>
              </w:rPr>
              <w:t>（1）</w:t>
            </w:r>
            <w:r>
              <w:rPr>
                <w:color w:val="auto"/>
                <w:highlight w:val="none"/>
              </w:rPr>
              <w:t>建设单位应将建设工程施工现场扬尘污染防治专项费用列入工程概算，并于开工之日起5日内足额支付给施工单位，施工单位在投标文件中应有扬尘污染防治实施方案，方案应明确扬尘防治工作目标、扬尘防治技术措施、责任人等；</w:t>
            </w:r>
          </w:p>
          <w:p w14:paraId="08F98CEA">
            <w:pPr>
              <w:ind w:firstLine="480"/>
              <w:rPr>
                <w:color w:val="auto"/>
                <w:highlight w:val="none"/>
              </w:rPr>
            </w:pPr>
            <w:r>
              <w:rPr>
                <w:rFonts w:hint="eastAsia"/>
                <w:color w:val="auto"/>
                <w:highlight w:val="none"/>
              </w:rPr>
              <w:t>（2）</w:t>
            </w:r>
            <w:r>
              <w:rPr>
                <w:color w:val="auto"/>
                <w:highlight w:val="none"/>
              </w:rPr>
              <w:t>每天定时对施工现场各扬尘点及道路洒水；</w:t>
            </w:r>
          </w:p>
          <w:p w14:paraId="21F00E8E">
            <w:pPr>
              <w:ind w:firstLine="480"/>
              <w:rPr>
                <w:color w:val="auto"/>
                <w:highlight w:val="none"/>
              </w:rPr>
            </w:pPr>
            <w:r>
              <w:rPr>
                <w:rFonts w:hint="eastAsia"/>
                <w:color w:val="auto"/>
                <w:highlight w:val="none"/>
              </w:rPr>
              <w:t>（3）</w:t>
            </w:r>
            <w:r>
              <w:rPr>
                <w:color w:val="auto"/>
                <w:highlight w:val="none"/>
              </w:rPr>
              <w:t>土方工程包括土的开挖、运输和填筑等施工过程，应尽可能采用密闭车斗，并保证物料步遗撒外漏，若无密闭车斗，物料、垃圾、渣土的转载高度不得超过车辆槽帮上沿，车斗应用苫布遮盖严实，苫布边缘至少要遮住槽帮上沿以下15</w:t>
            </w:r>
            <w:r>
              <w:rPr>
                <w:rFonts w:hint="eastAsia"/>
                <w:color w:val="auto"/>
                <w:highlight w:val="none"/>
              </w:rPr>
              <w:t>cm</w:t>
            </w:r>
            <w:r>
              <w:rPr>
                <w:color w:val="auto"/>
                <w:highlight w:val="none"/>
              </w:rPr>
              <w:t>，保证物料、垃圾、渣土等不露出。车辆应按照批准的路线和时间进行运输；</w:t>
            </w:r>
          </w:p>
          <w:p w14:paraId="1A0847A1">
            <w:pPr>
              <w:ind w:firstLine="480"/>
              <w:rPr>
                <w:color w:val="auto"/>
                <w:highlight w:val="none"/>
              </w:rPr>
            </w:pPr>
            <w:r>
              <w:rPr>
                <w:rFonts w:hint="eastAsia"/>
                <w:color w:val="auto"/>
                <w:highlight w:val="none"/>
              </w:rPr>
              <w:t>（4）</w:t>
            </w:r>
            <w:r>
              <w:rPr>
                <w:color w:val="auto"/>
                <w:highlight w:val="none"/>
              </w:rPr>
              <w:t>厂区路面硬化，并及时打扫，以防路面尘土积累过多而导致车辆经过时产生大量的扬尘，净化方式可采用吸尘或水冲洗的方法清洁施工工地道路积尘，不得在没有抑尘措施情况下直接清扫；</w:t>
            </w:r>
          </w:p>
          <w:p w14:paraId="0E6720D7">
            <w:pPr>
              <w:ind w:firstLine="480"/>
              <w:rPr>
                <w:rFonts w:hint="eastAsia"/>
                <w:color w:val="auto"/>
                <w:highlight w:val="none"/>
              </w:rPr>
            </w:pPr>
            <w:r>
              <w:rPr>
                <w:rFonts w:hint="eastAsia"/>
                <w:color w:val="auto"/>
                <w:highlight w:val="none"/>
              </w:rPr>
              <w:t>（5）</w:t>
            </w:r>
            <w:r>
              <w:rPr>
                <w:color w:val="auto"/>
                <w:highlight w:val="none"/>
              </w:rPr>
              <w:t>施工过程中使用砂石、铺装材料等易产生扬尘的建筑材料，应采取下列措施之一：密闭存储、设置围挡、采用防尘布苫盖等</w:t>
            </w:r>
            <w:r>
              <w:rPr>
                <w:rFonts w:hint="eastAsia"/>
                <w:color w:val="auto"/>
                <w:highlight w:val="none"/>
              </w:rPr>
              <w:t>；</w:t>
            </w:r>
          </w:p>
          <w:p w14:paraId="722A2C79">
            <w:pPr>
              <w:ind w:firstLine="480"/>
              <w:rPr>
                <w:color w:val="auto"/>
                <w:highlight w:val="none"/>
              </w:rPr>
            </w:pPr>
            <w:r>
              <w:rPr>
                <w:rFonts w:hint="eastAsia"/>
                <w:color w:val="auto"/>
                <w:highlight w:val="none"/>
              </w:rPr>
              <w:t>（6）</w:t>
            </w:r>
            <w:r>
              <w:rPr>
                <w:color w:val="auto"/>
                <w:highlight w:val="none"/>
              </w:rPr>
              <w:t>现场搅拌应封闭作业，水泥等建筑材料存放于库房或严密遮盖，土方等散体材料必须覆盖，场内装卸、搬运物料应封闭、遮盖或洒水，不得凌空抛洒、抛掷。</w:t>
            </w:r>
          </w:p>
          <w:p w14:paraId="0E3B310A">
            <w:pPr>
              <w:pStyle w:val="4"/>
              <w:rPr>
                <w:color w:val="auto"/>
                <w:highlight w:val="none"/>
              </w:rPr>
            </w:pPr>
            <w:bookmarkStart w:id="31" w:name="_Toc27350"/>
            <w:bookmarkStart w:id="32" w:name="_Toc26357"/>
            <w:bookmarkStart w:id="33" w:name="_Toc15509"/>
            <w:bookmarkStart w:id="34" w:name="_Toc18980"/>
            <w:r>
              <w:rPr>
                <w:color w:val="auto"/>
                <w:highlight w:val="none"/>
              </w:rPr>
              <w:t>4.</w:t>
            </w:r>
            <w:r>
              <w:rPr>
                <w:rFonts w:hint="eastAsia"/>
                <w:color w:val="auto"/>
                <w:highlight w:val="none"/>
              </w:rPr>
              <w:t>1.3 施工期噪声</w:t>
            </w:r>
            <w:r>
              <w:rPr>
                <w:color w:val="auto"/>
                <w:highlight w:val="none"/>
              </w:rPr>
              <w:t>影响分析和污染防治措施</w:t>
            </w:r>
            <w:bookmarkEnd w:id="31"/>
            <w:bookmarkEnd w:id="32"/>
            <w:bookmarkEnd w:id="33"/>
            <w:bookmarkEnd w:id="34"/>
          </w:p>
          <w:p w14:paraId="0EEE3A16">
            <w:pPr>
              <w:pStyle w:val="5"/>
              <w:rPr>
                <w:color w:val="auto"/>
                <w:highlight w:val="none"/>
              </w:rPr>
            </w:pPr>
            <w:bookmarkStart w:id="35" w:name="_Toc7601"/>
            <w:bookmarkStart w:id="36" w:name="_Toc9309"/>
            <w:r>
              <w:rPr>
                <w:color w:val="auto"/>
                <w:highlight w:val="none"/>
              </w:rPr>
              <w:t>4.</w:t>
            </w:r>
            <w:r>
              <w:rPr>
                <w:rFonts w:hint="eastAsia"/>
                <w:color w:val="auto"/>
                <w:highlight w:val="none"/>
              </w:rPr>
              <w:t>1.3.1 施工期噪声</w:t>
            </w:r>
            <w:r>
              <w:rPr>
                <w:color w:val="auto"/>
                <w:highlight w:val="none"/>
              </w:rPr>
              <w:t>影响</w:t>
            </w:r>
            <w:r>
              <w:rPr>
                <w:rFonts w:hint="eastAsia"/>
                <w:color w:val="auto"/>
                <w:highlight w:val="none"/>
              </w:rPr>
              <w:t>分析</w:t>
            </w:r>
            <w:bookmarkEnd w:id="35"/>
            <w:bookmarkEnd w:id="36"/>
          </w:p>
          <w:p w14:paraId="66A42912">
            <w:pPr>
              <w:ind w:firstLine="480"/>
              <w:rPr>
                <w:color w:val="auto"/>
                <w:highlight w:val="none"/>
              </w:rPr>
            </w:pPr>
            <w:bookmarkStart w:id="37" w:name="_Toc10283"/>
            <w:bookmarkStart w:id="38" w:name="_Toc25608"/>
            <w:r>
              <w:rPr>
                <w:color w:val="auto"/>
                <w:highlight w:val="none"/>
              </w:rPr>
              <w:t>工程场地平整、土方施工过程中主要产噪设备有</w:t>
            </w:r>
            <w:r>
              <w:rPr>
                <w:rFonts w:hint="eastAsia"/>
                <w:color w:val="auto"/>
                <w:szCs w:val="21"/>
                <w:highlight w:val="none"/>
              </w:rPr>
              <w:t>履带式推土机</w:t>
            </w:r>
            <w:r>
              <w:rPr>
                <w:color w:val="auto"/>
                <w:highlight w:val="none"/>
              </w:rPr>
              <w:t>、</w:t>
            </w:r>
            <w:r>
              <w:rPr>
                <w:rFonts w:hint="eastAsia"/>
                <w:color w:val="auto"/>
                <w:szCs w:val="21"/>
                <w:highlight w:val="none"/>
              </w:rPr>
              <w:t>轮胎式挖掘机</w:t>
            </w:r>
            <w:r>
              <w:rPr>
                <w:color w:val="auto"/>
                <w:highlight w:val="none"/>
              </w:rPr>
              <w:t>、</w:t>
            </w:r>
            <w:r>
              <w:rPr>
                <w:rFonts w:hint="eastAsia"/>
                <w:color w:val="auto"/>
                <w:szCs w:val="21"/>
                <w:highlight w:val="none"/>
              </w:rPr>
              <w:t>轮胎式装载机</w:t>
            </w:r>
            <w:r>
              <w:rPr>
                <w:color w:val="auto"/>
                <w:highlight w:val="none"/>
              </w:rPr>
              <w:t>和运输车辆等；建筑结构施工阶段有</w:t>
            </w:r>
            <w:r>
              <w:rPr>
                <w:rFonts w:hint="eastAsia"/>
                <w:color w:val="auto"/>
                <w:szCs w:val="21"/>
                <w:highlight w:val="none"/>
              </w:rPr>
              <w:t>旋挖</w:t>
            </w:r>
            <w:r>
              <w:rPr>
                <w:color w:val="auto"/>
                <w:highlight w:val="none"/>
              </w:rPr>
              <w:t>钻孔机、升降机、混凝土振捣器、砂浆搅拌机等。对周围声环境产生一定影响。根据有关资料，这些机械、设备运行时的噪声值如表4.1</w:t>
            </w:r>
            <w:r>
              <w:rPr>
                <w:rFonts w:hint="eastAsia"/>
                <w:color w:val="auto"/>
                <w:highlight w:val="none"/>
              </w:rPr>
              <w:t>-</w:t>
            </w:r>
            <w:r>
              <w:rPr>
                <w:color w:val="auto"/>
                <w:highlight w:val="none"/>
              </w:rPr>
              <w:t>1。</w:t>
            </w:r>
          </w:p>
          <w:p w14:paraId="70224BE7">
            <w:pPr>
              <w:ind w:left="0" w:leftChars="0" w:firstLine="0" w:firstLineChars="0"/>
              <w:jc w:val="center"/>
              <w:rPr>
                <w:b/>
                <w:bCs/>
                <w:color w:val="auto"/>
                <w:highlight w:val="none"/>
              </w:rPr>
            </w:pPr>
            <w:r>
              <w:rPr>
                <w:b/>
                <w:bCs/>
                <w:color w:val="auto"/>
                <w:highlight w:val="none"/>
              </w:rPr>
              <w:t>表4.</w:t>
            </w:r>
            <w:r>
              <w:rPr>
                <w:rFonts w:hint="eastAsia"/>
                <w:b/>
                <w:bCs/>
                <w:color w:val="auto"/>
                <w:highlight w:val="none"/>
              </w:rPr>
              <w:t>1-</w:t>
            </w:r>
            <w:r>
              <w:rPr>
                <w:b/>
                <w:bCs/>
                <w:color w:val="auto"/>
                <w:highlight w:val="none"/>
              </w:rPr>
              <w:t>1 施工机械产生噪声值一览表</w:t>
            </w:r>
            <w:r>
              <w:rPr>
                <w:rFonts w:hint="eastAsia"/>
                <w:b/>
                <w:bCs/>
                <w:color w:val="auto"/>
                <w:highlight w:val="none"/>
                <w:lang w:val="en-US" w:eastAsia="zh-CN"/>
              </w:rPr>
              <w:t xml:space="preserve">    单位：</w:t>
            </w:r>
            <w:r>
              <w:rPr>
                <w:rFonts w:hint="eastAsia"/>
                <w:b/>
                <w:bCs/>
                <w:color w:val="auto"/>
                <w:szCs w:val="21"/>
                <w:highlight w:val="none"/>
              </w:rPr>
              <w:t>dB（A）</w:t>
            </w:r>
          </w:p>
          <w:tbl>
            <w:tblPr>
              <w:tblStyle w:val="27"/>
              <w:tblW w:w="837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94"/>
              <w:gridCol w:w="2094"/>
              <w:gridCol w:w="2095"/>
              <w:gridCol w:w="2095"/>
            </w:tblGrid>
            <w:tr w14:paraId="111F7F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94" w:type="dxa"/>
                  <w:noWrap w:val="0"/>
                  <w:vAlign w:val="center"/>
                </w:tcPr>
                <w:p w14:paraId="6E1BF178">
                  <w:pPr>
                    <w:pStyle w:val="98"/>
                    <w:adjustRightInd/>
                    <w:snapToGrid/>
                    <w:rPr>
                      <w:rFonts w:hint="eastAsia"/>
                      <w:b/>
                      <w:bCs/>
                      <w:color w:val="auto"/>
                      <w:szCs w:val="21"/>
                      <w:highlight w:val="none"/>
                    </w:rPr>
                  </w:pPr>
                  <w:r>
                    <w:rPr>
                      <w:rFonts w:hint="eastAsia"/>
                      <w:b/>
                      <w:bCs/>
                      <w:color w:val="auto"/>
                      <w:szCs w:val="21"/>
                      <w:highlight w:val="none"/>
                    </w:rPr>
                    <w:t>机械类型</w:t>
                  </w:r>
                </w:p>
              </w:tc>
              <w:tc>
                <w:tcPr>
                  <w:tcW w:w="2094" w:type="dxa"/>
                  <w:noWrap w:val="0"/>
                  <w:vAlign w:val="center"/>
                </w:tcPr>
                <w:p w14:paraId="636DD291">
                  <w:pPr>
                    <w:pStyle w:val="98"/>
                    <w:adjustRightInd/>
                    <w:snapToGrid/>
                    <w:rPr>
                      <w:rFonts w:hint="eastAsia"/>
                      <w:b/>
                      <w:bCs/>
                      <w:color w:val="auto"/>
                      <w:szCs w:val="21"/>
                      <w:highlight w:val="none"/>
                    </w:rPr>
                  </w:pPr>
                  <w:r>
                    <w:rPr>
                      <w:rFonts w:hint="eastAsia"/>
                      <w:b/>
                      <w:bCs/>
                      <w:color w:val="auto"/>
                      <w:szCs w:val="21"/>
                      <w:highlight w:val="none"/>
                    </w:rPr>
                    <w:t>声源特点</w:t>
                  </w:r>
                </w:p>
              </w:tc>
              <w:tc>
                <w:tcPr>
                  <w:tcW w:w="2095" w:type="dxa"/>
                  <w:noWrap w:val="0"/>
                  <w:vAlign w:val="center"/>
                </w:tcPr>
                <w:p w14:paraId="6D5B9583">
                  <w:pPr>
                    <w:pStyle w:val="98"/>
                    <w:adjustRightInd/>
                    <w:snapToGrid/>
                    <w:rPr>
                      <w:rFonts w:hint="eastAsia"/>
                      <w:b/>
                      <w:bCs/>
                      <w:color w:val="auto"/>
                      <w:szCs w:val="21"/>
                      <w:highlight w:val="none"/>
                    </w:rPr>
                  </w:pPr>
                  <w:r>
                    <w:rPr>
                      <w:rFonts w:hint="eastAsia"/>
                      <w:b/>
                      <w:bCs/>
                      <w:color w:val="auto"/>
                      <w:szCs w:val="21"/>
                      <w:highlight w:val="none"/>
                    </w:rPr>
                    <w:t>噪声源强值</w:t>
                  </w:r>
                </w:p>
              </w:tc>
              <w:tc>
                <w:tcPr>
                  <w:tcW w:w="2095" w:type="dxa"/>
                  <w:noWrap w:val="0"/>
                  <w:vAlign w:val="center"/>
                </w:tcPr>
                <w:p w14:paraId="1335E893">
                  <w:pPr>
                    <w:pStyle w:val="98"/>
                    <w:adjustRightInd/>
                    <w:snapToGrid/>
                    <w:rPr>
                      <w:rFonts w:hint="eastAsia"/>
                      <w:b/>
                      <w:bCs/>
                      <w:color w:val="auto"/>
                      <w:szCs w:val="21"/>
                      <w:highlight w:val="none"/>
                    </w:rPr>
                  </w:pPr>
                  <w:r>
                    <w:rPr>
                      <w:rFonts w:hint="eastAsia"/>
                      <w:b/>
                      <w:bCs/>
                      <w:color w:val="auto"/>
                      <w:szCs w:val="21"/>
                      <w:highlight w:val="none"/>
                    </w:rPr>
                    <w:t>备注</w:t>
                  </w:r>
                </w:p>
              </w:tc>
            </w:tr>
            <w:tr w14:paraId="45C60E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94" w:type="dxa"/>
                  <w:noWrap w:val="0"/>
                  <w:vAlign w:val="center"/>
                </w:tcPr>
                <w:p w14:paraId="0F6D3466">
                  <w:pPr>
                    <w:pStyle w:val="98"/>
                    <w:adjustRightInd/>
                    <w:snapToGrid/>
                    <w:rPr>
                      <w:rFonts w:hint="eastAsia"/>
                      <w:color w:val="auto"/>
                      <w:szCs w:val="21"/>
                      <w:highlight w:val="none"/>
                    </w:rPr>
                  </w:pPr>
                  <w:r>
                    <w:rPr>
                      <w:rFonts w:hint="eastAsia"/>
                      <w:color w:val="auto"/>
                      <w:szCs w:val="21"/>
                      <w:highlight w:val="none"/>
                    </w:rPr>
                    <w:t>履带式推土机</w:t>
                  </w:r>
                </w:p>
              </w:tc>
              <w:tc>
                <w:tcPr>
                  <w:tcW w:w="2094" w:type="dxa"/>
                  <w:noWrap w:val="0"/>
                  <w:vAlign w:val="center"/>
                </w:tcPr>
                <w:p w14:paraId="393336FE">
                  <w:pPr>
                    <w:pStyle w:val="98"/>
                    <w:adjustRightInd/>
                    <w:snapToGrid/>
                    <w:rPr>
                      <w:rFonts w:hint="eastAsia"/>
                      <w:color w:val="auto"/>
                      <w:szCs w:val="21"/>
                      <w:highlight w:val="none"/>
                    </w:rPr>
                  </w:pPr>
                  <w:r>
                    <w:rPr>
                      <w:rFonts w:hint="eastAsia"/>
                      <w:color w:val="auto"/>
                      <w:szCs w:val="21"/>
                      <w:highlight w:val="none"/>
                    </w:rPr>
                    <w:t>不稳定源</w:t>
                  </w:r>
                </w:p>
              </w:tc>
              <w:tc>
                <w:tcPr>
                  <w:tcW w:w="2095" w:type="dxa"/>
                  <w:noWrap w:val="0"/>
                  <w:vAlign w:val="center"/>
                </w:tcPr>
                <w:p w14:paraId="36F0EB10">
                  <w:pPr>
                    <w:pStyle w:val="98"/>
                    <w:adjustRightInd/>
                    <w:snapToGrid/>
                    <w:rPr>
                      <w:rFonts w:hint="eastAsia"/>
                      <w:color w:val="auto"/>
                      <w:szCs w:val="21"/>
                      <w:highlight w:val="none"/>
                    </w:rPr>
                  </w:pPr>
                  <w:r>
                    <w:rPr>
                      <w:rFonts w:hint="eastAsia"/>
                      <w:color w:val="auto"/>
                      <w:szCs w:val="21"/>
                      <w:highlight w:val="none"/>
                    </w:rPr>
                    <w:t>80-87</w:t>
                  </w:r>
                </w:p>
              </w:tc>
              <w:tc>
                <w:tcPr>
                  <w:tcW w:w="2095" w:type="dxa"/>
                  <w:vMerge w:val="restart"/>
                  <w:noWrap w:val="0"/>
                  <w:vAlign w:val="center"/>
                </w:tcPr>
                <w:p w14:paraId="395B4E24">
                  <w:pPr>
                    <w:pStyle w:val="98"/>
                    <w:adjustRightInd/>
                    <w:snapToGrid/>
                    <w:rPr>
                      <w:rFonts w:hint="eastAsia"/>
                      <w:color w:val="auto"/>
                      <w:szCs w:val="21"/>
                      <w:highlight w:val="none"/>
                    </w:rPr>
                  </w:pPr>
                  <w:r>
                    <w:rPr>
                      <w:rFonts w:hint="eastAsia"/>
                      <w:color w:val="auto"/>
                      <w:szCs w:val="21"/>
                      <w:highlight w:val="none"/>
                    </w:rPr>
                    <w:t>设备1m处</w:t>
                  </w:r>
                </w:p>
              </w:tc>
            </w:tr>
            <w:tr w14:paraId="38211F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94" w:type="dxa"/>
                  <w:noWrap w:val="0"/>
                  <w:vAlign w:val="center"/>
                </w:tcPr>
                <w:p w14:paraId="5CC5BFCB">
                  <w:pPr>
                    <w:pStyle w:val="98"/>
                    <w:adjustRightInd/>
                    <w:snapToGrid/>
                    <w:rPr>
                      <w:rFonts w:hint="eastAsia"/>
                      <w:color w:val="auto"/>
                      <w:szCs w:val="21"/>
                      <w:highlight w:val="none"/>
                    </w:rPr>
                  </w:pPr>
                  <w:r>
                    <w:rPr>
                      <w:rFonts w:hint="eastAsia"/>
                      <w:color w:val="auto"/>
                      <w:szCs w:val="21"/>
                      <w:highlight w:val="none"/>
                    </w:rPr>
                    <w:t>轮胎式挖掘机</w:t>
                  </w:r>
                </w:p>
              </w:tc>
              <w:tc>
                <w:tcPr>
                  <w:tcW w:w="2094" w:type="dxa"/>
                  <w:noWrap w:val="0"/>
                  <w:vAlign w:val="center"/>
                </w:tcPr>
                <w:p w14:paraId="641C9ED9">
                  <w:pPr>
                    <w:pStyle w:val="98"/>
                    <w:adjustRightInd/>
                    <w:snapToGrid/>
                    <w:rPr>
                      <w:rFonts w:hint="eastAsia"/>
                      <w:color w:val="auto"/>
                      <w:szCs w:val="21"/>
                      <w:highlight w:val="none"/>
                    </w:rPr>
                  </w:pPr>
                  <w:r>
                    <w:rPr>
                      <w:rFonts w:hint="eastAsia"/>
                      <w:color w:val="auto"/>
                      <w:szCs w:val="21"/>
                      <w:highlight w:val="none"/>
                    </w:rPr>
                    <w:t>流动不稳定源</w:t>
                  </w:r>
                </w:p>
              </w:tc>
              <w:tc>
                <w:tcPr>
                  <w:tcW w:w="2095" w:type="dxa"/>
                  <w:noWrap w:val="0"/>
                  <w:vAlign w:val="center"/>
                </w:tcPr>
                <w:p w14:paraId="2A9528D7">
                  <w:pPr>
                    <w:pStyle w:val="98"/>
                    <w:adjustRightInd/>
                    <w:snapToGrid/>
                    <w:rPr>
                      <w:rFonts w:hint="eastAsia"/>
                      <w:color w:val="auto"/>
                      <w:szCs w:val="21"/>
                      <w:highlight w:val="none"/>
                    </w:rPr>
                  </w:pPr>
                  <w:r>
                    <w:rPr>
                      <w:rFonts w:hint="eastAsia"/>
                      <w:color w:val="auto"/>
                      <w:szCs w:val="21"/>
                      <w:highlight w:val="none"/>
                    </w:rPr>
                    <w:t>90-95</w:t>
                  </w:r>
                </w:p>
              </w:tc>
              <w:tc>
                <w:tcPr>
                  <w:tcW w:w="2095" w:type="dxa"/>
                  <w:vMerge w:val="continue"/>
                  <w:noWrap w:val="0"/>
                  <w:vAlign w:val="center"/>
                </w:tcPr>
                <w:p w14:paraId="18A09861">
                  <w:pPr>
                    <w:pStyle w:val="98"/>
                    <w:adjustRightInd/>
                    <w:snapToGrid/>
                    <w:rPr>
                      <w:rFonts w:hint="eastAsia"/>
                      <w:color w:val="auto"/>
                      <w:szCs w:val="21"/>
                      <w:highlight w:val="none"/>
                    </w:rPr>
                  </w:pPr>
                </w:p>
              </w:tc>
            </w:tr>
            <w:tr w14:paraId="185966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94" w:type="dxa"/>
                  <w:noWrap w:val="0"/>
                  <w:vAlign w:val="center"/>
                </w:tcPr>
                <w:p w14:paraId="4A3E451D">
                  <w:pPr>
                    <w:pStyle w:val="98"/>
                    <w:adjustRightInd/>
                    <w:snapToGrid/>
                    <w:rPr>
                      <w:rFonts w:hint="eastAsia"/>
                      <w:color w:val="auto"/>
                      <w:szCs w:val="21"/>
                      <w:highlight w:val="none"/>
                    </w:rPr>
                  </w:pPr>
                  <w:r>
                    <w:rPr>
                      <w:rFonts w:hint="eastAsia"/>
                      <w:color w:val="auto"/>
                      <w:szCs w:val="21"/>
                      <w:highlight w:val="none"/>
                    </w:rPr>
                    <w:t>轮胎式装载机</w:t>
                  </w:r>
                </w:p>
              </w:tc>
              <w:tc>
                <w:tcPr>
                  <w:tcW w:w="2094" w:type="dxa"/>
                  <w:noWrap w:val="0"/>
                  <w:vAlign w:val="center"/>
                </w:tcPr>
                <w:p w14:paraId="76346986">
                  <w:pPr>
                    <w:pStyle w:val="98"/>
                    <w:adjustRightInd/>
                    <w:snapToGrid/>
                    <w:rPr>
                      <w:rFonts w:hint="eastAsia"/>
                      <w:color w:val="auto"/>
                      <w:szCs w:val="21"/>
                      <w:highlight w:val="none"/>
                    </w:rPr>
                  </w:pPr>
                  <w:r>
                    <w:rPr>
                      <w:rFonts w:hint="eastAsia"/>
                      <w:color w:val="auto"/>
                      <w:szCs w:val="21"/>
                      <w:highlight w:val="none"/>
                    </w:rPr>
                    <w:t>流动不稳定源</w:t>
                  </w:r>
                </w:p>
              </w:tc>
              <w:tc>
                <w:tcPr>
                  <w:tcW w:w="2095" w:type="dxa"/>
                  <w:noWrap w:val="0"/>
                  <w:vAlign w:val="center"/>
                </w:tcPr>
                <w:p w14:paraId="4FBC0963">
                  <w:pPr>
                    <w:pStyle w:val="98"/>
                    <w:adjustRightInd/>
                    <w:snapToGrid/>
                    <w:rPr>
                      <w:rFonts w:hint="eastAsia"/>
                      <w:color w:val="auto"/>
                      <w:szCs w:val="21"/>
                      <w:highlight w:val="none"/>
                    </w:rPr>
                  </w:pPr>
                  <w:r>
                    <w:rPr>
                      <w:rFonts w:hint="eastAsia"/>
                      <w:color w:val="auto"/>
                      <w:szCs w:val="21"/>
                      <w:highlight w:val="none"/>
                    </w:rPr>
                    <w:t>90-95</w:t>
                  </w:r>
                </w:p>
              </w:tc>
              <w:tc>
                <w:tcPr>
                  <w:tcW w:w="2095" w:type="dxa"/>
                  <w:vMerge w:val="continue"/>
                  <w:noWrap w:val="0"/>
                  <w:vAlign w:val="center"/>
                </w:tcPr>
                <w:p w14:paraId="16FE836F">
                  <w:pPr>
                    <w:pStyle w:val="98"/>
                    <w:adjustRightInd/>
                    <w:snapToGrid/>
                    <w:rPr>
                      <w:rFonts w:hint="eastAsia"/>
                      <w:color w:val="auto"/>
                      <w:szCs w:val="21"/>
                      <w:highlight w:val="none"/>
                    </w:rPr>
                  </w:pPr>
                </w:p>
              </w:tc>
            </w:tr>
            <w:tr w14:paraId="67276D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94" w:type="dxa"/>
                  <w:noWrap w:val="0"/>
                  <w:vAlign w:val="center"/>
                </w:tcPr>
                <w:p w14:paraId="18D23E1C">
                  <w:pPr>
                    <w:pStyle w:val="98"/>
                    <w:adjustRightInd/>
                    <w:snapToGrid/>
                    <w:rPr>
                      <w:rFonts w:hint="eastAsia"/>
                      <w:color w:val="auto"/>
                      <w:szCs w:val="21"/>
                      <w:highlight w:val="none"/>
                    </w:rPr>
                  </w:pPr>
                  <w:r>
                    <w:rPr>
                      <w:rFonts w:hint="eastAsia"/>
                      <w:color w:val="auto"/>
                      <w:szCs w:val="21"/>
                      <w:highlight w:val="none"/>
                    </w:rPr>
                    <w:t>旋挖钻孔机</w:t>
                  </w:r>
                </w:p>
              </w:tc>
              <w:tc>
                <w:tcPr>
                  <w:tcW w:w="2094" w:type="dxa"/>
                  <w:noWrap w:val="0"/>
                  <w:vAlign w:val="center"/>
                </w:tcPr>
                <w:p w14:paraId="358EE273">
                  <w:pPr>
                    <w:pStyle w:val="98"/>
                    <w:adjustRightInd/>
                    <w:snapToGrid/>
                    <w:rPr>
                      <w:rFonts w:hint="eastAsia"/>
                      <w:color w:val="auto"/>
                      <w:szCs w:val="21"/>
                      <w:highlight w:val="none"/>
                    </w:rPr>
                  </w:pPr>
                  <w:r>
                    <w:rPr>
                      <w:rFonts w:hint="eastAsia"/>
                      <w:color w:val="auto"/>
                      <w:szCs w:val="21"/>
                      <w:highlight w:val="none"/>
                    </w:rPr>
                    <w:t>不稳定源</w:t>
                  </w:r>
                </w:p>
              </w:tc>
              <w:tc>
                <w:tcPr>
                  <w:tcW w:w="2095" w:type="dxa"/>
                  <w:noWrap w:val="0"/>
                  <w:vAlign w:val="center"/>
                </w:tcPr>
                <w:p w14:paraId="00B562AD">
                  <w:pPr>
                    <w:pStyle w:val="98"/>
                    <w:adjustRightInd/>
                    <w:snapToGrid/>
                    <w:rPr>
                      <w:rFonts w:hint="eastAsia"/>
                      <w:color w:val="auto"/>
                      <w:szCs w:val="21"/>
                      <w:highlight w:val="none"/>
                    </w:rPr>
                  </w:pPr>
                  <w:r>
                    <w:rPr>
                      <w:rFonts w:hint="eastAsia"/>
                      <w:color w:val="auto"/>
                      <w:szCs w:val="21"/>
                      <w:highlight w:val="none"/>
                    </w:rPr>
                    <w:t>60-65</w:t>
                  </w:r>
                </w:p>
              </w:tc>
              <w:tc>
                <w:tcPr>
                  <w:tcW w:w="2095" w:type="dxa"/>
                  <w:vMerge w:val="continue"/>
                  <w:noWrap w:val="0"/>
                  <w:vAlign w:val="center"/>
                </w:tcPr>
                <w:p w14:paraId="2295537A">
                  <w:pPr>
                    <w:pStyle w:val="98"/>
                    <w:adjustRightInd/>
                    <w:snapToGrid/>
                    <w:rPr>
                      <w:rFonts w:hint="eastAsia"/>
                      <w:color w:val="auto"/>
                      <w:szCs w:val="21"/>
                      <w:highlight w:val="none"/>
                    </w:rPr>
                  </w:pPr>
                </w:p>
              </w:tc>
            </w:tr>
            <w:tr w14:paraId="34EA20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94" w:type="dxa"/>
                  <w:noWrap w:val="0"/>
                  <w:vAlign w:val="center"/>
                </w:tcPr>
                <w:p w14:paraId="02F3ED2D">
                  <w:pPr>
                    <w:pStyle w:val="98"/>
                    <w:adjustRightInd/>
                    <w:snapToGrid/>
                    <w:rPr>
                      <w:rFonts w:hint="eastAsia"/>
                      <w:color w:val="auto"/>
                      <w:szCs w:val="21"/>
                      <w:highlight w:val="none"/>
                    </w:rPr>
                  </w:pPr>
                  <w:r>
                    <w:rPr>
                      <w:rFonts w:hint="eastAsia"/>
                      <w:color w:val="auto"/>
                      <w:szCs w:val="21"/>
                      <w:highlight w:val="none"/>
                    </w:rPr>
                    <w:t>升降机</w:t>
                  </w:r>
                </w:p>
              </w:tc>
              <w:tc>
                <w:tcPr>
                  <w:tcW w:w="2094" w:type="dxa"/>
                  <w:noWrap w:val="0"/>
                  <w:vAlign w:val="center"/>
                </w:tcPr>
                <w:p w14:paraId="613D4B96">
                  <w:pPr>
                    <w:pStyle w:val="98"/>
                    <w:adjustRightInd/>
                    <w:snapToGrid/>
                    <w:rPr>
                      <w:rFonts w:hint="eastAsia"/>
                      <w:color w:val="auto"/>
                      <w:szCs w:val="21"/>
                      <w:highlight w:val="none"/>
                    </w:rPr>
                  </w:pPr>
                  <w:r>
                    <w:rPr>
                      <w:rFonts w:hint="eastAsia"/>
                      <w:color w:val="auto"/>
                      <w:szCs w:val="21"/>
                      <w:highlight w:val="none"/>
                    </w:rPr>
                    <w:t>不稳定源</w:t>
                  </w:r>
                </w:p>
              </w:tc>
              <w:tc>
                <w:tcPr>
                  <w:tcW w:w="2095" w:type="dxa"/>
                  <w:noWrap w:val="0"/>
                  <w:vAlign w:val="center"/>
                </w:tcPr>
                <w:p w14:paraId="36499747">
                  <w:pPr>
                    <w:pStyle w:val="98"/>
                    <w:adjustRightInd/>
                    <w:snapToGrid/>
                    <w:rPr>
                      <w:rFonts w:hint="eastAsia"/>
                      <w:color w:val="auto"/>
                      <w:szCs w:val="21"/>
                      <w:highlight w:val="none"/>
                    </w:rPr>
                  </w:pPr>
                  <w:r>
                    <w:rPr>
                      <w:rFonts w:hint="eastAsia"/>
                      <w:color w:val="auto"/>
                      <w:szCs w:val="21"/>
                      <w:highlight w:val="none"/>
                    </w:rPr>
                    <w:t>75-80</w:t>
                  </w:r>
                </w:p>
              </w:tc>
              <w:tc>
                <w:tcPr>
                  <w:tcW w:w="2095" w:type="dxa"/>
                  <w:vMerge w:val="continue"/>
                  <w:noWrap w:val="0"/>
                  <w:vAlign w:val="center"/>
                </w:tcPr>
                <w:p w14:paraId="07E892EC">
                  <w:pPr>
                    <w:pStyle w:val="98"/>
                    <w:adjustRightInd/>
                    <w:snapToGrid/>
                    <w:rPr>
                      <w:rFonts w:hint="eastAsia"/>
                      <w:color w:val="auto"/>
                      <w:szCs w:val="21"/>
                      <w:highlight w:val="none"/>
                    </w:rPr>
                  </w:pPr>
                </w:p>
              </w:tc>
            </w:tr>
            <w:tr w14:paraId="155713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94" w:type="dxa"/>
                  <w:noWrap w:val="0"/>
                  <w:vAlign w:val="center"/>
                </w:tcPr>
                <w:p w14:paraId="0510A408">
                  <w:pPr>
                    <w:pStyle w:val="98"/>
                    <w:adjustRightInd/>
                    <w:snapToGrid/>
                    <w:rPr>
                      <w:rFonts w:hint="eastAsia"/>
                      <w:color w:val="auto"/>
                      <w:szCs w:val="21"/>
                      <w:highlight w:val="none"/>
                    </w:rPr>
                  </w:pPr>
                  <w:r>
                    <w:rPr>
                      <w:rFonts w:hint="eastAsia"/>
                      <w:color w:val="auto"/>
                      <w:szCs w:val="21"/>
                      <w:highlight w:val="none"/>
                    </w:rPr>
                    <w:t>混凝土振捣器</w:t>
                  </w:r>
                </w:p>
              </w:tc>
              <w:tc>
                <w:tcPr>
                  <w:tcW w:w="2094" w:type="dxa"/>
                  <w:noWrap w:val="0"/>
                  <w:vAlign w:val="center"/>
                </w:tcPr>
                <w:p w14:paraId="26C0F196">
                  <w:pPr>
                    <w:pStyle w:val="98"/>
                    <w:adjustRightInd/>
                    <w:snapToGrid/>
                    <w:rPr>
                      <w:rFonts w:hint="eastAsia"/>
                      <w:color w:val="auto"/>
                      <w:szCs w:val="21"/>
                      <w:highlight w:val="none"/>
                    </w:rPr>
                  </w:pPr>
                  <w:r>
                    <w:rPr>
                      <w:rFonts w:hint="eastAsia"/>
                      <w:color w:val="auto"/>
                      <w:szCs w:val="21"/>
                      <w:highlight w:val="none"/>
                    </w:rPr>
                    <w:t>不稳定源</w:t>
                  </w:r>
                </w:p>
              </w:tc>
              <w:tc>
                <w:tcPr>
                  <w:tcW w:w="2095" w:type="dxa"/>
                  <w:noWrap w:val="0"/>
                  <w:vAlign w:val="center"/>
                </w:tcPr>
                <w:p w14:paraId="1996E347">
                  <w:pPr>
                    <w:pStyle w:val="98"/>
                    <w:adjustRightInd/>
                    <w:snapToGrid/>
                    <w:rPr>
                      <w:rFonts w:hint="eastAsia"/>
                      <w:color w:val="auto"/>
                      <w:szCs w:val="21"/>
                      <w:highlight w:val="none"/>
                    </w:rPr>
                  </w:pPr>
                  <w:r>
                    <w:rPr>
                      <w:rFonts w:hint="eastAsia"/>
                      <w:color w:val="auto"/>
                      <w:szCs w:val="21"/>
                      <w:highlight w:val="none"/>
                    </w:rPr>
                    <w:t>95-100</w:t>
                  </w:r>
                </w:p>
              </w:tc>
              <w:tc>
                <w:tcPr>
                  <w:tcW w:w="2095" w:type="dxa"/>
                  <w:vMerge w:val="continue"/>
                  <w:noWrap w:val="0"/>
                  <w:vAlign w:val="center"/>
                </w:tcPr>
                <w:p w14:paraId="34020BC3">
                  <w:pPr>
                    <w:pStyle w:val="26"/>
                    <w:spacing w:after="0"/>
                    <w:ind w:left="0" w:leftChars="0" w:firstLine="0" w:firstLineChars="0"/>
                    <w:jc w:val="center"/>
                    <w:rPr>
                      <w:color w:val="auto"/>
                      <w:sz w:val="21"/>
                      <w:szCs w:val="21"/>
                      <w:highlight w:val="none"/>
                    </w:rPr>
                  </w:pPr>
                </w:p>
              </w:tc>
            </w:tr>
            <w:tr w14:paraId="6BF439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94" w:type="dxa"/>
                  <w:noWrap w:val="0"/>
                  <w:vAlign w:val="center"/>
                </w:tcPr>
                <w:p w14:paraId="67AF1D09">
                  <w:pPr>
                    <w:pStyle w:val="98"/>
                    <w:adjustRightInd/>
                    <w:snapToGrid/>
                    <w:rPr>
                      <w:rFonts w:hint="eastAsia"/>
                      <w:color w:val="auto"/>
                      <w:szCs w:val="21"/>
                      <w:highlight w:val="none"/>
                    </w:rPr>
                  </w:pPr>
                  <w:r>
                    <w:rPr>
                      <w:rFonts w:hint="eastAsia"/>
                      <w:color w:val="auto"/>
                      <w:szCs w:val="21"/>
                      <w:highlight w:val="none"/>
                    </w:rPr>
                    <w:t>砂浆搅拌机</w:t>
                  </w:r>
                </w:p>
              </w:tc>
              <w:tc>
                <w:tcPr>
                  <w:tcW w:w="2094" w:type="dxa"/>
                  <w:noWrap w:val="0"/>
                  <w:vAlign w:val="center"/>
                </w:tcPr>
                <w:p w14:paraId="38483E25">
                  <w:pPr>
                    <w:pStyle w:val="98"/>
                    <w:adjustRightInd/>
                    <w:snapToGrid/>
                    <w:rPr>
                      <w:rFonts w:hint="eastAsia"/>
                      <w:color w:val="auto"/>
                      <w:szCs w:val="21"/>
                      <w:highlight w:val="none"/>
                    </w:rPr>
                  </w:pPr>
                  <w:r>
                    <w:rPr>
                      <w:rFonts w:hint="eastAsia"/>
                      <w:color w:val="auto"/>
                      <w:szCs w:val="21"/>
                      <w:highlight w:val="none"/>
                    </w:rPr>
                    <w:t>不稳定源</w:t>
                  </w:r>
                </w:p>
              </w:tc>
              <w:tc>
                <w:tcPr>
                  <w:tcW w:w="2095" w:type="dxa"/>
                  <w:noWrap w:val="0"/>
                  <w:vAlign w:val="center"/>
                </w:tcPr>
                <w:p w14:paraId="2E44C3A4">
                  <w:pPr>
                    <w:pStyle w:val="98"/>
                    <w:adjustRightInd/>
                    <w:snapToGrid/>
                    <w:rPr>
                      <w:rFonts w:hint="eastAsia"/>
                      <w:color w:val="auto"/>
                      <w:szCs w:val="21"/>
                      <w:highlight w:val="none"/>
                    </w:rPr>
                  </w:pPr>
                  <w:r>
                    <w:rPr>
                      <w:rFonts w:hint="eastAsia"/>
                      <w:color w:val="auto"/>
                      <w:szCs w:val="21"/>
                      <w:highlight w:val="none"/>
                    </w:rPr>
                    <w:t>70-75</w:t>
                  </w:r>
                </w:p>
              </w:tc>
              <w:tc>
                <w:tcPr>
                  <w:tcW w:w="2095" w:type="dxa"/>
                  <w:vMerge w:val="continue"/>
                  <w:noWrap w:val="0"/>
                  <w:vAlign w:val="center"/>
                </w:tcPr>
                <w:p w14:paraId="622E2471">
                  <w:pPr>
                    <w:pStyle w:val="26"/>
                    <w:spacing w:after="0"/>
                    <w:ind w:left="0" w:leftChars="0" w:firstLine="0" w:firstLineChars="0"/>
                    <w:jc w:val="center"/>
                    <w:rPr>
                      <w:color w:val="auto"/>
                      <w:sz w:val="21"/>
                      <w:szCs w:val="21"/>
                      <w:highlight w:val="none"/>
                    </w:rPr>
                  </w:pPr>
                </w:p>
              </w:tc>
            </w:tr>
          </w:tbl>
          <w:p w14:paraId="268A03C5">
            <w:pPr>
              <w:ind w:firstLine="480"/>
              <w:rPr>
                <w:color w:val="auto"/>
                <w:highlight w:val="none"/>
              </w:rPr>
            </w:pPr>
            <w:r>
              <w:rPr>
                <w:color w:val="auto"/>
                <w:highlight w:val="none"/>
              </w:rPr>
              <w:t>采用电源衰减模式预测施工噪声，预测计算主要施工机械在不同距离处的衰减值，预测计算结果见表4</w:t>
            </w:r>
            <w:r>
              <w:rPr>
                <w:rFonts w:hint="eastAsia"/>
                <w:color w:val="auto"/>
                <w:highlight w:val="none"/>
              </w:rPr>
              <w:t>.1-2。</w:t>
            </w:r>
          </w:p>
          <w:p w14:paraId="3CCBFA21">
            <w:pPr>
              <w:ind w:firstLine="482"/>
              <w:jc w:val="center"/>
              <w:rPr>
                <w:b/>
                <w:bCs/>
                <w:color w:val="auto"/>
                <w:highlight w:val="none"/>
              </w:rPr>
            </w:pPr>
            <w:r>
              <w:rPr>
                <w:b/>
                <w:bCs/>
                <w:color w:val="auto"/>
                <w:highlight w:val="none"/>
              </w:rPr>
              <w:t>表4.1</w:t>
            </w:r>
            <w:r>
              <w:rPr>
                <w:rFonts w:hint="eastAsia"/>
                <w:b/>
                <w:bCs/>
                <w:color w:val="auto"/>
                <w:highlight w:val="none"/>
              </w:rPr>
              <w:t>-</w:t>
            </w:r>
            <w:r>
              <w:rPr>
                <w:b/>
                <w:bCs/>
                <w:color w:val="auto"/>
                <w:highlight w:val="none"/>
              </w:rPr>
              <w:t>2  主要施工机械在不同距离处的噪声贡献值一览表</w:t>
            </w:r>
          </w:p>
          <w:tbl>
            <w:tblPr>
              <w:tblStyle w:val="27"/>
              <w:tblW w:w="841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95"/>
              <w:gridCol w:w="1034"/>
              <w:gridCol w:w="765"/>
              <w:gridCol w:w="765"/>
              <w:gridCol w:w="765"/>
              <w:gridCol w:w="765"/>
              <w:gridCol w:w="765"/>
              <w:gridCol w:w="766"/>
              <w:gridCol w:w="766"/>
              <w:gridCol w:w="766"/>
              <w:gridCol w:w="766"/>
            </w:tblGrid>
            <w:tr w14:paraId="6C2104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495" w:type="dxa"/>
                  <w:vMerge w:val="restart"/>
                  <w:noWrap w:val="0"/>
                  <w:vAlign w:val="center"/>
                </w:tcPr>
                <w:p w14:paraId="5A25674B">
                  <w:pPr>
                    <w:pStyle w:val="98"/>
                    <w:adjustRightInd/>
                    <w:snapToGrid/>
                    <w:rPr>
                      <w:rFonts w:hint="eastAsia"/>
                      <w:b/>
                      <w:bCs/>
                      <w:color w:val="auto"/>
                      <w:szCs w:val="21"/>
                      <w:highlight w:val="none"/>
                    </w:rPr>
                  </w:pPr>
                  <w:r>
                    <w:rPr>
                      <w:rFonts w:hint="eastAsia"/>
                      <w:b/>
                      <w:bCs/>
                      <w:color w:val="auto"/>
                      <w:szCs w:val="21"/>
                      <w:highlight w:val="none"/>
                    </w:rPr>
                    <w:t>序号</w:t>
                  </w:r>
                </w:p>
              </w:tc>
              <w:tc>
                <w:tcPr>
                  <w:tcW w:w="1034" w:type="dxa"/>
                  <w:vMerge w:val="restart"/>
                  <w:noWrap w:val="0"/>
                  <w:vAlign w:val="center"/>
                </w:tcPr>
                <w:p w14:paraId="33FC634E">
                  <w:pPr>
                    <w:pStyle w:val="98"/>
                    <w:adjustRightInd/>
                    <w:snapToGrid/>
                    <w:rPr>
                      <w:rFonts w:hint="eastAsia"/>
                      <w:b/>
                      <w:bCs/>
                      <w:color w:val="auto"/>
                      <w:szCs w:val="21"/>
                      <w:highlight w:val="none"/>
                    </w:rPr>
                  </w:pPr>
                  <w:r>
                    <w:rPr>
                      <w:rFonts w:hint="eastAsia"/>
                      <w:b/>
                      <w:bCs/>
                      <w:color w:val="auto"/>
                      <w:szCs w:val="21"/>
                      <w:highlight w:val="none"/>
                    </w:rPr>
                    <w:t>机械</w:t>
                  </w:r>
                </w:p>
                <w:p w14:paraId="31D6471B">
                  <w:pPr>
                    <w:pStyle w:val="98"/>
                    <w:adjustRightInd/>
                    <w:snapToGrid/>
                    <w:rPr>
                      <w:rFonts w:hint="eastAsia"/>
                      <w:b/>
                      <w:bCs/>
                      <w:color w:val="auto"/>
                      <w:szCs w:val="21"/>
                      <w:highlight w:val="none"/>
                    </w:rPr>
                  </w:pPr>
                  <w:r>
                    <w:rPr>
                      <w:rFonts w:hint="eastAsia"/>
                      <w:b/>
                      <w:bCs/>
                      <w:color w:val="auto"/>
                      <w:szCs w:val="21"/>
                      <w:highlight w:val="none"/>
                    </w:rPr>
                    <w:t>名称</w:t>
                  </w:r>
                </w:p>
              </w:tc>
              <w:tc>
                <w:tcPr>
                  <w:tcW w:w="6889" w:type="dxa"/>
                  <w:gridSpan w:val="9"/>
                  <w:noWrap w:val="0"/>
                  <w:vAlign w:val="center"/>
                </w:tcPr>
                <w:p w14:paraId="0D906FF2">
                  <w:pPr>
                    <w:pStyle w:val="98"/>
                    <w:adjustRightInd/>
                    <w:snapToGrid/>
                    <w:rPr>
                      <w:rFonts w:hint="eastAsia"/>
                      <w:b/>
                      <w:bCs/>
                      <w:color w:val="auto"/>
                      <w:szCs w:val="21"/>
                      <w:highlight w:val="none"/>
                    </w:rPr>
                  </w:pPr>
                  <w:r>
                    <w:rPr>
                      <w:rFonts w:hint="eastAsia"/>
                      <w:b/>
                      <w:bCs/>
                      <w:color w:val="auto"/>
                      <w:szCs w:val="21"/>
                      <w:highlight w:val="none"/>
                    </w:rPr>
                    <w:t>不同距离处的噪声预测值dB（A）</w:t>
                  </w:r>
                </w:p>
              </w:tc>
            </w:tr>
            <w:tr w14:paraId="41CBBA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495" w:type="dxa"/>
                  <w:vMerge w:val="continue"/>
                  <w:noWrap w:val="0"/>
                  <w:vAlign w:val="center"/>
                </w:tcPr>
                <w:p w14:paraId="4F7EA7DC">
                  <w:pPr>
                    <w:pStyle w:val="98"/>
                    <w:adjustRightInd/>
                    <w:snapToGrid/>
                    <w:rPr>
                      <w:rFonts w:hint="eastAsia"/>
                      <w:b/>
                      <w:bCs/>
                      <w:color w:val="auto"/>
                      <w:szCs w:val="21"/>
                      <w:highlight w:val="none"/>
                    </w:rPr>
                  </w:pPr>
                </w:p>
              </w:tc>
              <w:tc>
                <w:tcPr>
                  <w:tcW w:w="1034" w:type="dxa"/>
                  <w:vMerge w:val="continue"/>
                  <w:noWrap w:val="0"/>
                  <w:vAlign w:val="center"/>
                </w:tcPr>
                <w:p w14:paraId="65454973">
                  <w:pPr>
                    <w:pStyle w:val="98"/>
                    <w:adjustRightInd/>
                    <w:snapToGrid/>
                    <w:rPr>
                      <w:rFonts w:hint="eastAsia"/>
                      <w:b/>
                      <w:bCs/>
                      <w:color w:val="auto"/>
                      <w:szCs w:val="21"/>
                      <w:highlight w:val="none"/>
                    </w:rPr>
                  </w:pPr>
                </w:p>
              </w:tc>
              <w:tc>
                <w:tcPr>
                  <w:tcW w:w="765" w:type="dxa"/>
                  <w:noWrap w:val="0"/>
                  <w:vAlign w:val="center"/>
                </w:tcPr>
                <w:p w14:paraId="4B99539A">
                  <w:pPr>
                    <w:pStyle w:val="98"/>
                    <w:adjustRightInd/>
                    <w:snapToGrid/>
                    <w:rPr>
                      <w:rFonts w:hint="eastAsia"/>
                      <w:b/>
                      <w:bCs/>
                      <w:color w:val="auto"/>
                      <w:szCs w:val="21"/>
                      <w:highlight w:val="none"/>
                    </w:rPr>
                  </w:pPr>
                  <w:r>
                    <w:rPr>
                      <w:rFonts w:hint="eastAsia"/>
                      <w:b/>
                      <w:bCs/>
                      <w:color w:val="auto"/>
                      <w:szCs w:val="21"/>
                      <w:highlight w:val="none"/>
                    </w:rPr>
                    <w:t>10</w:t>
                  </w:r>
                </w:p>
              </w:tc>
              <w:tc>
                <w:tcPr>
                  <w:tcW w:w="765" w:type="dxa"/>
                  <w:noWrap w:val="0"/>
                  <w:vAlign w:val="center"/>
                </w:tcPr>
                <w:p w14:paraId="5CFE795D">
                  <w:pPr>
                    <w:pStyle w:val="98"/>
                    <w:adjustRightInd/>
                    <w:snapToGrid/>
                    <w:rPr>
                      <w:rFonts w:hint="eastAsia"/>
                      <w:b/>
                      <w:bCs/>
                      <w:color w:val="auto"/>
                      <w:szCs w:val="21"/>
                      <w:highlight w:val="none"/>
                    </w:rPr>
                  </w:pPr>
                  <w:r>
                    <w:rPr>
                      <w:rFonts w:hint="eastAsia"/>
                      <w:b/>
                      <w:bCs/>
                      <w:color w:val="auto"/>
                      <w:szCs w:val="21"/>
                      <w:highlight w:val="none"/>
                    </w:rPr>
                    <w:t>15</w:t>
                  </w:r>
                </w:p>
              </w:tc>
              <w:tc>
                <w:tcPr>
                  <w:tcW w:w="765" w:type="dxa"/>
                  <w:noWrap w:val="0"/>
                  <w:vAlign w:val="center"/>
                </w:tcPr>
                <w:p w14:paraId="2BA25D79">
                  <w:pPr>
                    <w:pStyle w:val="98"/>
                    <w:adjustRightInd/>
                    <w:snapToGrid/>
                    <w:rPr>
                      <w:rFonts w:hint="eastAsia"/>
                      <w:b/>
                      <w:bCs/>
                      <w:color w:val="auto"/>
                      <w:szCs w:val="21"/>
                      <w:highlight w:val="none"/>
                    </w:rPr>
                  </w:pPr>
                  <w:r>
                    <w:rPr>
                      <w:rFonts w:hint="eastAsia"/>
                      <w:b/>
                      <w:bCs/>
                      <w:color w:val="auto"/>
                      <w:szCs w:val="21"/>
                      <w:highlight w:val="none"/>
                    </w:rPr>
                    <w:t>20</w:t>
                  </w:r>
                </w:p>
              </w:tc>
              <w:tc>
                <w:tcPr>
                  <w:tcW w:w="765" w:type="dxa"/>
                  <w:noWrap w:val="0"/>
                  <w:vAlign w:val="center"/>
                </w:tcPr>
                <w:p w14:paraId="00AAB46B">
                  <w:pPr>
                    <w:pStyle w:val="98"/>
                    <w:adjustRightInd/>
                    <w:snapToGrid/>
                    <w:rPr>
                      <w:rFonts w:hint="eastAsia"/>
                      <w:b/>
                      <w:bCs/>
                      <w:color w:val="auto"/>
                      <w:szCs w:val="21"/>
                      <w:highlight w:val="none"/>
                    </w:rPr>
                  </w:pPr>
                  <w:r>
                    <w:rPr>
                      <w:rFonts w:hint="eastAsia"/>
                      <w:b/>
                      <w:bCs/>
                      <w:color w:val="auto"/>
                      <w:szCs w:val="21"/>
                      <w:highlight w:val="none"/>
                    </w:rPr>
                    <w:t>30</w:t>
                  </w:r>
                </w:p>
              </w:tc>
              <w:tc>
                <w:tcPr>
                  <w:tcW w:w="765" w:type="dxa"/>
                  <w:noWrap w:val="0"/>
                  <w:vAlign w:val="center"/>
                </w:tcPr>
                <w:p w14:paraId="4A682708">
                  <w:pPr>
                    <w:pStyle w:val="98"/>
                    <w:adjustRightInd/>
                    <w:snapToGrid/>
                    <w:rPr>
                      <w:rFonts w:hint="eastAsia"/>
                      <w:b/>
                      <w:bCs/>
                      <w:color w:val="auto"/>
                      <w:szCs w:val="21"/>
                      <w:highlight w:val="none"/>
                    </w:rPr>
                  </w:pPr>
                  <w:r>
                    <w:rPr>
                      <w:rFonts w:hint="eastAsia"/>
                      <w:b/>
                      <w:bCs/>
                      <w:color w:val="auto"/>
                      <w:szCs w:val="21"/>
                      <w:highlight w:val="none"/>
                    </w:rPr>
                    <w:t>40</w:t>
                  </w:r>
                </w:p>
              </w:tc>
              <w:tc>
                <w:tcPr>
                  <w:tcW w:w="766" w:type="dxa"/>
                  <w:noWrap w:val="0"/>
                  <w:vAlign w:val="center"/>
                </w:tcPr>
                <w:p w14:paraId="15796CAC">
                  <w:pPr>
                    <w:pStyle w:val="98"/>
                    <w:adjustRightInd/>
                    <w:snapToGrid/>
                    <w:rPr>
                      <w:rFonts w:hint="eastAsia"/>
                      <w:b/>
                      <w:bCs/>
                      <w:color w:val="auto"/>
                      <w:szCs w:val="21"/>
                      <w:highlight w:val="none"/>
                    </w:rPr>
                  </w:pPr>
                  <w:r>
                    <w:rPr>
                      <w:rFonts w:hint="eastAsia"/>
                      <w:b/>
                      <w:bCs/>
                      <w:color w:val="auto"/>
                      <w:szCs w:val="21"/>
                      <w:highlight w:val="none"/>
                    </w:rPr>
                    <w:t>45</w:t>
                  </w:r>
                </w:p>
              </w:tc>
              <w:tc>
                <w:tcPr>
                  <w:tcW w:w="766" w:type="dxa"/>
                  <w:noWrap w:val="0"/>
                  <w:vAlign w:val="center"/>
                </w:tcPr>
                <w:p w14:paraId="6A069482">
                  <w:pPr>
                    <w:pStyle w:val="98"/>
                    <w:adjustRightInd/>
                    <w:snapToGrid/>
                    <w:rPr>
                      <w:rFonts w:hint="eastAsia"/>
                      <w:b/>
                      <w:bCs/>
                      <w:color w:val="auto"/>
                      <w:szCs w:val="21"/>
                      <w:highlight w:val="none"/>
                    </w:rPr>
                  </w:pPr>
                  <w:r>
                    <w:rPr>
                      <w:rFonts w:hint="eastAsia"/>
                      <w:b/>
                      <w:bCs/>
                      <w:color w:val="auto"/>
                      <w:szCs w:val="21"/>
                      <w:highlight w:val="none"/>
                    </w:rPr>
                    <w:t>50</w:t>
                  </w:r>
                </w:p>
              </w:tc>
              <w:tc>
                <w:tcPr>
                  <w:tcW w:w="766" w:type="dxa"/>
                  <w:noWrap w:val="0"/>
                  <w:vAlign w:val="center"/>
                </w:tcPr>
                <w:p w14:paraId="4A9F8282">
                  <w:pPr>
                    <w:pStyle w:val="98"/>
                    <w:adjustRightInd/>
                    <w:snapToGrid/>
                    <w:rPr>
                      <w:rFonts w:hint="eastAsia"/>
                      <w:b/>
                      <w:bCs/>
                      <w:color w:val="auto"/>
                      <w:szCs w:val="21"/>
                      <w:highlight w:val="none"/>
                    </w:rPr>
                  </w:pPr>
                  <w:r>
                    <w:rPr>
                      <w:rFonts w:hint="eastAsia"/>
                      <w:b/>
                      <w:bCs/>
                      <w:color w:val="auto"/>
                      <w:szCs w:val="21"/>
                      <w:highlight w:val="none"/>
                    </w:rPr>
                    <w:t>100</w:t>
                  </w:r>
                </w:p>
              </w:tc>
              <w:tc>
                <w:tcPr>
                  <w:tcW w:w="766" w:type="dxa"/>
                  <w:noWrap w:val="0"/>
                  <w:vAlign w:val="center"/>
                </w:tcPr>
                <w:p w14:paraId="006AA273">
                  <w:pPr>
                    <w:pStyle w:val="98"/>
                    <w:adjustRightInd/>
                    <w:snapToGrid/>
                    <w:rPr>
                      <w:rFonts w:hint="eastAsia"/>
                      <w:b/>
                      <w:bCs/>
                      <w:color w:val="auto"/>
                      <w:szCs w:val="21"/>
                      <w:highlight w:val="none"/>
                    </w:rPr>
                  </w:pPr>
                  <w:r>
                    <w:rPr>
                      <w:rFonts w:hint="eastAsia"/>
                      <w:b/>
                      <w:bCs/>
                      <w:color w:val="auto"/>
                      <w:szCs w:val="21"/>
                      <w:highlight w:val="none"/>
                    </w:rPr>
                    <w:t>200</w:t>
                  </w:r>
                </w:p>
              </w:tc>
            </w:tr>
            <w:tr w14:paraId="723F00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495" w:type="dxa"/>
                  <w:noWrap w:val="0"/>
                  <w:vAlign w:val="center"/>
                </w:tcPr>
                <w:p w14:paraId="615621B1">
                  <w:pPr>
                    <w:pStyle w:val="98"/>
                    <w:adjustRightInd/>
                    <w:snapToGrid/>
                    <w:rPr>
                      <w:rFonts w:hint="eastAsia"/>
                      <w:color w:val="auto"/>
                      <w:szCs w:val="21"/>
                      <w:highlight w:val="none"/>
                    </w:rPr>
                  </w:pPr>
                  <w:r>
                    <w:rPr>
                      <w:rFonts w:hint="eastAsia"/>
                      <w:color w:val="auto"/>
                      <w:szCs w:val="21"/>
                      <w:highlight w:val="none"/>
                    </w:rPr>
                    <w:t>1</w:t>
                  </w:r>
                </w:p>
              </w:tc>
              <w:tc>
                <w:tcPr>
                  <w:tcW w:w="1034" w:type="dxa"/>
                  <w:noWrap w:val="0"/>
                  <w:vAlign w:val="center"/>
                </w:tcPr>
                <w:p w14:paraId="65ADBED5">
                  <w:pPr>
                    <w:pStyle w:val="98"/>
                    <w:adjustRightInd/>
                    <w:snapToGrid/>
                    <w:rPr>
                      <w:rFonts w:hint="eastAsia"/>
                      <w:color w:val="auto"/>
                      <w:szCs w:val="21"/>
                      <w:highlight w:val="none"/>
                    </w:rPr>
                  </w:pPr>
                  <w:r>
                    <w:rPr>
                      <w:rFonts w:hint="eastAsia"/>
                      <w:color w:val="auto"/>
                      <w:szCs w:val="21"/>
                      <w:highlight w:val="none"/>
                    </w:rPr>
                    <w:t>履带式推土机</w:t>
                  </w:r>
                </w:p>
              </w:tc>
              <w:tc>
                <w:tcPr>
                  <w:tcW w:w="765" w:type="dxa"/>
                  <w:noWrap w:val="0"/>
                  <w:vAlign w:val="center"/>
                </w:tcPr>
                <w:p w14:paraId="0FD85F22">
                  <w:pPr>
                    <w:pStyle w:val="98"/>
                    <w:adjustRightInd/>
                    <w:snapToGrid/>
                    <w:rPr>
                      <w:rFonts w:hint="eastAsia"/>
                      <w:color w:val="auto"/>
                      <w:szCs w:val="21"/>
                      <w:highlight w:val="none"/>
                    </w:rPr>
                  </w:pPr>
                  <w:r>
                    <w:rPr>
                      <w:rFonts w:hint="eastAsia"/>
                      <w:color w:val="auto"/>
                      <w:szCs w:val="21"/>
                      <w:highlight w:val="none"/>
                    </w:rPr>
                    <w:t>66</w:t>
                  </w:r>
                </w:p>
              </w:tc>
              <w:tc>
                <w:tcPr>
                  <w:tcW w:w="765" w:type="dxa"/>
                  <w:noWrap w:val="0"/>
                  <w:vAlign w:val="center"/>
                </w:tcPr>
                <w:p w14:paraId="5C96D015">
                  <w:pPr>
                    <w:pStyle w:val="98"/>
                    <w:adjustRightInd/>
                    <w:snapToGrid/>
                    <w:rPr>
                      <w:rFonts w:hint="eastAsia"/>
                      <w:color w:val="auto"/>
                      <w:szCs w:val="21"/>
                      <w:highlight w:val="none"/>
                    </w:rPr>
                  </w:pPr>
                  <w:r>
                    <w:rPr>
                      <w:rFonts w:hint="eastAsia"/>
                      <w:color w:val="auto"/>
                      <w:szCs w:val="21"/>
                      <w:highlight w:val="none"/>
                    </w:rPr>
                    <w:t>63</w:t>
                  </w:r>
                </w:p>
              </w:tc>
              <w:tc>
                <w:tcPr>
                  <w:tcW w:w="765" w:type="dxa"/>
                  <w:noWrap w:val="0"/>
                  <w:vAlign w:val="center"/>
                </w:tcPr>
                <w:p w14:paraId="35D21BA2">
                  <w:pPr>
                    <w:pStyle w:val="98"/>
                    <w:adjustRightInd/>
                    <w:snapToGrid/>
                    <w:rPr>
                      <w:rFonts w:hint="eastAsia"/>
                      <w:color w:val="auto"/>
                      <w:szCs w:val="21"/>
                      <w:highlight w:val="none"/>
                    </w:rPr>
                  </w:pPr>
                  <w:r>
                    <w:rPr>
                      <w:rFonts w:hint="eastAsia"/>
                      <w:color w:val="auto"/>
                      <w:szCs w:val="21"/>
                      <w:highlight w:val="none"/>
                    </w:rPr>
                    <w:t>60</w:t>
                  </w:r>
                </w:p>
              </w:tc>
              <w:tc>
                <w:tcPr>
                  <w:tcW w:w="765" w:type="dxa"/>
                  <w:noWrap w:val="0"/>
                  <w:vAlign w:val="center"/>
                </w:tcPr>
                <w:p w14:paraId="79EF586B">
                  <w:pPr>
                    <w:pStyle w:val="98"/>
                    <w:adjustRightInd/>
                    <w:snapToGrid/>
                    <w:rPr>
                      <w:rFonts w:hint="eastAsia"/>
                      <w:color w:val="auto"/>
                      <w:szCs w:val="21"/>
                      <w:highlight w:val="none"/>
                    </w:rPr>
                  </w:pPr>
                  <w:r>
                    <w:rPr>
                      <w:rFonts w:hint="eastAsia"/>
                      <w:color w:val="auto"/>
                      <w:szCs w:val="21"/>
                      <w:highlight w:val="none"/>
                    </w:rPr>
                    <w:t>56</w:t>
                  </w:r>
                </w:p>
              </w:tc>
              <w:tc>
                <w:tcPr>
                  <w:tcW w:w="765" w:type="dxa"/>
                  <w:noWrap w:val="0"/>
                  <w:vAlign w:val="center"/>
                </w:tcPr>
                <w:p w14:paraId="20C4FA94">
                  <w:pPr>
                    <w:pStyle w:val="98"/>
                    <w:adjustRightInd/>
                    <w:snapToGrid/>
                    <w:rPr>
                      <w:rFonts w:hint="eastAsia"/>
                      <w:color w:val="auto"/>
                      <w:szCs w:val="21"/>
                      <w:highlight w:val="none"/>
                    </w:rPr>
                  </w:pPr>
                  <w:r>
                    <w:rPr>
                      <w:rFonts w:hint="eastAsia"/>
                      <w:color w:val="auto"/>
                      <w:szCs w:val="21"/>
                      <w:highlight w:val="none"/>
                    </w:rPr>
                    <w:t>54</w:t>
                  </w:r>
                </w:p>
              </w:tc>
              <w:tc>
                <w:tcPr>
                  <w:tcW w:w="766" w:type="dxa"/>
                  <w:noWrap w:val="0"/>
                  <w:vAlign w:val="center"/>
                </w:tcPr>
                <w:p w14:paraId="4D877C57">
                  <w:pPr>
                    <w:pStyle w:val="98"/>
                    <w:adjustRightInd/>
                    <w:snapToGrid/>
                    <w:rPr>
                      <w:rFonts w:hint="eastAsia"/>
                      <w:color w:val="auto"/>
                      <w:szCs w:val="21"/>
                      <w:highlight w:val="none"/>
                    </w:rPr>
                  </w:pPr>
                  <w:r>
                    <w:rPr>
                      <w:rFonts w:hint="eastAsia"/>
                      <w:color w:val="auto"/>
                      <w:szCs w:val="21"/>
                      <w:highlight w:val="none"/>
                    </w:rPr>
                    <w:t>53</w:t>
                  </w:r>
                </w:p>
              </w:tc>
              <w:tc>
                <w:tcPr>
                  <w:tcW w:w="766" w:type="dxa"/>
                  <w:noWrap w:val="0"/>
                  <w:vAlign w:val="center"/>
                </w:tcPr>
                <w:p w14:paraId="1505DD25">
                  <w:pPr>
                    <w:pStyle w:val="98"/>
                    <w:adjustRightInd/>
                    <w:snapToGrid/>
                    <w:rPr>
                      <w:rFonts w:hint="eastAsia"/>
                      <w:color w:val="auto"/>
                      <w:szCs w:val="21"/>
                      <w:highlight w:val="none"/>
                    </w:rPr>
                  </w:pPr>
                  <w:r>
                    <w:rPr>
                      <w:rFonts w:hint="eastAsia"/>
                      <w:color w:val="auto"/>
                      <w:szCs w:val="21"/>
                      <w:highlight w:val="none"/>
                    </w:rPr>
                    <w:t>52</w:t>
                  </w:r>
                </w:p>
              </w:tc>
              <w:tc>
                <w:tcPr>
                  <w:tcW w:w="766" w:type="dxa"/>
                  <w:noWrap w:val="0"/>
                  <w:vAlign w:val="center"/>
                </w:tcPr>
                <w:p w14:paraId="26336FB8">
                  <w:pPr>
                    <w:pStyle w:val="98"/>
                    <w:adjustRightInd/>
                    <w:snapToGrid/>
                    <w:rPr>
                      <w:rFonts w:hint="eastAsia"/>
                      <w:color w:val="auto"/>
                      <w:szCs w:val="21"/>
                      <w:highlight w:val="none"/>
                    </w:rPr>
                  </w:pPr>
                  <w:r>
                    <w:rPr>
                      <w:rFonts w:hint="eastAsia"/>
                      <w:color w:val="auto"/>
                      <w:szCs w:val="21"/>
                      <w:highlight w:val="none"/>
                    </w:rPr>
                    <w:t>46</w:t>
                  </w:r>
                </w:p>
              </w:tc>
              <w:tc>
                <w:tcPr>
                  <w:tcW w:w="766" w:type="dxa"/>
                  <w:noWrap w:val="0"/>
                  <w:vAlign w:val="center"/>
                </w:tcPr>
                <w:p w14:paraId="1D637B46">
                  <w:pPr>
                    <w:pStyle w:val="98"/>
                    <w:adjustRightInd/>
                    <w:snapToGrid/>
                    <w:rPr>
                      <w:rFonts w:hint="eastAsia"/>
                      <w:color w:val="auto"/>
                      <w:szCs w:val="21"/>
                      <w:highlight w:val="none"/>
                    </w:rPr>
                  </w:pPr>
                  <w:r>
                    <w:rPr>
                      <w:rFonts w:hint="eastAsia"/>
                      <w:color w:val="auto"/>
                      <w:szCs w:val="21"/>
                      <w:highlight w:val="none"/>
                    </w:rPr>
                    <w:t>40</w:t>
                  </w:r>
                </w:p>
              </w:tc>
            </w:tr>
            <w:tr w14:paraId="0DE16E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495" w:type="dxa"/>
                  <w:noWrap w:val="0"/>
                  <w:vAlign w:val="center"/>
                </w:tcPr>
                <w:p w14:paraId="5C308F3C">
                  <w:pPr>
                    <w:pStyle w:val="98"/>
                    <w:adjustRightInd/>
                    <w:snapToGrid/>
                    <w:rPr>
                      <w:rFonts w:hint="eastAsia"/>
                      <w:color w:val="auto"/>
                      <w:szCs w:val="21"/>
                      <w:highlight w:val="none"/>
                    </w:rPr>
                  </w:pPr>
                  <w:r>
                    <w:rPr>
                      <w:rFonts w:hint="eastAsia"/>
                      <w:color w:val="auto"/>
                      <w:szCs w:val="21"/>
                      <w:highlight w:val="none"/>
                    </w:rPr>
                    <w:t>2</w:t>
                  </w:r>
                </w:p>
              </w:tc>
              <w:tc>
                <w:tcPr>
                  <w:tcW w:w="1034" w:type="dxa"/>
                  <w:noWrap w:val="0"/>
                  <w:vAlign w:val="center"/>
                </w:tcPr>
                <w:p w14:paraId="51E6DB44">
                  <w:pPr>
                    <w:pStyle w:val="98"/>
                    <w:adjustRightInd/>
                    <w:snapToGrid/>
                    <w:rPr>
                      <w:rFonts w:hint="eastAsia"/>
                      <w:color w:val="auto"/>
                      <w:szCs w:val="21"/>
                      <w:highlight w:val="none"/>
                    </w:rPr>
                  </w:pPr>
                  <w:r>
                    <w:rPr>
                      <w:rFonts w:hint="eastAsia"/>
                      <w:color w:val="auto"/>
                      <w:szCs w:val="21"/>
                      <w:highlight w:val="none"/>
                    </w:rPr>
                    <w:t>轮胎式挖掘机</w:t>
                  </w:r>
                </w:p>
              </w:tc>
              <w:tc>
                <w:tcPr>
                  <w:tcW w:w="765" w:type="dxa"/>
                  <w:noWrap w:val="0"/>
                  <w:vAlign w:val="center"/>
                </w:tcPr>
                <w:p w14:paraId="1EBAD7F4">
                  <w:pPr>
                    <w:pStyle w:val="98"/>
                    <w:adjustRightInd/>
                    <w:snapToGrid/>
                    <w:rPr>
                      <w:rFonts w:hint="eastAsia"/>
                      <w:color w:val="auto"/>
                      <w:szCs w:val="21"/>
                      <w:highlight w:val="none"/>
                    </w:rPr>
                  </w:pPr>
                  <w:r>
                    <w:rPr>
                      <w:rFonts w:hint="eastAsia"/>
                      <w:color w:val="auto"/>
                      <w:szCs w:val="21"/>
                      <w:highlight w:val="none"/>
                    </w:rPr>
                    <w:t>75</w:t>
                  </w:r>
                </w:p>
              </w:tc>
              <w:tc>
                <w:tcPr>
                  <w:tcW w:w="765" w:type="dxa"/>
                  <w:noWrap w:val="0"/>
                  <w:vAlign w:val="center"/>
                </w:tcPr>
                <w:p w14:paraId="38A93066">
                  <w:pPr>
                    <w:pStyle w:val="98"/>
                    <w:adjustRightInd/>
                    <w:snapToGrid/>
                    <w:rPr>
                      <w:rFonts w:hint="eastAsia"/>
                      <w:color w:val="auto"/>
                      <w:szCs w:val="21"/>
                      <w:highlight w:val="none"/>
                    </w:rPr>
                  </w:pPr>
                  <w:r>
                    <w:rPr>
                      <w:rFonts w:hint="eastAsia"/>
                      <w:color w:val="auto"/>
                      <w:szCs w:val="21"/>
                      <w:highlight w:val="none"/>
                    </w:rPr>
                    <w:t>72</w:t>
                  </w:r>
                </w:p>
              </w:tc>
              <w:tc>
                <w:tcPr>
                  <w:tcW w:w="765" w:type="dxa"/>
                  <w:noWrap w:val="0"/>
                  <w:vAlign w:val="center"/>
                </w:tcPr>
                <w:p w14:paraId="2FD2B2F6">
                  <w:pPr>
                    <w:pStyle w:val="98"/>
                    <w:adjustRightInd/>
                    <w:snapToGrid/>
                    <w:rPr>
                      <w:rFonts w:hint="eastAsia"/>
                      <w:color w:val="auto"/>
                      <w:szCs w:val="21"/>
                      <w:highlight w:val="none"/>
                    </w:rPr>
                  </w:pPr>
                  <w:r>
                    <w:rPr>
                      <w:rFonts w:hint="eastAsia"/>
                      <w:color w:val="auto"/>
                      <w:szCs w:val="21"/>
                      <w:highlight w:val="none"/>
                    </w:rPr>
                    <w:t>69</w:t>
                  </w:r>
                </w:p>
              </w:tc>
              <w:tc>
                <w:tcPr>
                  <w:tcW w:w="765" w:type="dxa"/>
                  <w:noWrap w:val="0"/>
                  <w:vAlign w:val="center"/>
                </w:tcPr>
                <w:p w14:paraId="6DC3EFBD">
                  <w:pPr>
                    <w:pStyle w:val="98"/>
                    <w:adjustRightInd/>
                    <w:snapToGrid/>
                    <w:rPr>
                      <w:rFonts w:hint="eastAsia"/>
                      <w:color w:val="auto"/>
                      <w:szCs w:val="21"/>
                      <w:highlight w:val="none"/>
                    </w:rPr>
                  </w:pPr>
                  <w:r>
                    <w:rPr>
                      <w:rFonts w:hint="eastAsia"/>
                      <w:color w:val="auto"/>
                      <w:szCs w:val="21"/>
                      <w:highlight w:val="none"/>
                    </w:rPr>
                    <w:t>65</w:t>
                  </w:r>
                </w:p>
              </w:tc>
              <w:tc>
                <w:tcPr>
                  <w:tcW w:w="765" w:type="dxa"/>
                  <w:noWrap w:val="0"/>
                  <w:vAlign w:val="center"/>
                </w:tcPr>
                <w:p w14:paraId="69722D56">
                  <w:pPr>
                    <w:pStyle w:val="98"/>
                    <w:adjustRightInd/>
                    <w:snapToGrid/>
                    <w:rPr>
                      <w:rFonts w:hint="eastAsia"/>
                      <w:color w:val="auto"/>
                      <w:szCs w:val="21"/>
                      <w:highlight w:val="none"/>
                    </w:rPr>
                  </w:pPr>
                  <w:r>
                    <w:rPr>
                      <w:rFonts w:hint="eastAsia"/>
                      <w:color w:val="auto"/>
                      <w:szCs w:val="21"/>
                      <w:highlight w:val="none"/>
                    </w:rPr>
                    <w:t>63</w:t>
                  </w:r>
                </w:p>
              </w:tc>
              <w:tc>
                <w:tcPr>
                  <w:tcW w:w="766" w:type="dxa"/>
                  <w:noWrap w:val="0"/>
                  <w:vAlign w:val="center"/>
                </w:tcPr>
                <w:p w14:paraId="1D992EE4">
                  <w:pPr>
                    <w:pStyle w:val="98"/>
                    <w:adjustRightInd/>
                    <w:snapToGrid/>
                    <w:rPr>
                      <w:rFonts w:hint="eastAsia"/>
                      <w:color w:val="auto"/>
                      <w:szCs w:val="21"/>
                      <w:highlight w:val="none"/>
                    </w:rPr>
                  </w:pPr>
                  <w:r>
                    <w:rPr>
                      <w:rFonts w:hint="eastAsia"/>
                      <w:color w:val="auto"/>
                      <w:szCs w:val="21"/>
                      <w:highlight w:val="none"/>
                    </w:rPr>
                    <w:t>62</w:t>
                  </w:r>
                </w:p>
              </w:tc>
              <w:tc>
                <w:tcPr>
                  <w:tcW w:w="766" w:type="dxa"/>
                  <w:noWrap w:val="0"/>
                  <w:vAlign w:val="center"/>
                </w:tcPr>
                <w:p w14:paraId="1026857B">
                  <w:pPr>
                    <w:pStyle w:val="98"/>
                    <w:adjustRightInd/>
                    <w:snapToGrid/>
                    <w:rPr>
                      <w:rFonts w:hint="eastAsia"/>
                      <w:color w:val="auto"/>
                      <w:szCs w:val="21"/>
                      <w:highlight w:val="none"/>
                    </w:rPr>
                  </w:pPr>
                  <w:r>
                    <w:rPr>
                      <w:rFonts w:hint="eastAsia"/>
                      <w:color w:val="auto"/>
                      <w:szCs w:val="21"/>
                      <w:highlight w:val="none"/>
                    </w:rPr>
                    <w:t>61</w:t>
                  </w:r>
                </w:p>
              </w:tc>
              <w:tc>
                <w:tcPr>
                  <w:tcW w:w="766" w:type="dxa"/>
                  <w:noWrap w:val="0"/>
                  <w:vAlign w:val="center"/>
                </w:tcPr>
                <w:p w14:paraId="530C3777">
                  <w:pPr>
                    <w:pStyle w:val="98"/>
                    <w:adjustRightInd/>
                    <w:snapToGrid/>
                    <w:rPr>
                      <w:rFonts w:hint="eastAsia"/>
                      <w:color w:val="auto"/>
                      <w:szCs w:val="21"/>
                      <w:highlight w:val="none"/>
                    </w:rPr>
                  </w:pPr>
                  <w:r>
                    <w:rPr>
                      <w:rFonts w:hint="eastAsia"/>
                      <w:color w:val="auto"/>
                      <w:szCs w:val="21"/>
                      <w:highlight w:val="none"/>
                    </w:rPr>
                    <w:t>55</w:t>
                  </w:r>
                </w:p>
              </w:tc>
              <w:tc>
                <w:tcPr>
                  <w:tcW w:w="766" w:type="dxa"/>
                  <w:noWrap w:val="0"/>
                  <w:vAlign w:val="center"/>
                </w:tcPr>
                <w:p w14:paraId="685F6CB0">
                  <w:pPr>
                    <w:pStyle w:val="98"/>
                    <w:adjustRightInd/>
                    <w:snapToGrid/>
                    <w:rPr>
                      <w:rFonts w:hint="eastAsia"/>
                      <w:color w:val="auto"/>
                      <w:szCs w:val="21"/>
                      <w:highlight w:val="none"/>
                    </w:rPr>
                  </w:pPr>
                  <w:r>
                    <w:rPr>
                      <w:rFonts w:hint="eastAsia"/>
                      <w:color w:val="auto"/>
                      <w:szCs w:val="21"/>
                      <w:highlight w:val="none"/>
                    </w:rPr>
                    <w:t>49</w:t>
                  </w:r>
                </w:p>
              </w:tc>
            </w:tr>
            <w:tr w14:paraId="621A36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495" w:type="dxa"/>
                  <w:noWrap w:val="0"/>
                  <w:vAlign w:val="center"/>
                </w:tcPr>
                <w:p w14:paraId="1B7E2037">
                  <w:pPr>
                    <w:pStyle w:val="98"/>
                    <w:adjustRightInd/>
                    <w:snapToGrid/>
                    <w:rPr>
                      <w:rFonts w:hint="eastAsia"/>
                      <w:color w:val="auto"/>
                      <w:szCs w:val="21"/>
                      <w:highlight w:val="none"/>
                    </w:rPr>
                  </w:pPr>
                  <w:r>
                    <w:rPr>
                      <w:rFonts w:hint="eastAsia"/>
                      <w:color w:val="auto"/>
                      <w:szCs w:val="21"/>
                      <w:highlight w:val="none"/>
                    </w:rPr>
                    <w:t>3</w:t>
                  </w:r>
                </w:p>
              </w:tc>
              <w:tc>
                <w:tcPr>
                  <w:tcW w:w="1034" w:type="dxa"/>
                  <w:noWrap w:val="0"/>
                  <w:vAlign w:val="center"/>
                </w:tcPr>
                <w:p w14:paraId="4164D608">
                  <w:pPr>
                    <w:pStyle w:val="98"/>
                    <w:adjustRightInd/>
                    <w:snapToGrid/>
                    <w:rPr>
                      <w:rFonts w:hint="eastAsia"/>
                      <w:color w:val="auto"/>
                      <w:szCs w:val="21"/>
                      <w:highlight w:val="none"/>
                    </w:rPr>
                  </w:pPr>
                  <w:r>
                    <w:rPr>
                      <w:rFonts w:hint="eastAsia"/>
                      <w:color w:val="auto"/>
                      <w:szCs w:val="21"/>
                      <w:highlight w:val="none"/>
                    </w:rPr>
                    <w:t>轮胎式装载机</w:t>
                  </w:r>
                </w:p>
              </w:tc>
              <w:tc>
                <w:tcPr>
                  <w:tcW w:w="765" w:type="dxa"/>
                  <w:noWrap w:val="0"/>
                  <w:vAlign w:val="center"/>
                </w:tcPr>
                <w:p w14:paraId="21AD2FD1">
                  <w:pPr>
                    <w:pStyle w:val="98"/>
                    <w:adjustRightInd/>
                    <w:snapToGrid/>
                    <w:rPr>
                      <w:rFonts w:hint="eastAsia"/>
                      <w:color w:val="auto"/>
                      <w:szCs w:val="21"/>
                      <w:highlight w:val="none"/>
                    </w:rPr>
                  </w:pPr>
                  <w:r>
                    <w:rPr>
                      <w:rFonts w:hint="eastAsia"/>
                      <w:color w:val="auto"/>
                      <w:szCs w:val="21"/>
                      <w:highlight w:val="none"/>
                    </w:rPr>
                    <w:t>75</w:t>
                  </w:r>
                </w:p>
              </w:tc>
              <w:tc>
                <w:tcPr>
                  <w:tcW w:w="765" w:type="dxa"/>
                  <w:noWrap w:val="0"/>
                  <w:vAlign w:val="center"/>
                </w:tcPr>
                <w:p w14:paraId="3A6968A3">
                  <w:pPr>
                    <w:pStyle w:val="98"/>
                    <w:adjustRightInd/>
                    <w:snapToGrid/>
                    <w:rPr>
                      <w:rFonts w:hint="eastAsia"/>
                      <w:color w:val="auto"/>
                      <w:szCs w:val="21"/>
                      <w:highlight w:val="none"/>
                    </w:rPr>
                  </w:pPr>
                  <w:r>
                    <w:rPr>
                      <w:rFonts w:hint="eastAsia"/>
                      <w:color w:val="auto"/>
                      <w:szCs w:val="21"/>
                      <w:highlight w:val="none"/>
                    </w:rPr>
                    <w:t>72</w:t>
                  </w:r>
                </w:p>
              </w:tc>
              <w:tc>
                <w:tcPr>
                  <w:tcW w:w="765" w:type="dxa"/>
                  <w:noWrap w:val="0"/>
                  <w:vAlign w:val="center"/>
                </w:tcPr>
                <w:p w14:paraId="344DF260">
                  <w:pPr>
                    <w:pStyle w:val="98"/>
                    <w:adjustRightInd/>
                    <w:snapToGrid/>
                    <w:rPr>
                      <w:rFonts w:hint="eastAsia"/>
                      <w:color w:val="auto"/>
                      <w:szCs w:val="21"/>
                      <w:highlight w:val="none"/>
                    </w:rPr>
                  </w:pPr>
                  <w:r>
                    <w:rPr>
                      <w:rFonts w:hint="eastAsia"/>
                      <w:color w:val="auto"/>
                      <w:szCs w:val="21"/>
                      <w:highlight w:val="none"/>
                    </w:rPr>
                    <w:t>69</w:t>
                  </w:r>
                </w:p>
              </w:tc>
              <w:tc>
                <w:tcPr>
                  <w:tcW w:w="765" w:type="dxa"/>
                  <w:noWrap w:val="0"/>
                  <w:vAlign w:val="center"/>
                </w:tcPr>
                <w:p w14:paraId="30F258E6">
                  <w:pPr>
                    <w:pStyle w:val="98"/>
                    <w:adjustRightInd/>
                    <w:snapToGrid/>
                    <w:rPr>
                      <w:rFonts w:hint="eastAsia"/>
                      <w:color w:val="auto"/>
                      <w:szCs w:val="21"/>
                      <w:highlight w:val="none"/>
                    </w:rPr>
                  </w:pPr>
                  <w:r>
                    <w:rPr>
                      <w:rFonts w:hint="eastAsia"/>
                      <w:color w:val="auto"/>
                      <w:szCs w:val="21"/>
                      <w:highlight w:val="none"/>
                    </w:rPr>
                    <w:t>65</w:t>
                  </w:r>
                </w:p>
              </w:tc>
              <w:tc>
                <w:tcPr>
                  <w:tcW w:w="765" w:type="dxa"/>
                  <w:noWrap w:val="0"/>
                  <w:vAlign w:val="center"/>
                </w:tcPr>
                <w:p w14:paraId="50CB55E3">
                  <w:pPr>
                    <w:pStyle w:val="98"/>
                    <w:adjustRightInd/>
                    <w:snapToGrid/>
                    <w:rPr>
                      <w:rFonts w:hint="eastAsia"/>
                      <w:color w:val="auto"/>
                      <w:szCs w:val="21"/>
                      <w:highlight w:val="none"/>
                    </w:rPr>
                  </w:pPr>
                  <w:r>
                    <w:rPr>
                      <w:rFonts w:hint="eastAsia"/>
                      <w:color w:val="auto"/>
                      <w:szCs w:val="21"/>
                      <w:highlight w:val="none"/>
                    </w:rPr>
                    <w:t>63</w:t>
                  </w:r>
                </w:p>
              </w:tc>
              <w:tc>
                <w:tcPr>
                  <w:tcW w:w="766" w:type="dxa"/>
                  <w:noWrap w:val="0"/>
                  <w:vAlign w:val="center"/>
                </w:tcPr>
                <w:p w14:paraId="7FF053AD">
                  <w:pPr>
                    <w:pStyle w:val="98"/>
                    <w:adjustRightInd/>
                    <w:snapToGrid/>
                    <w:rPr>
                      <w:rFonts w:hint="eastAsia"/>
                      <w:color w:val="auto"/>
                      <w:szCs w:val="21"/>
                      <w:highlight w:val="none"/>
                    </w:rPr>
                  </w:pPr>
                  <w:r>
                    <w:rPr>
                      <w:rFonts w:hint="eastAsia"/>
                      <w:color w:val="auto"/>
                      <w:szCs w:val="21"/>
                      <w:highlight w:val="none"/>
                    </w:rPr>
                    <w:t>62</w:t>
                  </w:r>
                </w:p>
              </w:tc>
              <w:tc>
                <w:tcPr>
                  <w:tcW w:w="766" w:type="dxa"/>
                  <w:noWrap w:val="0"/>
                  <w:vAlign w:val="center"/>
                </w:tcPr>
                <w:p w14:paraId="4954764C">
                  <w:pPr>
                    <w:pStyle w:val="98"/>
                    <w:adjustRightInd/>
                    <w:snapToGrid/>
                    <w:rPr>
                      <w:rFonts w:hint="eastAsia"/>
                      <w:color w:val="auto"/>
                      <w:szCs w:val="21"/>
                      <w:highlight w:val="none"/>
                    </w:rPr>
                  </w:pPr>
                  <w:r>
                    <w:rPr>
                      <w:rFonts w:hint="eastAsia"/>
                      <w:color w:val="auto"/>
                      <w:szCs w:val="21"/>
                      <w:highlight w:val="none"/>
                    </w:rPr>
                    <w:t>61</w:t>
                  </w:r>
                </w:p>
              </w:tc>
              <w:tc>
                <w:tcPr>
                  <w:tcW w:w="766" w:type="dxa"/>
                  <w:noWrap w:val="0"/>
                  <w:vAlign w:val="center"/>
                </w:tcPr>
                <w:p w14:paraId="48A00421">
                  <w:pPr>
                    <w:pStyle w:val="98"/>
                    <w:adjustRightInd/>
                    <w:snapToGrid/>
                    <w:rPr>
                      <w:rFonts w:hint="eastAsia"/>
                      <w:color w:val="auto"/>
                      <w:szCs w:val="21"/>
                      <w:highlight w:val="none"/>
                    </w:rPr>
                  </w:pPr>
                  <w:r>
                    <w:rPr>
                      <w:rFonts w:hint="eastAsia"/>
                      <w:color w:val="auto"/>
                      <w:szCs w:val="21"/>
                      <w:highlight w:val="none"/>
                    </w:rPr>
                    <w:t>55</w:t>
                  </w:r>
                </w:p>
              </w:tc>
              <w:tc>
                <w:tcPr>
                  <w:tcW w:w="766" w:type="dxa"/>
                  <w:noWrap w:val="0"/>
                  <w:vAlign w:val="center"/>
                </w:tcPr>
                <w:p w14:paraId="4FC7480F">
                  <w:pPr>
                    <w:pStyle w:val="98"/>
                    <w:adjustRightInd/>
                    <w:snapToGrid/>
                    <w:rPr>
                      <w:rFonts w:hint="eastAsia"/>
                      <w:color w:val="auto"/>
                      <w:szCs w:val="21"/>
                      <w:highlight w:val="none"/>
                    </w:rPr>
                  </w:pPr>
                  <w:r>
                    <w:rPr>
                      <w:rFonts w:hint="eastAsia"/>
                      <w:color w:val="auto"/>
                      <w:szCs w:val="21"/>
                      <w:highlight w:val="none"/>
                    </w:rPr>
                    <w:t>49</w:t>
                  </w:r>
                </w:p>
              </w:tc>
            </w:tr>
            <w:tr w14:paraId="6AF08A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495" w:type="dxa"/>
                  <w:noWrap w:val="0"/>
                  <w:vAlign w:val="center"/>
                </w:tcPr>
                <w:p w14:paraId="5345BFA5">
                  <w:pPr>
                    <w:pStyle w:val="98"/>
                    <w:adjustRightInd/>
                    <w:snapToGrid/>
                    <w:rPr>
                      <w:rFonts w:hint="eastAsia"/>
                      <w:color w:val="auto"/>
                      <w:szCs w:val="21"/>
                      <w:highlight w:val="none"/>
                    </w:rPr>
                  </w:pPr>
                  <w:r>
                    <w:rPr>
                      <w:rFonts w:hint="eastAsia"/>
                      <w:color w:val="auto"/>
                      <w:szCs w:val="21"/>
                      <w:highlight w:val="none"/>
                    </w:rPr>
                    <w:t>4</w:t>
                  </w:r>
                </w:p>
              </w:tc>
              <w:tc>
                <w:tcPr>
                  <w:tcW w:w="1034" w:type="dxa"/>
                  <w:noWrap w:val="0"/>
                  <w:vAlign w:val="center"/>
                </w:tcPr>
                <w:p w14:paraId="0FF90C63">
                  <w:pPr>
                    <w:pStyle w:val="98"/>
                    <w:adjustRightInd/>
                    <w:snapToGrid/>
                    <w:rPr>
                      <w:rFonts w:hint="eastAsia"/>
                      <w:color w:val="auto"/>
                      <w:szCs w:val="21"/>
                      <w:highlight w:val="none"/>
                    </w:rPr>
                  </w:pPr>
                  <w:r>
                    <w:rPr>
                      <w:rFonts w:hint="eastAsia"/>
                      <w:color w:val="auto"/>
                      <w:szCs w:val="21"/>
                      <w:highlight w:val="none"/>
                    </w:rPr>
                    <w:t>旋挖钻孔机</w:t>
                  </w:r>
                </w:p>
              </w:tc>
              <w:tc>
                <w:tcPr>
                  <w:tcW w:w="765" w:type="dxa"/>
                  <w:noWrap w:val="0"/>
                  <w:vAlign w:val="center"/>
                </w:tcPr>
                <w:p w14:paraId="2BDFFB1B">
                  <w:pPr>
                    <w:pStyle w:val="98"/>
                    <w:adjustRightInd/>
                    <w:snapToGrid/>
                    <w:rPr>
                      <w:rFonts w:hint="eastAsia"/>
                      <w:color w:val="auto"/>
                      <w:szCs w:val="21"/>
                      <w:highlight w:val="none"/>
                    </w:rPr>
                  </w:pPr>
                  <w:r>
                    <w:rPr>
                      <w:rFonts w:hint="eastAsia"/>
                      <w:color w:val="auto"/>
                      <w:szCs w:val="21"/>
                      <w:highlight w:val="none"/>
                    </w:rPr>
                    <w:t>45</w:t>
                  </w:r>
                </w:p>
              </w:tc>
              <w:tc>
                <w:tcPr>
                  <w:tcW w:w="765" w:type="dxa"/>
                  <w:noWrap w:val="0"/>
                  <w:vAlign w:val="center"/>
                </w:tcPr>
                <w:p w14:paraId="1F90C9CD">
                  <w:pPr>
                    <w:pStyle w:val="98"/>
                    <w:adjustRightInd/>
                    <w:snapToGrid/>
                    <w:rPr>
                      <w:rFonts w:hint="eastAsia"/>
                      <w:color w:val="auto"/>
                      <w:szCs w:val="21"/>
                      <w:highlight w:val="none"/>
                    </w:rPr>
                  </w:pPr>
                  <w:r>
                    <w:rPr>
                      <w:rFonts w:hint="eastAsia"/>
                      <w:color w:val="auto"/>
                      <w:szCs w:val="21"/>
                      <w:highlight w:val="none"/>
                    </w:rPr>
                    <w:t>42</w:t>
                  </w:r>
                </w:p>
              </w:tc>
              <w:tc>
                <w:tcPr>
                  <w:tcW w:w="765" w:type="dxa"/>
                  <w:noWrap w:val="0"/>
                  <w:vAlign w:val="center"/>
                </w:tcPr>
                <w:p w14:paraId="5265FC5A">
                  <w:pPr>
                    <w:pStyle w:val="98"/>
                    <w:adjustRightInd/>
                    <w:snapToGrid/>
                    <w:rPr>
                      <w:rFonts w:hint="eastAsia"/>
                      <w:color w:val="auto"/>
                      <w:szCs w:val="21"/>
                      <w:highlight w:val="none"/>
                    </w:rPr>
                  </w:pPr>
                  <w:r>
                    <w:rPr>
                      <w:rFonts w:hint="eastAsia"/>
                      <w:color w:val="auto"/>
                      <w:szCs w:val="21"/>
                      <w:highlight w:val="none"/>
                    </w:rPr>
                    <w:t>39</w:t>
                  </w:r>
                </w:p>
              </w:tc>
              <w:tc>
                <w:tcPr>
                  <w:tcW w:w="765" w:type="dxa"/>
                  <w:noWrap w:val="0"/>
                  <w:vAlign w:val="center"/>
                </w:tcPr>
                <w:p w14:paraId="2ACACF76">
                  <w:pPr>
                    <w:pStyle w:val="98"/>
                    <w:adjustRightInd/>
                    <w:snapToGrid/>
                    <w:rPr>
                      <w:rFonts w:hint="eastAsia"/>
                      <w:color w:val="auto"/>
                      <w:szCs w:val="21"/>
                      <w:highlight w:val="none"/>
                    </w:rPr>
                  </w:pPr>
                  <w:r>
                    <w:rPr>
                      <w:rFonts w:hint="eastAsia"/>
                      <w:color w:val="auto"/>
                      <w:szCs w:val="21"/>
                      <w:highlight w:val="none"/>
                    </w:rPr>
                    <w:t>/</w:t>
                  </w:r>
                </w:p>
              </w:tc>
              <w:tc>
                <w:tcPr>
                  <w:tcW w:w="765" w:type="dxa"/>
                  <w:noWrap w:val="0"/>
                  <w:vAlign w:val="center"/>
                </w:tcPr>
                <w:p w14:paraId="52CCD6BD">
                  <w:pPr>
                    <w:pStyle w:val="98"/>
                    <w:adjustRightInd/>
                    <w:snapToGrid/>
                    <w:rPr>
                      <w:rFonts w:hint="eastAsia"/>
                      <w:color w:val="auto"/>
                      <w:szCs w:val="21"/>
                      <w:highlight w:val="none"/>
                    </w:rPr>
                  </w:pPr>
                  <w:r>
                    <w:rPr>
                      <w:rFonts w:hint="eastAsia"/>
                      <w:color w:val="auto"/>
                      <w:szCs w:val="21"/>
                      <w:highlight w:val="none"/>
                    </w:rPr>
                    <w:t>/</w:t>
                  </w:r>
                </w:p>
              </w:tc>
              <w:tc>
                <w:tcPr>
                  <w:tcW w:w="766" w:type="dxa"/>
                  <w:noWrap w:val="0"/>
                  <w:vAlign w:val="center"/>
                </w:tcPr>
                <w:p w14:paraId="1645C2B0">
                  <w:pPr>
                    <w:pStyle w:val="98"/>
                    <w:adjustRightInd/>
                    <w:snapToGrid/>
                    <w:rPr>
                      <w:rFonts w:hint="eastAsia"/>
                      <w:color w:val="auto"/>
                      <w:szCs w:val="21"/>
                      <w:highlight w:val="none"/>
                    </w:rPr>
                  </w:pPr>
                  <w:r>
                    <w:rPr>
                      <w:rFonts w:hint="eastAsia"/>
                      <w:color w:val="auto"/>
                      <w:szCs w:val="21"/>
                      <w:highlight w:val="none"/>
                    </w:rPr>
                    <w:t>/</w:t>
                  </w:r>
                </w:p>
              </w:tc>
              <w:tc>
                <w:tcPr>
                  <w:tcW w:w="766" w:type="dxa"/>
                  <w:noWrap w:val="0"/>
                  <w:vAlign w:val="center"/>
                </w:tcPr>
                <w:p w14:paraId="29F40430">
                  <w:pPr>
                    <w:pStyle w:val="98"/>
                    <w:adjustRightInd/>
                    <w:snapToGrid/>
                    <w:rPr>
                      <w:rFonts w:hint="eastAsia"/>
                      <w:color w:val="auto"/>
                      <w:szCs w:val="21"/>
                      <w:highlight w:val="none"/>
                    </w:rPr>
                  </w:pPr>
                  <w:r>
                    <w:rPr>
                      <w:rFonts w:hint="eastAsia"/>
                      <w:color w:val="auto"/>
                      <w:szCs w:val="21"/>
                      <w:highlight w:val="none"/>
                    </w:rPr>
                    <w:t>/</w:t>
                  </w:r>
                </w:p>
              </w:tc>
              <w:tc>
                <w:tcPr>
                  <w:tcW w:w="766" w:type="dxa"/>
                  <w:noWrap w:val="0"/>
                  <w:vAlign w:val="center"/>
                </w:tcPr>
                <w:p w14:paraId="48B32230">
                  <w:pPr>
                    <w:pStyle w:val="98"/>
                    <w:adjustRightInd/>
                    <w:snapToGrid/>
                    <w:rPr>
                      <w:rFonts w:hint="eastAsia"/>
                      <w:color w:val="auto"/>
                      <w:szCs w:val="21"/>
                      <w:highlight w:val="none"/>
                    </w:rPr>
                  </w:pPr>
                  <w:r>
                    <w:rPr>
                      <w:rFonts w:hint="eastAsia"/>
                      <w:color w:val="auto"/>
                      <w:szCs w:val="21"/>
                      <w:highlight w:val="none"/>
                    </w:rPr>
                    <w:t>/</w:t>
                  </w:r>
                </w:p>
              </w:tc>
              <w:tc>
                <w:tcPr>
                  <w:tcW w:w="766" w:type="dxa"/>
                  <w:noWrap w:val="0"/>
                  <w:vAlign w:val="center"/>
                </w:tcPr>
                <w:p w14:paraId="3A3A5376">
                  <w:pPr>
                    <w:pStyle w:val="98"/>
                    <w:adjustRightInd/>
                    <w:snapToGrid/>
                    <w:rPr>
                      <w:rFonts w:hint="eastAsia"/>
                      <w:color w:val="auto"/>
                      <w:szCs w:val="21"/>
                      <w:highlight w:val="none"/>
                    </w:rPr>
                  </w:pPr>
                  <w:r>
                    <w:rPr>
                      <w:rFonts w:hint="eastAsia"/>
                      <w:color w:val="auto"/>
                      <w:szCs w:val="21"/>
                      <w:highlight w:val="none"/>
                    </w:rPr>
                    <w:t>/</w:t>
                  </w:r>
                </w:p>
              </w:tc>
            </w:tr>
            <w:tr w14:paraId="6A70AB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495" w:type="dxa"/>
                  <w:noWrap w:val="0"/>
                  <w:vAlign w:val="center"/>
                </w:tcPr>
                <w:p w14:paraId="50AEBB2A">
                  <w:pPr>
                    <w:pStyle w:val="98"/>
                    <w:adjustRightInd/>
                    <w:snapToGrid/>
                    <w:rPr>
                      <w:rFonts w:hint="eastAsia"/>
                      <w:color w:val="auto"/>
                      <w:szCs w:val="21"/>
                      <w:highlight w:val="none"/>
                    </w:rPr>
                  </w:pPr>
                  <w:r>
                    <w:rPr>
                      <w:rFonts w:hint="eastAsia"/>
                      <w:color w:val="auto"/>
                      <w:szCs w:val="21"/>
                      <w:highlight w:val="none"/>
                    </w:rPr>
                    <w:t>5</w:t>
                  </w:r>
                </w:p>
              </w:tc>
              <w:tc>
                <w:tcPr>
                  <w:tcW w:w="1034" w:type="dxa"/>
                  <w:noWrap w:val="0"/>
                  <w:vAlign w:val="center"/>
                </w:tcPr>
                <w:p w14:paraId="02410F0C">
                  <w:pPr>
                    <w:pStyle w:val="98"/>
                    <w:adjustRightInd/>
                    <w:snapToGrid/>
                    <w:rPr>
                      <w:rFonts w:hint="eastAsia"/>
                      <w:color w:val="auto"/>
                      <w:szCs w:val="21"/>
                      <w:highlight w:val="none"/>
                    </w:rPr>
                  </w:pPr>
                  <w:r>
                    <w:rPr>
                      <w:rFonts w:hint="eastAsia"/>
                      <w:color w:val="auto"/>
                      <w:szCs w:val="21"/>
                      <w:highlight w:val="none"/>
                    </w:rPr>
                    <w:t>升降机</w:t>
                  </w:r>
                </w:p>
              </w:tc>
              <w:tc>
                <w:tcPr>
                  <w:tcW w:w="765" w:type="dxa"/>
                  <w:noWrap w:val="0"/>
                  <w:vAlign w:val="center"/>
                </w:tcPr>
                <w:p w14:paraId="0B327BDB">
                  <w:pPr>
                    <w:pStyle w:val="98"/>
                    <w:adjustRightInd/>
                    <w:snapToGrid/>
                    <w:rPr>
                      <w:rFonts w:hint="eastAsia"/>
                      <w:color w:val="auto"/>
                      <w:szCs w:val="21"/>
                      <w:highlight w:val="none"/>
                    </w:rPr>
                  </w:pPr>
                  <w:r>
                    <w:rPr>
                      <w:rFonts w:hint="eastAsia"/>
                      <w:color w:val="auto"/>
                      <w:szCs w:val="21"/>
                      <w:highlight w:val="none"/>
                    </w:rPr>
                    <w:t>60</w:t>
                  </w:r>
                </w:p>
              </w:tc>
              <w:tc>
                <w:tcPr>
                  <w:tcW w:w="765" w:type="dxa"/>
                  <w:noWrap w:val="0"/>
                  <w:vAlign w:val="center"/>
                </w:tcPr>
                <w:p w14:paraId="3144F958">
                  <w:pPr>
                    <w:pStyle w:val="98"/>
                    <w:adjustRightInd/>
                    <w:snapToGrid/>
                    <w:rPr>
                      <w:rFonts w:hint="eastAsia"/>
                      <w:color w:val="auto"/>
                      <w:szCs w:val="21"/>
                      <w:highlight w:val="none"/>
                    </w:rPr>
                  </w:pPr>
                  <w:r>
                    <w:rPr>
                      <w:rFonts w:hint="eastAsia"/>
                      <w:color w:val="auto"/>
                      <w:szCs w:val="21"/>
                      <w:highlight w:val="none"/>
                    </w:rPr>
                    <w:t>57</w:t>
                  </w:r>
                </w:p>
              </w:tc>
              <w:tc>
                <w:tcPr>
                  <w:tcW w:w="765" w:type="dxa"/>
                  <w:noWrap w:val="0"/>
                  <w:vAlign w:val="center"/>
                </w:tcPr>
                <w:p w14:paraId="36E4C8AC">
                  <w:pPr>
                    <w:pStyle w:val="98"/>
                    <w:adjustRightInd/>
                    <w:snapToGrid/>
                    <w:rPr>
                      <w:rFonts w:hint="eastAsia"/>
                      <w:color w:val="auto"/>
                      <w:szCs w:val="21"/>
                      <w:highlight w:val="none"/>
                    </w:rPr>
                  </w:pPr>
                  <w:r>
                    <w:rPr>
                      <w:rFonts w:hint="eastAsia"/>
                      <w:color w:val="auto"/>
                      <w:szCs w:val="21"/>
                      <w:highlight w:val="none"/>
                    </w:rPr>
                    <w:t>54</w:t>
                  </w:r>
                </w:p>
              </w:tc>
              <w:tc>
                <w:tcPr>
                  <w:tcW w:w="765" w:type="dxa"/>
                  <w:noWrap w:val="0"/>
                  <w:vAlign w:val="center"/>
                </w:tcPr>
                <w:p w14:paraId="6EE009E2">
                  <w:pPr>
                    <w:pStyle w:val="98"/>
                    <w:adjustRightInd/>
                    <w:snapToGrid/>
                    <w:rPr>
                      <w:rFonts w:hint="eastAsia"/>
                      <w:color w:val="auto"/>
                      <w:szCs w:val="21"/>
                      <w:highlight w:val="none"/>
                    </w:rPr>
                  </w:pPr>
                  <w:r>
                    <w:rPr>
                      <w:rFonts w:hint="eastAsia"/>
                      <w:color w:val="auto"/>
                      <w:szCs w:val="21"/>
                      <w:highlight w:val="none"/>
                    </w:rPr>
                    <w:t>50</w:t>
                  </w:r>
                </w:p>
              </w:tc>
              <w:tc>
                <w:tcPr>
                  <w:tcW w:w="765" w:type="dxa"/>
                  <w:noWrap w:val="0"/>
                  <w:vAlign w:val="center"/>
                </w:tcPr>
                <w:p w14:paraId="269F7CEC">
                  <w:pPr>
                    <w:pStyle w:val="98"/>
                    <w:adjustRightInd/>
                    <w:snapToGrid/>
                    <w:rPr>
                      <w:rFonts w:hint="eastAsia"/>
                      <w:color w:val="auto"/>
                      <w:szCs w:val="21"/>
                      <w:highlight w:val="none"/>
                    </w:rPr>
                  </w:pPr>
                  <w:r>
                    <w:rPr>
                      <w:rFonts w:hint="eastAsia"/>
                      <w:color w:val="auto"/>
                      <w:szCs w:val="21"/>
                      <w:highlight w:val="none"/>
                    </w:rPr>
                    <w:t>48</w:t>
                  </w:r>
                </w:p>
              </w:tc>
              <w:tc>
                <w:tcPr>
                  <w:tcW w:w="766" w:type="dxa"/>
                  <w:noWrap w:val="0"/>
                  <w:vAlign w:val="center"/>
                </w:tcPr>
                <w:p w14:paraId="65A7E0AB">
                  <w:pPr>
                    <w:pStyle w:val="98"/>
                    <w:adjustRightInd/>
                    <w:snapToGrid/>
                    <w:rPr>
                      <w:rFonts w:hint="eastAsia"/>
                      <w:color w:val="auto"/>
                      <w:szCs w:val="21"/>
                      <w:highlight w:val="none"/>
                    </w:rPr>
                  </w:pPr>
                  <w:r>
                    <w:rPr>
                      <w:rFonts w:hint="eastAsia"/>
                      <w:color w:val="auto"/>
                      <w:szCs w:val="21"/>
                      <w:highlight w:val="none"/>
                    </w:rPr>
                    <w:t>47</w:t>
                  </w:r>
                </w:p>
              </w:tc>
              <w:tc>
                <w:tcPr>
                  <w:tcW w:w="766" w:type="dxa"/>
                  <w:noWrap w:val="0"/>
                  <w:vAlign w:val="center"/>
                </w:tcPr>
                <w:p w14:paraId="44421401">
                  <w:pPr>
                    <w:pStyle w:val="98"/>
                    <w:adjustRightInd/>
                    <w:snapToGrid/>
                    <w:rPr>
                      <w:rFonts w:hint="eastAsia"/>
                      <w:color w:val="auto"/>
                      <w:szCs w:val="21"/>
                      <w:highlight w:val="none"/>
                    </w:rPr>
                  </w:pPr>
                  <w:r>
                    <w:rPr>
                      <w:rFonts w:hint="eastAsia"/>
                      <w:color w:val="auto"/>
                      <w:szCs w:val="21"/>
                      <w:highlight w:val="none"/>
                    </w:rPr>
                    <w:t>46</w:t>
                  </w:r>
                </w:p>
              </w:tc>
              <w:tc>
                <w:tcPr>
                  <w:tcW w:w="766" w:type="dxa"/>
                  <w:noWrap w:val="0"/>
                  <w:vAlign w:val="center"/>
                </w:tcPr>
                <w:p w14:paraId="38E4A656">
                  <w:pPr>
                    <w:pStyle w:val="98"/>
                    <w:adjustRightInd/>
                    <w:snapToGrid/>
                    <w:rPr>
                      <w:rFonts w:hint="eastAsia"/>
                      <w:color w:val="auto"/>
                      <w:szCs w:val="21"/>
                      <w:highlight w:val="none"/>
                    </w:rPr>
                  </w:pPr>
                  <w:r>
                    <w:rPr>
                      <w:rFonts w:hint="eastAsia"/>
                      <w:color w:val="auto"/>
                      <w:szCs w:val="21"/>
                      <w:highlight w:val="none"/>
                    </w:rPr>
                    <w:t>40</w:t>
                  </w:r>
                </w:p>
              </w:tc>
              <w:tc>
                <w:tcPr>
                  <w:tcW w:w="766" w:type="dxa"/>
                  <w:noWrap w:val="0"/>
                  <w:vAlign w:val="center"/>
                </w:tcPr>
                <w:p w14:paraId="1F1B8E7E">
                  <w:pPr>
                    <w:pStyle w:val="98"/>
                    <w:adjustRightInd/>
                    <w:snapToGrid/>
                    <w:rPr>
                      <w:rFonts w:hint="eastAsia"/>
                      <w:color w:val="auto"/>
                      <w:szCs w:val="21"/>
                      <w:highlight w:val="none"/>
                    </w:rPr>
                  </w:pPr>
                  <w:r>
                    <w:rPr>
                      <w:rFonts w:hint="eastAsia"/>
                      <w:color w:val="auto"/>
                      <w:szCs w:val="21"/>
                      <w:highlight w:val="none"/>
                    </w:rPr>
                    <w:t>/</w:t>
                  </w:r>
                </w:p>
              </w:tc>
            </w:tr>
            <w:tr w14:paraId="6F83E9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495" w:type="dxa"/>
                  <w:noWrap w:val="0"/>
                  <w:vAlign w:val="center"/>
                </w:tcPr>
                <w:p w14:paraId="22B7CCAA">
                  <w:pPr>
                    <w:pStyle w:val="98"/>
                    <w:adjustRightInd/>
                    <w:snapToGrid/>
                    <w:rPr>
                      <w:rFonts w:hint="eastAsia"/>
                      <w:color w:val="auto"/>
                      <w:szCs w:val="21"/>
                      <w:highlight w:val="none"/>
                    </w:rPr>
                  </w:pPr>
                  <w:r>
                    <w:rPr>
                      <w:rFonts w:hint="eastAsia"/>
                      <w:color w:val="auto"/>
                      <w:szCs w:val="21"/>
                      <w:highlight w:val="none"/>
                    </w:rPr>
                    <w:t>6</w:t>
                  </w:r>
                </w:p>
              </w:tc>
              <w:tc>
                <w:tcPr>
                  <w:tcW w:w="1034" w:type="dxa"/>
                  <w:noWrap w:val="0"/>
                  <w:vAlign w:val="center"/>
                </w:tcPr>
                <w:p w14:paraId="14358BF2">
                  <w:pPr>
                    <w:pStyle w:val="98"/>
                    <w:adjustRightInd/>
                    <w:snapToGrid/>
                    <w:rPr>
                      <w:rFonts w:hint="eastAsia"/>
                      <w:color w:val="auto"/>
                      <w:szCs w:val="21"/>
                      <w:highlight w:val="none"/>
                    </w:rPr>
                  </w:pPr>
                  <w:r>
                    <w:rPr>
                      <w:rFonts w:hint="eastAsia"/>
                      <w:color w:val="auto"/>
                      <w:szCs w:val="21"/>
                      <w:highlight w:val="none"/>
                    </w:rPr>
                    <w:t>混凝土振捣器</w:t>
                  </w:r>
                </w:p>
              </w:tc>
              <w:tc>
                <w:tcPr>
                  <w:tcW w:w="765" w:type="dxa"/>
                  <w:noWrap w:val="0"/>
                  <w:vAlign w:val="center"/>
                </w:tcPr>
                <w:p w14:paraId="63B1B20E">
                  <w:pPr>
                    <w:pStyle w:val="98"/>
                    <w:adjustRightInd/>
                    <w:snapToGrid/>
                    <w:rPr>
                      <w:rFonts w:hint="eastAsia"/>
                      <w:color w:val="auto"/>
                      <w:szCs w:val="21"/>
                      <w:highlight w:val="none"/>
                    </w:rPr>
                  </w:pPr>
                  <w:r>
                    <w:rPr>
                      <w:rFonts w:hint="eastAsia"/>
                      <w:color w:val="auto"/>
                      <w:szCs w:val="21"/>
                      <w:highlight w:val="none"/>
                    </w:rPr>
                    <w:t>80</w:t>
                  </w:r>
                </w:p>
              </w:tc>
              <w:tc>
                <w:tcPr>
                  <w:tcW w:w="765" w:type="dxa"/>
                  <w:noWrap w:val="0"/>
                  <w:vAlign w:val="center"/>
                </w:tcPr>
                <w:p w14:paraId="062DABED">
                  <w:pPr>
                    <w:pStyle w:val="98"/>
                    <w:adjustRightInd/>
                    <w:snapToGrid/>
                    <w:rPr>
                      <w:rFonts w:hint="eastAsia"/>
                      <w:color w:val="auto"/>
                      <w:szCs w:val="21"/>
                      <w:highlight w:val="none"/>
                    </w:rPr>
                  </w:pPr>
                  <w:r>
                    <w:rPr>
                      <w:rFonts w:hint="eastAsia"/>
                      <w:color w:val="auto"/>
                      <w:szCs w:val="21"/>
                      <w:highlight w:val="none"/>
                    </w:rPr>
                    <w:t>77</w:t>
                  </w:r>
                </w:p>
              </w:tc>
              <w:tc>
                <w:tcPr>
                  <w:tcW w:w="765" w:type="dxa"/>
                  <w:noWrap w:val="0"/>
                  <w:vAlign w:val="center"/>
                </w:tcPr>
                <w:p w14:paraId="6EC3354C">
                  <w:pPr>
                    <w:pStyle w:val="98"/>
                    <w:adjustRightInd/>
                    <w:snapToGrid/>
                    <w:rPr>
                      <w:rFonts w:hint="eastAsia"/>
                      <w:color w:val="auto"/>
                      <w:szCs w:val="21"/>
                      <w:highlight w:val="none"/>
                    </w:rPr>
                  </w:pPr>
                  <w:r>
                    <w:rPr>
                      <w:rFonts w:hint="eastAsia"/>
                      <w:color w:val="auto"/>
                      <w:szCs w:val="21"/>
                      <w:highlight w:val="none"/>
                    </w:rPr>
                    <w:t>74</w:t>
                  </w:r>
                </w:p>
              </w:tc>
              <w:tc>
                <w:tcPr>
                  <w:tcW w:w="765" w:type="dxa"/>
                  <w:noWrap w:val="0"/>
                  <w:vAlign w:val="center"/>
                </w:tcPr>
                <w:p w14:paraId="280B7B3D">
                  <w:pPr>
                    <w:pStyle w:val="98"/>
                    <w:adjustRightInd/>
                    <w:snapToGrid/>
                    <w:rPr>
                      <w:rFonts w:hint="eastAsia"/>
                      <w:color w:val="auto"/>
                      <w:szCs w:val="21"/>
                      <w:highlight w:val="none"/>
                    </w:rPr>
                  </w:pPr>
                  <w:r>
                    <w:rPr>
                      <w:rFonts w:hint="eastAsia"/>
                      <w:color w:val="auto"/>
                      <w:szCs w:val="21"/>
                      <w:highlight w:val="none"/>
                    </w:rPr>
                    <w:t>70</w:t>
                  </w:r>
                </w:p>
              </w:tc>
              <w:tc>
                <w:tcPr>
                  <w:tcW w:w="765" w:type="dxa"/>
                  <w:noWrap w:val="0"/>
                  <w:vAlign w:val="center"/>
                </w:tcPr>
                <w:p w14:paraId="2DE43528">
                  <w:pPr>
                    <w:pStyle w:val="98"/>
                    <w:adjustRightInd/>
                    <w:snapToGrid/>
                    <w:rPr>
                      <w:rFonts w:hint="eastAsia"/>
                      <w:color w:val="auto"/>
                      <w:szCs w:val="21"/>
                      <w:highlight w:val="none"/>
                    </w:rPr>
                  </w:pPr>
                  <w:r>
                    <w:rPr>
                      <w:rFonts w:hint="eastAsia"/>
                      <w:color w:val="auto"/>
                      <w:szCs w:val="21"/>
                      <w:highlight w:val="none"/>
                    </w:rPr>
                    <w:t>68</w:t>
                  </w:r>
                </w:p>
              </w:tc>
              <w:tc>
                <w:tcPr>
                  <w:tcW w:w="766" w:type="dxa"/>
                  <w:noWrap w:val="0"/>
                  <w:vAlign w:val="center"/>
                </w:tcPr>
                <w:p w14:paraId="78888945">
                  <w:pPr>
                    <w:pStyle w:val="98"/>
                    <w:adjustRightInd/>
                    <w:snapToGrid/>
                    <w:rPr>
                      <w:rFonts w:hint="eastAsia"/>
                      <w:color w:val="auto"/>
                      <w:szCs w:val="21"/>
                      <w:highlight w:val="none"/>
                    </w:rPr>
                  </w:pPr>
                  <w:r>
                    <w:rPr>
                      <w:rFonts w:hint="eastAsia"/>
                      <w:color w:val="auto"/>
                      <w:szCs w:val="21"/>
                      <w:highlight w:val="none"/>
                    </w:rPr>
                    <w:t>67</w:t>
                  </w:r>
                </w:p>
              </w:tc>
              <w:tc>
                <w:tcPr>
                  <w:tcW w:w="766" w:type="dxa"/>
                  <w:noWrap w:val="0"/>
                  <w:vAlign w:val="center"/>
                </w:tcPr>
                <w:p w14:paraId="7FABA97C">
                  <w:pPr>
                    <w:pStyle w:val="98"/>
                    <w:adjustRightInd/>
                    <w:snapToGrid/>
                    <w:rPr>
                      <w:rFonts w:hint="eastAsia"/>
                      <w:color w:val="auto"/>
                      <w:szCs w:val="21"/>
                      <w:highlight w:val="none"/>
                    </w:rPr>
                  </w:pPr>
                  <w:r>
                    <w:rPr>
                      <w:rFonts w:hint="eastAsia"/>
                      <w:color w:val="auto"/>
                      <w:szCs w:val="21"/>
                      <w:highlight w:val="none"/>
                    </w:rPr>
                    <w:t>66</w:t>
                  </w:r>
                </w:p>
              </w:tc>
              <w:tc>
                <w:tcPr>
                  <w:tcW w:w="766" w:type="dxa"/>
                  <w:noWrap w:val="0"/>
                  <w:vAlign w:val="center"/>
                </w:tcPr>
                <w:p w14:paraId="47B6F3F3">
                  <w:pPr>
                    <w:pStyle w:val="98"/>
                    <w:adjustRightInd/>
                    <w:snapToGrid/>
                    <w:rPr>
                      <w:rFonts w:hint="eastAsia"/>
                      <w:color w:val="auto"/>
                      <w:szCs w:val="21"/>
                      <w:highlight w:val="none"/>
                    </w:rPr>
                  </w:pPr>
                  <w:r>
                    <w:rPr>
                      <w:rFonts w:hint="eastAsia"/>
                      <w:color w:val="auto"/>
                      <w:szCs w:val="21"/>
                      <w:highlight w:val="none"/>
                    </w:rPr>
                    <w:t>60</w:t>
                  </w:r>
                </w:p>
              </w:tc>
              <w:tc>
                <w:tcPr>
                  <w:tcW w:w="766" w:type="dxa"/>
                  <w:noWrap w:val="0"/>
                  <w:vAlign w:val="center"/>
                </w:tcPr>
                <w:p w14:paraId="50625B87">
                  <w:pPr>
                    <w:pStyle w:val="98"/>
                    <w:adjustRightInd/>
                    <w:snapToGrid/>
                    <w:rPr>
                      <w:rFonts w:hint="eastAsia"/>
                      <w:color w:val="auto"/>
                      <w:szCs w:val="21"/>
                      <w:highlight w:val="none"/>
                    </w:rPr>
                  </w:pPr>
                  <w:r>
                    <w:rPr>
                      <w:rFonts w:hint="eastAsia"/>
                      <w:color w:val="auto"/>
                      <w:szCs w:val="21"/>
                      <w:highlight w:val="none"/>
                    </w:rPr>
                    <w:t>54</w:t>
                  </w:r>
                </w:p>
              </w:tc>
            </w:tr>
            <w:tr w14:paraId="55D05F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95" w:type="dxa"/>
                  <w:noWrap w:val="0"/>
                  <w:vAlign w:val="center"/>
                </w:tcPr>
                <w:p w14:paraId="694DC788">
                  <w:pPr>
                    <w:pStyle w:val="98"/>
                    <w:adjustRightInd/>
                    <w:snapToGrid/>
                    <w:rPr>
                      <w:rFonts w:hint="eastAsia"/>
                      <w:color w:val="auto"/>
                      <w:szCs w:val="21"/>
                      <w:highlight w:val="none"/>
                    </w:rPr>
                  </w:pPr>
                  <w:r>
                    <w:rPr>
                      <w:rFonts w:hint="eastAsia"/>
                      <w:color w:val="auto"/>
                      <w:szCs w:val="21"/>
                      <w:highlight w:val="none"/>
                    </w:rPr>
                    <w:t>7</w:t>
                  </w:r>
                </w:p>
              </w:tc>
              <w:tc>
                <w:tcPr>
                  <w:tcW w:w="1034" w:type="dxa"/>
                  <w:noWrap w:val="0"/>
                  <w:vAlign w:val="center"/>
                </w:tcPr>
                <w:p w14:paraId="496E257A">
                  <w:pPr>
                    <w:pStyle w:val="98"/>
                    <w:adjustRightInd/>
                    <w:snapToGrid/>
                    <w:rPr>
                      <w:rFonts w:hint="eastAsia"/>
                      <w:color w:val="auto"/>
                      <w:szCs w:val="21"/>
                      <w:highlight w:val="none"/>
                    </w:rPr>
                  </w:pPr>
                  <w:r>
                    <w:rPr>
                      <w:rFonts w:hint="eastAsia"/>
                      <w:color w:val="auto"/>
                      <w:szCs w:val="21"/>
                      <w:highlight w:val="none"/>
                    </w:rPr>
                    <w:t>砂浆搅拌机</w:t>
                  </w:r>
                </w:p>
              </w:tc>
              <w:tc>
                <w:tcPr>
                  <w:tcW w:w="765" w:type="dxa"/>
                  <w:noWrap w:val="0"/>
                  <w:vAlign w:val="center"/>
                </w:tcPr>
                <w:p w14:paraId="12A848E6">
                  <w:pPr>
                    <w:pStyle w:val="98"/>
                    <w:adjustRightInd/>
                    <w:snapToGrid/>
                    <w:rPr>
                      <w:rFonts w:hint="eastAsia"/>
                      <w:color w:val="auto"/>
                      <w:szCs w:val="21"/>
                      <w:highlight w:val="none"/>
                    </w:rPr>
                  </w:pPr>
                  <w:r>
                    <w:rPr>
                      <w:rFonts w:hint="eastAsia"/>
                      <w:color w:val="auto"/>
                      <w:szCs w:val="21"/>
                      <w:highlight w:val="none"/>
                    </w:rPr>
                    <w:t>55</w:t>
                  </w:r>
                </w:p>
              </w:tc>
              <w:tc>
                <w:tcPr>
                  <w:tcW w:w="765" w:type="dxa"/>
                  <w:noWrap w:val="0"/>
                  <w:vAlign w:val="center"/>
                </w:tcPr>
                <w:p w14:paraId="21DA07F8">
                  <w:pPr>
                    <w:pStyle w:val="98"/>
                    <w:adjustRightInd/>
                    <w:snapToGrid/>
                    <w:rPr>
                      <w:rFonts w:hint="eastAsia"/>
                      <w:color w:val="auto"/>
                      <w:szCs w:val="21"/>
                      <w:highlight w:val="none"/>
                    </w:rPr>
                  </w:pPr>
                  <w:r>
                    <w:rPr>
                      <w:rFonts w:hint="eastAsia"/>
                      <w:color w:val="auto"/>
                      <w:szCs w:val="21"/>
                      <w:highlight w:val="none"/>
                    </w:rPr>
                    <w:t>52</w:t>
                  </w:r>
                </w:p>
              </w:tc>
              <w:tc>
                <w:tcPr>
                  <w:tcW w:w="765" w:type="dxa"/>
                  <w:noWrap w:val="0"/>
                  <w:vAlign w:val="center"/>
                </w:tcPr>
                <w:p w14:paraId="512A1741">
                  <w:pPr>
                    <w:pStyle w:val="98"/>
                    <w:adjustRightInd/>
                    <w:snapToGrid/>
                    <w:rPr>
                      <w:rFonts w:hint="eastAsia"/>
                      <w:color w:val="auto"/>
                      <w:szCs w:val="21"/>
                      <w:highlight w:val="none"/>
                    </w:rPr>
                  </w:pPr>
                  <w:r>
                    <w:rPr>
                      <w:rFonts w:hint="eastAsia"/>
                      <w:color w:val="auto"/>
                      <w:szCs w:val="21"/>
                      <w:highlight w:val="none"/>
                    </w:rPr>
                    <w:t>49</w:t>
                  </w:r>
                </w:p>
              </w:tc>
              <w:tc>
                <w:tcPr>
                  <w:tcW w:w="765" w:type="dxa"/>
                  <w:noWrap w:val="0"/>
                  <w:vAlign w:val="center"/>
                </w:tcPr>
                <w:p w14:paraId="0C8CB4FE">
                  <w:pPr>
                    <w:pStyle w:val="98"/>
                    <w:adjustRightInd/>
                    <w:snapToGrid/>
                    <w:rPr>
                      <w:rFonts w:hint="eastAsia"/>
                      <w:color w:val="auto"/>
                      <w:szCs w:val="21"/>
                      <w:highlight w:val="none"/>
                    </w:rPr>
                  </w:pPr>
                  <w:r>
                    <w:rPr>
                      <w:rFonts w:hint="eastAsia"/>
                      <w:color w:val="auto"/>
                      <w:szCs w:val="21"/>
                      <w:highlight w:val="none"/>
                    </w:rPr>
                    <w:t>45</w:t>
                  </w:r>
                </w:p>
              </w:tc>
              <w:tc>
                <w:tcPr>
                  <w:tcW w:w="765" w:type="dxa"/>
                  <w:noWrap w:val="0"/>
                  <w:vAlign w:val="center"/>
                </w:tcPr>
                <w:p w14:paraId="783BE683">
                  <w:pPr>
                    <w:pStyle w:val="98"/>
                    <w:adjustRightInd/>
                    <w:snapToGrid/>
                    <w:rPr>
                      <w:rFonts w:hint="eastAsia"/>
                      <w:color w:val="auto"/>
                      <w:szCs w:val="21"/>
                      <w:highlight w:val="none"/>
                    </w:rPr>
                  </w:pPr>
                  <w:r>
                    <w:rPr>
                      <w:rFonts w:hint="eastAsia"/>
                      <w:color w:val="auto"/>
                      <w:szCs w:val="21"/>
                      <w:highlight w:val="none"/>
                    </w:rPr>
                    <w:t>43</w:t>
                  </w:r>
                </w:p>
              </w:tc>
              <w:tc>
                <w:tcPr>
                  <w:tcW w:w="766" w:type="dxa"/>
                  <w:noWrap w:val="0"/>
                  <w:vAlign w:val="center"/>
                </w:tcPr>
                <w:p w14:paraId="6237ED8C">
                  <w:pPr>
                    <w:pStyle w:val="98"/>
                    <w:adjustRightInd/>
                    <w:snapToGrid/>
                    <w:rPr>
                      <w:rFonts w:hint="eastAsia"/>
                      <w:color w:val="auto"/>
                      <w:szCs w:val="21"/>
                      <w:highlight w:val="none"/>
                    </w:rPr>
                  </w:pPr>
                  <w:r>
                    <w:rPr>
                      <w:rFonts w:hint="eastAsia"/>
                      <w:color w:val="auto"/>
                      <w:szCs w:val="21"/>
                      <w:highlight w:val="none"/>
                    </w:rPr>
                    <w:t>42</w:t>
                  </w:r>
                </w:p>
              </w:tc>
              <w:tc>
                <w:tcPr>
                  <w:tcW w:w="766" w:type="dxa"/>
                  <w:noWrap w:val="0"/>
                  <w:vAlign w:val="center"/>
                </w:tcPr>
                <w:p w14:paraId="560FEE04">
                  <w:pPr>
                    <w:pStyle w:val="98"/>
                    <w:adjustRightInd/>
                    <w:snapToGrid/>
                    <w:rPr>
                      <w:rFonts w:hint="eastAsia"/>
                      <w:color w:val="auto"/>
                      <w:szCs w:val="21"/>
                      <w:highlight w:val="none"/>
                    </w:rPr>
                  </w:pPr>
                  <w:r>
                    <w:rPr>
                      <w:rFonts w:hint="eastAsia"/>
                      <w:color w:val="auto"/>
                      <w:szCs w:val="21"/>
                      <w:highlight w:val="none"/>
                    </w:rPr>
                    <w:t>41</w:t>
                  </w:r>
                </w:p>
              </w:tc>
              <w:tc>
                <w:tcPr>
                  <w:tcW w:w="766" w:type="dxa"/>
                  <w:noWrap w:val="0"/>
                  <w:vAlign w:val="center"/>
                </w:tcPr>
                <w:p w14:paraId="1E81E3E5">
                  <w:pPr>
                    <w:pStyle w:val="98"/>
                    <w:adjustRightInd/>
                    <w:snapToGrid/>
                    <w:rPr>
                      <w:rFonts w:hint="eastAsia"/>
                      <w:color w:val="auto"/>
                      <w:szCs w:val="21"/>
                      <w:highlight w:val="none"/>
                    </w:rPr>
                  </w:pPr>
                  <w:r>
                    <w:rPr>
                      <w:rFonts w:hint="eastAsia"/>
                      <w:color w:val="auto"/>
                      <w:szCs w:val="21"/>
                      <w:highlight w:val="none"/>
                    </w:rPr>
                    <w:t>35</w:t>
                  </w:r>
                </w:p>
              </w:tc>
              <w:tc>
                <w:tcPr>
                  <w:tcW w:w="766" w:type="dxa"/>
                  <w:noWrap w:val="0"/>
                  <w:vAlign w:val="center"/>
                </w:tcPr>
                <w:p w14:paraId="729680FC">
                  <w:pPr>
                    <w:pStyle w:val="98"/>
                    <w:adjustRightInd/>
                    <w:snapToGrid/>
                    <w:rPr>
                      <w:rFonts w:hint="eastAsia"/>
                      <w:color w:val="auto"/>
                      <w:szCs w:val="21"/>
                      <w:highlight w:val="none"/>
                    </w:rPr>
                  </w:pPr>
                  <w:r>
                    <w:rPr>
                      <w:rFonts w:hint="eastAsia"/>
                      <w:color w:val="auto"/>
                      <w:szCs w:val="21"/>
                      <w:highlight w:val="none"/>
                    </w:rPr>
                    <w:t>/</w:t>
                  </w:r>
                </w:p>
              </w:tc>
            </w:tr>
          </w:tbl>
          <w:p w14:paraId="1F76D535">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在施工过程中，这些施工机械往是同时作业，噪声源辐射量会相互叠加，声级值将更高，辐射范围也更大。根据类比调查，叠加后的噪声会增加3-8dB(A)，一般不超过10dB(A)。根据上表结果可知，昼间距施工设备45m，夜间超过200m才可满足《建筑施工场界环境噪声排放标准》（GB12523-2011）的要求。</w:t>
            </w:r>
          </w:p>
          <w:p w14:paraId="502914F1">
            <w:pPr>
              <w:pStyle w:val="5"/>
              <w:rPr>
                <w:color w:val="auto"/>
                <w:highlight w:val="none"/>
              </w:rPr>
            </w:pPr>
            <w:r>
              <w:rPr>
                <w:color w:val="auto"/>
                <w:highlight w:val="none"/>
              </w:rPr>
              <w:t>4.</w:t>
            </w:r>
            <w:r>
              <w:rPr>
                <w:rFonts w:hint="eastAsia"/>
                <w:color w:val="auto"/>
                <w:highlight w:val="none"/>
              </w:rPr>
              <w:t>1.3.2 施工期噪声污染防治措施</w:t>
            </w:r>
            <w:bookmarkEnd w:id="37"/>
            <w:bookmarkEnd w:id="38"/>
          </w:p>
          <w:p w14:paraId="584F510C">
            <w:pPr>
              <w:ind w:firstLine="480"/>
              <w:rPr>
                <w:color w:val="auto"/>
                <w:highlight w:val="none"/>
              </w:rPr>
            </w:pPr>
            <w:r>
              <w:rPr>
                <w:color w:val="auto"/>
                <w:highlight w:val="none"/>
              </w:rPr>
              <w:t>为最大限度避免和减轻施工和交通噪声对施工场地周围敏感点的影响，本评价对施工噪声的控制提出以下要求和建议：</w:t>
            </w:r>
          </w:p>
          <w:p w14:paraId="7DE2A084">
            <w:pPr>
              <w:ind w:firstLine="480"/>
              <w:rPr>
                <w:color w:val="auto"/>
                <w:highlight w:val="none"/>
              </w:rPr>
            </w:pPr>
            <w:r>
              <w:rPr>
                <w:color w:val="auto"/>
                <w:highlight w:val="none"/>
              </w:rPr>
              <w:t>（1）对作业工人必须采取保护措施，如防噪声耳塞、耳罩或防噪声头盔等；</w:t>
            </w:r>
          </w:p>
          <w:p w14:paraId="6910E418">
            <w:pPr>
              <w:ind w:firstLine="480"/>
              <w:rPr>
                <w:color w:val="auto"/>
                <w:highlight w:val="none"/>
              </w:rPr>
            </w:pPr>
            <w:r>
              <w:rPr>
                <w:color w:val="auto"/>
                <w:highlight w:val="none"/>
              </w:rPr>
              <w:t>（2）对振动较大的机械设备如空压机等应使用减振基座降低噪声；</w:t>
            </w:r>
          </w:p>
          <w:p w14:paraId="3F14B4B9">
            <w:pPr>
              <w:ind w:firstLine="480"/>
              <w:rPr>
                <w:color w:val="auto"/>
                <w:highlight w:val="none"/>
              </w:rPr>
            </w:pPr>
            <w:r>
              <w:rPr>
                <w:color w:val="auto"/>
                <w:highlight w:val="none"/>
              </w:rPr>
              <w:t>（3）施工单位须选用符合国家有关标准的施工机械，尽量选用低噪声的施工机械；</w:t>
            </w:r>
          </w:p>
          <w:p w14:paraId="7B1D958E">
            <w:pPr>
              <w:ind w:firstLine="480"/>
              <w:rPr>
                <w:color w:val="auto"/>
                <w:highlight w:val="none"/>
              </w:rPr>
            </w:pPr>
            <w:r>
              <w:rPr>
                <w:color w:val="auto"/>
                <w:highlight w:val="none"/>
              </w:rPr>
              <w:t>（4）加强设备的维护和保养，保持机械润滑，降低运行噪声；</w:t>
            </w:r>
          </w:p>
          <w:p w14:paraId="201C6EED">
            <w:pPr>
              <w:ind w:firstLine="480"/>
              <w:rPr>
                <w:color w:val="auto"/>
                <w:highlight w:val="none"/>
              </w:rPr>
            </w:pPr>
            <w:r>
              <w:rPr>
                <w:color w:val="auto"/>
                <w:highlight w:val="none"/>
              </w:rPr>
              <w:t>（5）合理安排施工计划，禁止休息时间和夜间施工，减小噪声扰民。</w:t>
            </w:r>
          </w:p>
          <w:p w14:paraId="15C58D8E">
            <w:pPr>
              <w:pStyle w:val="4"/>
              <w:rPr>
                <w:color w:val="auto"/>
                <w:highlight w:val="none"/>
              </w:rPr>
            </w:pPr>
            <w:bookmarkStart w:id="39" w:name="_Toc2849"/>
            <w:bookmarkStart w:id="40" w:name="_Toc26093"/>
            <w:bookmarkStart w:id="41" w:name="_Toc23731"/>
            <w:bookmarkStart w:id="42" w:name="_Toc26968"/>
            <w:r>
              <w:rPr>
                <w:color w:val="auto"/>
                <w:highlight w:val="none"/>
              </w:rPr>
              <w:t>4.</w:t>
            </w:r>
            <w:r>
              <w:rPr>
                <w:rFonts w:hint="eastAsia"/>
                <w:color w:val="auto"/>
                <w:highlight w:val="none"/>
              </w:rPr>
              <w:t>1.4 施工期固体废物</w:t>
            </w:r>
            <w:r>
              <w:rPr>
                <w:color w:val="auto"/>
                <w:highlight w:val="none"/>
              </w:rPr>
              <w:t>影响分析和污染防治措施</w:t>
            </w:r>
            <w:bookmarkEnd w:id="39"/>
            <w:bookmarkEnd w:id="40"/>
            <w:bookmarkEnd w:id="41"/>
            <w:bookmarkEnd w:id="42"/>
          </w:p>
          <w:p w14:paraId="3B90D574">
            <w:pPr>
              <w:pStyle w:val="5"/>
              <w:rPr>
                <w:color w:val="auto"/>
                <w:highlight w:val="none"/>
              </w:rPr>
            </w:pPr>
            <w:bookmarkStart w:id="43" w:name="_Toc13712"/>
            <w:bookmarkStart w:id="44" w:name="_Toc28626"/>
            <w:r>
              <w:rPr>
                <w:color w:val="auto"/>
                <w:highlight w:val="none"/>
              </w:rPr>
              <w:t>4.</w:t>
            </w:r>
            <w:r>
              <w:rPr>
                <w:rFonts w:hint="eastAsia"/>
                <w:color w:val="auto"/>
                <w:highlight w:val="none"/>
              </w:rPr>
              <w:t>1.4.1 施工期固体废物</w:t>
            </w:r>
            <w:r>
              <w:rPr>
                <w:color w:val="auto"/>
                <w:highlight w:val="none"/>
              </w:rPr>
              <w:t>影响</w:t>
            </w:r>
            <w:r>
              <w:rPr>
                <w:rFonts w:hint="eastAsia"/>
                <w:color w:val="auto"/>
                <w:highlight w:val="none"/>
              </w:rPr>
              <w:t>分析</w:t>
            </w:r>
            <w:bookmarkEnd w:id="43"/>
            <w:bookmarkEnd w:id="44"/>
          </w:p>
          <w:p w14:paraId="00B3DF43">
            <w:pPr>
              <w:ind w:firstLine="480"/>
              <w:rPr>
                <w:color w:val="auto"/>
                <w:highlight w:val="none"/>
              </w:rPr>
            </w:pPr>
            <w:r>
              <w:rPr>
                <w:color w:val="auto"/>
                <w:highlight w:val="none"/>
              </w:rPr>
              <w:t>（1）弃土石方</w:t>
            </w:r>
          </w:p>
          <w:p w14:paraId="3254100A">
            <w:pPr>
              <w:ind w:firstLine="480"/>
              <w:rPr>
                <w:color w:val="auto"/>
                <w:highlight w:val="none"/>
              </w:rPr>
            </w:pPr>
            <w:r>
              <w:rPr>
                <w:color w:val="auto"/>
                <w:highlight w:val="none"/>
              </w:rPr>
              <w:t>本项目施工挖方</w:t>
            </w:r>
            <w:r>
              <w:rPr>
                <w:rFonts w:hint="eastAsia"/>
                <w:color w:val="auto"/>
                <w:highlight w:val="none"/>
              </w:rPr>
              <w:t>将用于场地平整回填以及绿化施工</w:t>
            </w:r>
            <w:r>
              <w:rPr>
                <w:color w:val="auto"/>
                <w:highlight w:val="none"/>
              </w:rPr>
              <w:t>，无弃方</w:t>
            </w:r>
            <w:r>
              <w:rPr>
                <w:rFonts w:hint="eastAsia"/>
                <w:color w:val="auto"/>
                <w:highlight w:val="none"/>
              </w:rPr>
              <w:t>。</w:t>
            </w:r>
          </w:p>
          <w:p w14:paraId="4B6497ED">
            <w:pPr>
              <w:ind w:firstLine="480"/>
              <w:rPr>
                <w:color w:val="auto"/>
                <w:highlight w:val="none"/>
              </w:rPr>
            </w:pPr>
            <w:r>
              <w:rPr>
                <w:rFonts w:hint="eastAsia"/>
                <w:color w:val="auto"/>
                <w:highlight w:val="none"/>
              </w:rPr>
              <w:t>（2）沉淀池沉渣</w:t>
            </w:r>
          </w:p>
          <w:p w14:paraId="47B63B10">
            <w:pPr>
              <w:ind w:firstLine="480"/>
              <w:rPr>
                <w:color w:val="auto"/>
                <w:highlight w:val="none"/>
              </w:rPr>
            </w:pPr>
            <w:r>
              <w:rPr>
                <w:rFonts w:hint="eastAsia"/>
                <w:color w:val="auto"/>
                <w:highlight w:val="none"/>
              </w:rPr>
              <w:t>项目施工期间，车辆冲洗废水和初期雨水都将进入沉淀池进行砂石沉淀，沉淀产生的沉渣</w:t>
            </w:r>
            <w:r>
              <w:rPr>
                <w:color w:val="auto"/>
                <w:highlight w:val="none"/>
              </w:rPr>
              <w:t>回填厂区</w:t>
            </w:r>
            <w:r>
              <w:rPr>
                <w:rFonts w:hint="eastAsia"/>
                <w:color w:val="auto"/>
                <w:highlight w:val="none"/>
              </w:rPr>
              <w:t>地面，无废土石砂排放。</w:t>
            </w:r>
          </w:p>
          <w:p w14:paraId="7B0FDFD8">
            <w:pPr>
              <w:ind w:firstLine="480"/>
              <w:rPr>
                <w:color w:val="auto"/>
                <w:highlight w:val="none"/>
              </w:rPr>
            </w:pPr>
            <w:bookmarkStart w:id="45" w:name="_Toc8055"/>
            <w:bookmarkStart w:id="46" w:name="_Toc24907"/>
            <w:r>
              <w:rPr>
                <w:color w:val="auto"/>
                <w:highlight w:val="none"/>
              </w:rPr>
              <w:t>（</w:t>
            </w:r>
            <w:r>
              <w:rPr>
                <w:rFonts w:hint="eastAsia"/>
                <w:color w:val="auto"/>
                <w:highlight w:val="none"/>
                <w:lang w:val="en-US" w:eastAsia="zh-CN"/>
              </w:rPr>
              <w:t>3</w:t>
            </w:r>
            <w:r>
              <w:rPr>
                <w:color w:val="auto"/>
                <w:highlight w:val="none"/>
              </w:rPr>
              <w:t>）生活垃圾</w:t>
            </w:r>
            <w:bookmarkEnd w:id="45"/>
            <w:bookmarkEnd w:id="46"/>
          </w:p>
          <w:p w14:paraId="489867B1">
            <w:pPr>
              <w:ind w:firstLine="480"/>
              <w:rPr>
                <w:color w:val="auto"/>
                <w:highlight w:val="none"/>
              </w:rPr>
            </w:pPr>
            <w:r>
              <w:rPr>
                <w:color w:val="auto"/>
                <w:highlight w:val="none"/>
              </w:rPr>
              <w:t>施工期间，施工现场的施工和管理人员人数约</w:t>
            </w:r>
            <w:r>
              <w:rPr>
                <w:rFonts w:hint="eastAsia"/>
                <w:color w:val="auto"/>
                <w:highlight w:val="none"/>
                <w:lang w:val="en-US" w:eastAsia="zh-CN"/>
              </w:rPr>
              <w:t>30</w:t>
            </w:r>
            <w:r>
              <w:rPr>
                <w:color w:val="auto"/>
                <w:highlight w:val="none"/>
              </w:rPr>
              <w:t>人，生活垃圾按0.5kg/d</w:t>
            </w:r>
            <w:r>
              <w:rPr>
                <w:rFonts w:hint="eastAsia"/>
                <w:color w:val="auto"/>
                <w:highlight w:val="none"/>
              </w:rPr>
              <w:t>·</w:t>
            </w:r>
            <w:r>
              <w:rPr>
                <w:color w:val="auto"/>
                <w:highlight w:val="none"/>
              </w:rPr>
              <w:t>人计算，产生量为</w:t>
            </w:r>
            <w:r>
              <w:rPr>
                <w:rFonts w:hint="eastAsia"/>
                <w:color w:val="auto"/>
                <w:highlight w:val="none"/>
                <w:lang w:val="en-US" w:eastAsia="zh-CN"/>
              </w:rPr>
              <w:t>15</w:t>
            </w:r>
            <w:r>
              <w:rPr>
                <w:color w:val="auto"/>
                <w:highlight w:val="none"/>
              </w:rPr>
              <w:t>kg/d。生活垃圾统一收集到垃圾收集点，由环卫部门集中处置。</w:t>
            </w:r>
          </w:p>
          <w:p w14:paraId="1F7E579F">
            <w:pPr>
              <w:pStyle w:val="5"/>
              <w:rPr>
                <w:color w:val="auto"/>
                <w:highlight w:val="none"/>
              </w:rPr>
            </w:pPr>
            <w:bookmarkStart w:id="47" w:name="_Toc12429"/>
            <w:bookmarkStart w:id="48" w:name="_Toc20209"/>
            <w:r>
              <w:rPr>
                <w:color w:val="auto"/>
                <w:highlight w:val="none"/>
              </w:rPr>
              <w:t>4.</w:t>
            </w:r>
            <w:r>
              <w:rPr>
                <w:rFonts w:hint="eastAsia"/>
                <w:color w:val="auto"/>
                <w:highlight w:val="none"/>
              </w:rPr>
              <w:t>1.4.2 施工期固体废物防治措施</w:t>
            </w:r>
            <w:bookmarkEnd w:id="47"/>
            <w:bookmarkEnd w:id="48"/>
          </w:p>
          <w:p w14:paraId="735F9110">
            <w:pPr>
              <w:ind w:firstLine="480"/>
              <w:rPr>
                <w:rFonts w:hint="eastAsia"/>
                <w:color w:val="auto"/>
                <w:highlight w:val="none"/>
              </w:rPr>
            </w:pPr>
            <w:r>
              <w:rPr>
                <w:rFonts w:hint="eastAsia"/>
                <w:color w:val="auto"/>
                <w:highlight w:val="none"/>
              </w:rPr>
              <w:t>（1）施工期建筑垃圾中的建筑废模板、建筑材料下脚料、包装袋、废旧设备等，这些固体废物大部分可以回收利用，应收集集中，外售物质回收部门综合利用：而另一部分粉碎砂石等建筑材料废弃物应及时调配，清运到需要填方的地点，及时回填并压实。</w:t>
            </w:r>
          </w:p>
          <w:p w14:paraId="05C8ED47">
            <w:pPr>
              <w:ind w:firstLine="480"/>
              <w:rPr>
                <w:rFonts w:hint="eastAsia"/>
                <w:color w:val="auto"/>
                <w:highlight w:val="none"/>
              </w:rPr>
            </w:pPr>
            <w:r>
              <w:rPr>
                <w:rFonts w:hint="eastAsia"/>
                <w:color w:val="auto"/>
                <w:highlight w:val="none"/>
              </w:rPr>
              <w:t>（2）施工人员生活垃圾集中收集后由环保部门统一清运处理。</w:t>
            </w:r>
          </w:p>
          <w:p w14:paraId="7DD94DB3">
            <w:pPr>
              <w:ind w:firstLine="480"/>
              <w:rPr>
                <w:rFonts w:hint="eastAsia"/>
                <w:color w:val="auto"/>
                <w:highlight w:val="none"/>
              </w:rPr>
            </w:pPr>
            <w:r>
              <w:rPr>
                <w:rFonts w:hint="eastAsia"/>
                <w:color w:val="auto"/>
                <w:highlight w:val="none"/>
              </w:rPr>
              <w:t>（3）项目区的土方工程必须分片进行，对其开挖、转移、利用应提前制定详细周密计划，项目地块内开挖产生的土方就地消化，如产生剩余土石方，及时清运至指定的建筑垃圾填埋处填埋，不随意丢弃。</w:t>
            </w:r>
          </w:p>
          <w:p w14:paraId="50623BC4">
            <w:pPr>
              <w:ind w:firstLine="480"/>
              <w:rPr>
                <w:rFonts w:hint="eastAsia"/>
                <w:color w:val="auto"/>
                <w:highlight w:val="none"/>
              </w:rPr>
            </w:pPr>
            <w:r>
              <w:rPr>
                <w:rFonts w:hint="eastAsia"/>
                <w:color w:val="auto"/>
                <w:highlight w:val="none"/>
              </w:rPr>
              <w:t>（4）破损废油桶等集中暂存，委托有资质单位清运。</w:t>
            </w:r>
          </w:p>
          <w:p w14:paraId="6945EDDB">
            <w:pPr>
              <w:ind w:firstLine="480"/>
              <w:rPr>
                <w:rFonts w:hint="eastAsia"/>
                <w:color w:val="auto"/>
                <w:highlight w:val="none"/>
              </w:rPr>
            </w:pPr>
            <w:r>
              <w:rPr>
                <w:rFonts w:hint="eastAsia"/>
                <w:color w:val="auto"/>
                <w:highlight w:val="none"/>
              </w:rPr>
              <w:t>项目施工期固体废物均可以得到及时、妥善的处理和处置，不会对周边环境造成影响。</w:t>
            </w:r>
          </w:p>
        </w:tc>
      </w:tr>
      <w:tr w14:paraId="688F81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02" w:type="dxa"/>
            <w:noWrap w:val="0"/>
            <w:tcMar>
              <w:left w:w="28" w:type="dxa"/>
              <w:right w:w="28" w:type="dxa"/>
            </w:tcMar>
            <w:vAlign w:val="center"/>
          </w:tcPr>
          <w:p w14:paraId="77460CEF">
            <w:pPr>
              <w:pStyle w:val="73"/>
              <w:spacing w:line="240" w:lineRule="auto"/>
              <w:ind w:firstLine="0" w:firstLineChars="0"/>
              <w:rPr>
                <w:color w:val="auto"/>
                <w:highlight w:val="none"/>
              </w:rPr>
            </w:pPr>
            <w:r>
              <w:rPr>
                <w:color w:val="auto"/>
                <w:highlight w:val="none"/>
              </w:rPr>
              <w:t>运营期环境影响和保护措施</w:t>
            </w:r>
          </w:p>
        </w:tc>
        <w:tc>
          <w:tcPr>
            <w:tcW w:w="8535" w:type="dxa"/>
            <w:noWrap w:val="0"/>
            <w:vAlign w:val="top"/>
          </w:tcPr>
          <w:p w14:paraId="34EFABFB">
            <w:pPr>
              <w:pStyle w:val="3"/>
              <w:rPr>
                <w:color w:val="auto"/>
                <w:highlight w:val="none"/>
              </w:rPr>
            </w:pPr>
            <w:r>
              <w:rPr>
                <w:color w:val="auto"/>
                <w:highlight w:val="none"/>
              </w:rPr>
              <w:t>4.</w:t>
            </w:r>
            <w:r>
              <w:rPr>
                <w:rFonts w:hint="eastAsia"/>
                <w:color w:val="auto"/>
                <w:highlight w:val="none"/>
              </w:rPr>
              <w:t xml:space="preserve">2 </w:t>
            </w:r>
            <w:r>
              <w:rPr>
                <w:color w:val="auto"/>
                <w:highlight w:val="none"/>
              </w:rPr>
              <w:t>运营期环境影响分析和污染防治措施</w:t>
            </w:r>
          </w:p>
          <w:p w14:paraId="72145B62">
            <w:pPr>
              <w:pStyle w:val="4"/>
              <w:rPr>
                <w:color w:val="auto"/>
                <w:highlight w:val="none"/>
              </w:rPr>
            </w:pPr>
            <w:r>
              <w:rPr>
                <w:color w:val="auto"/>
                <w:highlight w:val="none"/>
              </w:rPr>
              <w:t>4.</w:t>
            </w:r>
            <w:r>
              <w:rPr>
                <w:rFonts w:hint="eastAsia"/>
                <w:color w:val="auto"/>
                <w:highlight w:val="none"/>
              </w:rPr>
              <w:t>2.1</w:t>
            </w:r>
            <w:r>
              <w:rPr>
                <w:color w:val="auto"/>
                <w:highlight w:val="none"/>
              </w:rPr>
              <w:t>运营期大气环境影响分析和污染防治措施</w:t>
            </w:r>
          </w:p>
          <w:p w14:paraId="4AFE50C9">
            <w:pPr>
              <w:pStyle w:val="5"/>
              <w:rPr>
                <w:rFonts w:hint="eastAsia"/>
                <w:b w:val="0"/>
                <w:bCs w:val="0"/>
                <w:color w:val="auto"/>
                <w:szCs w:val="24"/>
                <w:highlight w:val="none"/>
              </w:rPr>
            </w:pPr>
            <w:r>
              <w:rPr>
                <w:color w:val="auto"/>
                <w:highlight w:val="none"/>
              </w:rPr>
              <w:t>4.</w:t>
            </w:r>
            <w:r>
              <w:rPr>
                <w:rFonts w:hint="eastAsia"/>
                <w:color w:val="auto"/>
                <w:highlight w:val="none"/>
              </w:rPr>
              <w:t>2.1.1</w:t>
            </w:r>
            <w:r>
              <w:rPr>
                <w:color w:val="auto"/>
                <w:highlight w:val="none"/>
              </w:rPr>
              <w:t>运营期废气源强核算</w:t>
            </w:r>
          </w:p>
          <w:p w14:paraId="53615DC1">
            <w:pPr>
              <w:bidi w:val="0"/>
              <w:rPr>
                <w:b/>
                <w:bCs/>
                <w:color w:val="auto"/>
                <w:highlight w:val="none"/>
              </w:rPr>
            </w:pPr>
            <w:r>
              <w:rPr>
                <w:rFonts w:hint="eastAsia"/>
                <w:b/>
                <w:bCs/>
                <w:color w:val="auto"/>
                <w:highlight w:val="none"/>
                <w:lang w:eastAsia="zh-CN"/>
              </w:rPr>
              <w:t>（</w:t>
            </w:r>
            <w:r>
              <w:rPr>
                <w:rFonts w:hint="eastAsia"/>
                <w:b/>
                <w:bCs/>
                <w:color w:val="auto"/>
                <w:highlight w:val="none"/>
                <w:lang w:val="en-US" w:eastAsia="zh-CN"/>
              </w:rPr>
              <w:t>1</w:t>
            </w:r>
            <w:r>
              <w:rPr>
                <w:rFonts w:hint="eastAsia"/>
                <w:b/>
                <w:bCs/>
                <w:color w:val="auto"/>
                <w:highlight w:val="none"/>
                <w:lang w:eastAsia="zh-CN"/>
              </w:rPr>
              <w:t>）</w:t>
            </w:r>
            <w:r>
              <w:rPr>
                <w:rFonts w:hint="eastAsia"/>
                <w:b/>
                <w:bCs/>
                <w:color w:val="auto"/>
                <w:highlight w:val="none"/>
                <w:lang w:val="en-US" w:eastAsia="zh-CN"/>
              </w:rPr>
              <w:t xml:space="preserve">骨料卸料扬尘 </w:t>
            </w:r>
          </w:p>
          <w:p w14:paraId="4DD4DE06">
            <w:pPr>
              <w:keepNext w:val="0"/>
              <w:keepLines w:val="0"/>
              <w:widowControl/>
              <w:suppressLineNumbers w:val="0"/>
              <w:jc w:val="left"/>
              <w:rPr>
                <w:rFonts w:hint="eastAsia"/>
                <w:color w:val="auto"/>
                <w:highlight w:val="none"/>
                <w:lang w:val="en-US" w:eastAsia="zh-CN"/>
              </w:rPr>
            </w:pPr>
            <w:r>
              <w:rPr>
                <w:rFonts w:hint="eastAsia"/>
                <w:color w:val="auto"/>
                <w:highlight w:val="none"/>
                <w:lang w:val="en-US" w:eastAsia="zh-CN"/>
              </w:rPr>
              <w:t>项目碎石在堆场卸料过程中会有无组织颗粒物产生，产生量与砂石料粒度、湿度、天气情况等因素有关。项目石料场为半封闭式的仓体建筑，拟设置喷淋系统，因此其产生的颗粒物产生量较少。</w:t>
            </w:r>
            <w:r>
              <w:rPr>
                <w:rFonts w:hint="eastAsia" w:ascii="宋体" w:hAnsi="宋体" w:eastAsia="宋体" w:cs="宋体"/>
                <w:color w:val="auto"/>
                <w:kern w:val="0"/>
                <w:sz w:val="24"/>
                <w:szCs w:val="24"/>
                <w:highlight w:val="none"/>
                <w:lang w:val="en-US" w:eastAsia="zh-CN" w:bidi="ar"/>
              </w:rPr>
              <w:t xml:space="preserve">根据《逸散性工业粉尘控制技术》原文 </w:t>
            </w:r>
            <w:r>
              <w:rPr>
                <w:rFonts w:hint="default" w:ascii="Times New Roman" w:hAnsi="Times New Roman" w:eastAsia="宋体" w:cs="Times New Roman"/>
                <w:color w:val="auto"/>
                <w:kern w:val="0"/>
                <w:sz w:val="24"/>
                <w:szCs w:val="24"/>
                <w:highlight w:val="none"/>
                <w:lang w:val="en-US" w:eastAsia="zh-CN" w:bidi="ar"/>
              </w:rPr>
              <w:t>P327</w:t>
            </w:r>
            <w:r>
              <w:rPr>
                <w:rFonts w:hint="eastAsia" w:ascii="宋体" w:hAnsi="宋体" w:eastAsia="宋体" w:cs="宋体"/>
                <w:color w:val="auto"/>
                <w:kern w:val="0"/>
                <w:sz w:val="24"/>
                <w:szCs w:val="24"/>
                <w:highlight w:val="none"/>
                <w:lang w:val="en-US" w:eastAsia="zh-CN" w:bidi="ar"/>
              </w:rPr>
              <w:t>中“表</w:t>
            </w:r>
            <w:r>
              <w:rPr>
                <w:rFonts w:hint="default" w:ascii="Times New Roman" w:hAnsi="Times New Roman" w:eastAsia="宋体" w:cs="Times New Roman"/>
                <w:color w:val="auto"/>
                <w:kern w:val="0"/>
                <w:sz w:val="24"/>
                <w:szCs w:val="24"/>
                <w:highlight w:val="none"/>
                <w:lang w:val="en-US" w:eastAsia="zh-CN" w:bidi="ar"/>
              </w:rPr>
              <w:t xml:space="preserve">21-1 </w:t>
            </w:r>
            <w:r>
              <w:rPr>
                <w:rFonts w:hint="eastAsia" w:ascii="宋体" w:hAnsi="宋体" w:eastAsia="宋体" w:cs="宋体"/>
                <w:color w:val="auto"/>
                <w:kern w:val="0"/>
                <w:sz w:val="24"/>
                <w:szCs w:val="24"/>
                <w:highlight w:val="none"/>
                <w:lang w:val="en-US" w:eastAsia="zh-CN" w:bidi="ar"/>
              </w:rPr>
              <w:t>沥青混凝土制造厂的逸散性粉尘排放因子：送料上堆逸散粉尘排放因子为</w:t>
            </w:r>
            <w:r>
              <w:rPr>
                <w:rFonts w:hint="default" w:ascii="Times New Roman" w:hAnsi="Times New Roman" w:eastAsia="宋体" w:cs="Times New Roman"/>
                <w:color w:val="auto"/>
                <w:kern w:val="0"/>
                <w:sz w:val="24"/>
                <w:szCs w:val="24"/>
                <w:highlight w:val="none"/>
                <w:lang w:val="en-US" w:eastAsia="zh-CN" w:bidi="ar"/>
              </w:rPr>
              <w:t>0.02kg/ t</w:t>
            </w:r>
            <w:r>
              <w:rPr>
                <w:rFonts w:hint="eastAsia"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上堆料</w:t>
            </w:r>
            <w:r>
              <w:rPr>
                <w:rFonts w:hint="eastAsia"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w:t>
            </w:r>
            <w:r>
              <w:rPr>
                <w:rFonts w:hint="eastAsia"/>
                <w:color w:val="auto"/>
                <w:highlight w:val="none"/>
                <w:lang w:val="en-US" w:eastAsia="zh-CN"/>
              </w:rPr>
              <w:t>，本项目一期碎石使用量为86440</w:t>
            </w:r>
            <w:r>
              <w:rPr>
                <w:rFonts w:hint="default"/>
                <w:color w:val="auto"/>
                <w:highlight w:val="none"/>
                <w:lang w:val="en-US" w:eastAsia="zh-CN"/>
              </w:rPr>
              <w:t>t/a</w:t>
            </w:r>
            <w:r>
              <w:rPr>
                <w:rFonts w:hint="eastAsia"/>
                <w:color w:val="auto"/>
                <w:highlight w:val="none"/>
                <w:lang w:val="en-US" w:eastAsia="zh-CN"/>
              </w:rPr>
              <w:t>，二期碎石使用量为172880</w:t>
            </w:r>
            <w:r>
              <w:rPr>
                <w:rFonts w:hint="default"/>
                <w:color w:val="auto"/>
                <w:highlight w:val="none"/>
                <w:lang w:val="en-US" w:eastAsia="zh-CN"/>
              </w:rPr>
              <w:t>t/a</w:t>
            </w:r>
            <w:r>
              <w:rPr>
                <w:rFonts w:hint="eastAsia"/>
                <w:color w:val="auto"/>
                <w:highlight w:val="none"/>
                <w:lang w:val="en-US" w:eastAsia="zh-CN"/>
              </w:rPr>
              <w:t>，则一期粉尘产生量为1.729</w:t>
            </w:r>
            <w:r>
              <w:rPr>
                <w:rFonts w:hint="default"/>
                <w:color w:val="auto"/>
                <w:highlight w:val="none"/>
                <w:lang w:val="en-US" w:eastAsia="zh-CN"/>
              </w:rPr>
              <w:t>t/a</w:t>
            </w:r>
            <w:r>
              <w:rPr>
                <w:rFonts w:hint="eastAsia"/>
                <w:color w:val="auto"/>
                <w:highlight w:val="none"/>
                <w:lang w:val="en-US" w:eastAsia="zh-CN"/>
              </w:rPr>
              <w:t>，二期粉尘产生量为3.458t/a。而</w:t>
            </w:r>
            <w:r>
              <w:rPr>
                <w:rFonts w:hint="eastAsia" w:ascii="宋体" w:hAnsi="宋体" w:eastAsia="宋体" w:cs="宋体"/>
                <w:color w:val="auto"/>
                <w:kern w:val="0"/>
                <w:sz w:val="24"/>
                <w:szCs w:val="24"/>
                <w:highlight w:val="none"/>
                <w:lang w:val="en-US" w:eastAsia="zh-CN" w:bidi="ar"/>
              </w:rPr>
              <w:t>根据《排放源统计调查产排污核算方法和系数手册》（</w:t>
            </w:r>
            <w:r>
              <w:rPr>
                <w:rFonts w:hint="default" w:ascii="Times New Roman" w:hAnsi="Times New Roman" w:eastAsia="宋体" w:cs="Times New Roman"/>
                <w:color w:val="auto"/>
                <w:kern w:val="0"/>
                <w:sz w:val="24"/>
                <w:szCs w:val="24"/>
                <w:highlight w:val="none"/>
                <w:lang w:val="en-US" w:eastAsia="zh-CN" w:bidi="ar"/>
              </w:rPr>
              <w:t xml:space="preserve">2021 </w:t>
            </w:r>
            <w:r>
              <w:rPr>
                <w:rFonts w:hint="eastAsia" w:ascii="宋体" w:hAnsi="宋体" w:eastAsia="宋体" w:cs="宋体"/>
                <w:color w:val="auto"/>
                <w:kern w:val="0"/>
                <w:sz w:val="24"/>
                <w:szCs w:val="24"/>
                <w:highlight w:val="none"/>
                <w:lang w:val="en-US" w:eastAsia="zh-CN" w:bidi="ar"/>
              </w:rPr>
              <w:t>年版）工业源固体物料堆场颗粒物核算系数手册的附录</w:t>
            </w:r>
            <w:r>
              <w:rPr>
                <w:rFonts w:hint="default" w:ascii="Times New Roman" w:hAnsi="Times New Roman" w:eastAsia="宋体" w:cs="Times New Roman"/>
                <w:color w:val="auto"/>
                <w:kern w:val="0"/>
                <w:sz w:val="24"/>
                <w:szCs w:val="24"/>
                <w:highlight w:val="none"/>
                <w:lang w:val="en-US" w:eastAsia="zh-CN" w:bidi="ar"/>
              </w:rPr>
              <w:t>4</w:t>
            </w:r>
            <w:r>
              <w:rPr>
                <w:rFonts w:hint="eastAsia" w:ascii="宋体" w:hAnsi="宋体" w:eastAsia="宋体" w:cs="宋体"/>
                <w:color w:val="auto"/>
                <w:kern w:val="0"/>
                <w:sz w:val="24"/>
                <w:szCs w:val="24"/>
                <w:highlight w:val="none"/>
                <w:lang w:val="en-US" w:eastAsia="zh-CN" w:bidi="ar"/>
              </w:rPr>
              <w:t>采用洒水控制效率为</w:t>
            </w:r>
            <w:r>
              <w:rPr>
                <w:rFonts w:hint="default" w:ascii="Times New Roman" w:hAnsi="Times New Roman" w:eastAsia="宋体" w:cs="Times New Roman"/>
                <w:color w:val="auto"/>
                <w:kern w:val="0"/>
                <w:sz w:val="24"/>
                <w:szCs w:val="24"/>
                <w:highlight w:val="none"/>
                <w:lang w:val="en-US" w:eastAsia="zh-CN" w:bidi="ar"/>
              </w:rPr>
              <w:t>74%</w:t>
            </w:r>
            <w:r>
              <w:rPr>
                <w:rFonts w:hint="eastAsia" w:ascii="宋体" w:hAnsi="宋体" w:eastAsia="宋体" w:cs="宋体"/>
                <w:color w:val="auto"/>
                <w:kern w:val="0"/>
                <w:sz w:val="24"/>
                <w:szCs w:val="24"/>
                <w:highlight w:val="none"/>
                <w:lang w:val="en-US" w:eastAsia="zh-CN" w:bidi="ar"/>
              </w:rPr>
              <w:t>，半敞开式控制效率为</w:t>
            </w:r>
            <w:r>
              <w:rPr>
                <w:rFonts w:hint="default" w:ascii="Times New Roman" w:hAnsi="Times New Roman" w:eastAsia="宋体" w:cs="Times New Roman"/>
                <w:color w:val="auto"/>
                <w:kern w:val="0"/>
                <w:sz w:val="24"/>
                <w:szCs w:val="24"/>
                <w:highlight w:val="none"/>
                <w:lang w:val="en-US" w:eastAsia="zh-CN" w:bidi="ar"/>
              </w:rPr>
              <w:t>60%</w:t>
            </w:r>
            <w:r>
              <w:rPr>
                <w:rFonts w:hint="eastAsia" w:ascii="宋体" w:hAnsi="宋体" w:eastAsia="宋体" w:cs="宋体"/>
                <w:color w:val="auto"/>
                <w:kern w:val="0"/>
                <w:sz w:val="24"/>
                <w:szCs w:val="24"/>
                <w:highlight w:val="none"/>
                <w:lang w:val="en-US" w:eastAsia="zh-CN" w:bidi="ar"/>
              </w:rPr>
              <w:t>；根据《未纳入排污许可管理行业适用的排污系数、物料衡算方法（试行）》，木工粉尘的沉降率为</w:t>
            </w:r>
            <w:r>
              <w:rPr>
                <w:rFonts w:hint="default" w:ascii="Times New Roman" w:hAnsi="Times New Roman" w:eastAsia="宋体" w:cs="Times New Roman"/>
                <w:color w:val="auto"/>
                <w:kern w:val="0"/>
                <w:sz w:val="24"/>
                <w:szCs w:val="24"/>
                <w:highlight w:val="none"/>
                <w:lang w:val="en-US" w:eastAsia="zh-CN" w:bidi="ar"/>
              </w:rPr>
              <w:t>85%</w:t>
            </w:r>
            <w:r>
              <w:rPr>
                <w:rFonts w:hint="eastAsia" w:ascii="宋体" w:hAnsi="宋体" w:eastAsia="宋体" w:cs="宋体"/>
                <w:color w:val="auto"/>
                <w:kern w:val="0"/>
                <w:sz w:val="24"/>
                <w:szCs w:val="24"/>
                <w:highlight w:val="none"/>
                <w:lang w:val="en-US" w:eastAsia="zh-CN" w:bidi="ar"/>
              </w:rPr>
              <w:t>，而砂石粉尘颗粒物的粒径和比重大于木料粉尘，前者比后者更易沉降，本环评保守按</w:t>
            </w:r>
            <w:r>
              <w:rPr>
                <w:rFonts w:hint="default" w:ascii="Times New Roman" w:hAnsi="Times New Roman" w:eastAsia="宋体" w:cs="Times New Roman"/>
                <w:color w:val="auto"/>
                <w:kern w:val="0"/>
                <w:sz w:val="24"/>
                <w:szCs w:val="24"/>
                <w:highlight w:val="none"/>
                <w:lang w:val="en-US" w:eastAsia="zh-CN" w:bidi="ar"/>
              </w:rPr>
              <w:t>70%</w:t>
            </w:r>
            <w:r>
              <w:rPr>
                <w:rFonts w:hint="eastAsia" w:ascii="宋体" w:hAnsi="宋体" w:eastAsia="宋体" w:cs="宋体"/>
                <w:color w:val="auto"/>
                <w:kern w:val="0"/>
                <w:sz w:val="24"/>
                <w:szCs w:val="24"/>
                <w:highlight w:val="none"/>
                <w:lang w:val="en-US" w:eastAsia="zh-CN" w:bidi="ar"/>
              </w:rPr>
              <w:t>粉尘可在操作区域附近短时间内沉降，只有极少部分（约</w:t>
            </w:r>
            <w:r>
              <w:rPr>
                <w:rFonts w:hint="default" w:ascii="Times New Roman" w:hAnsi="Times New Roman" w:eastAsia="宋体" w:cs="Times New Roman"/>
                <w:color w:val="auto"/>
                <w:kern w:val="0"/>
                <w:sz w:val="24"/>
                <w:szCs w:val="24"/>
                <w:highlight w:val="none"/>
                <w:lang w:val="en-US" w:eastAsia="zh-CN" w:bidi="ar"/>
              </w:rPr>
              <w:t>30%</w:t>
            </w:r>
            <w:r>
              <w:rPr>
                <w:rFonts w:hint="eastAsia" w:ascii="宋体" w:hAnsi="宋体" w:eastAsia="宋体" w:cs="宋体"/>
                <w:color w:val="auto"/>
                <w:kern w:val="0"/>
                <w:sz w:val="24"/>
                <w:szCs w:val="24"/>
                <w:highlight w:val="none"/>
                <w:lang w:val="en-US" w:eastAsia="zh-CN" w:bidi="ar"/>
              </w:rPr>
              <w:t>）逸散到大气中形成粉尘。根据建设单位提供资料，车辆卸料过程工作时间约为</w:t>
            </w:r>
            <w:r>
              <w:rPr>
                <w:rFonts w:hint="default" w:ascii="Times New Roman" w:hAnsi="Times New Roman" w:eastAsia="宋体" w:cs="Times New Roman"/>
                <w:color w:val="auto"/>
                <w:kern w:val="0"/>
                <w:sz w:val="24"/>
                <w:szCs w:val="24"/>
                <w:highlight w:val="none"/>
                <w:lang w:val="en-US" w:eastAsia="zh-CN" w:bidi="ar"/>
              </w:rPr>
              <w:t>10</w:t>
            </w:r>
            <w:r>
              <w:rPr>
                <w:rFonts w:hint="eastAsia" w:ascii="宋体" w:hAnsi="宋体" w:eastAsia="宋体" w:cs="宋体"/>
                <w:color w:val="auto"/>
                <w:kern w:val="0"/>
                <w:sz w:val="24"/>
                <w:szCs w:val="24"/>
                <w:highlight w:val="none"/>
                <w:lang w:val="en-US" w:eastAsia="zh-CN" w:bidi="ar"/>
              </w:rPr>
              <w:t>分钟</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车次，每车装车骨料量约为</w:t>
            </w:r>
            <w:r>
              <w:rPr>
                <w:rFonts w:hint="default" w:ascii="Times New Roman" w:hAnsi="Times New Roman" w:eastAsia="宋体" w:cs="Times New Roman"/>
                <w:color w:val="auto"/>
                <w:kern w:val="0"/>
                <w:sz w:val="24"/>
                <w:szCs w:val="24"/>
                <w:highlight w:val="none"/>
                <w:lang w:val="en-US" w:eastAsia="zh-CN" w:bidi="ar"/>
              </w:rPr>
              <w:t>30</w:t>
            </w:r>
            <w:r>
              <w:rPr>
                <w:rFonts w:hint="eastAsia" w:ascii="宋体" w:hAnsi="宋体" w:eastAsia="宋体" w:cs="宋体"/>
                <w:color w:val="auto"/>
                <w:kern w:val="0"/>
                <w:sz w:val="24"/>
                <w:szCs w:val="24"/>
                <w:highlight w:val="none"/>
                <w:lang w:val="en-US" w:eastAsia="zh-CN" w:bidi="ar"/>
              </w:rPr>
              <w:t>吨</w:t>
            </w:r>
            <w:r>
              <w:rPr>
                <w:rFonts w:hint="eastAsia"/>
                <w:color w:val="auto"/>
                <w:highlight w:val="none"/>
                <w:lang w:val="en-US" w:eastAsia="zh-CN"/>
              </w:rPr>
              <w:t>，骨料卸料扬尘产排情况见表4.2-1。</w:t>
            </w:r>
          </w:p>
          <w:p w14:paraId="544562B1">
            <w:pPr>
              <w:keepNext w:val="0"/>
              <w:keepLines w:val="0"/>
              <w:widowControl/>
              <w:suppressLineNumbers w:val="0"/>
              <w:ind w:left="0" w:leftChars="0" w:firstLine="0" w:firstLineChars="0"/>
              <w:jc w:val="center"/>
              <w:rPr>
                <w:rFonts w:hint="default" w:ascii="Times New Roman" w:hAnsi="Times New Roman" w:cs="Times New Roman"/>
                <w:color w:val="auto"/>
                <w:highlight w:val="none"/>
                <w:lang w:val="en-US" w:eastAsia="zh-CN"/>
              </w:rPr>
            </w:pPr>
            <w:r>
              <w:rPr>
                <w:rFonts w:hint="eastAsia"/>
                <w:b/>
                <w:bCs/>
                <w:color w:val="auto"/>
                <w:highlight w:val="none"/>
                <w:lang w:val="en-US" w:eastAsia="zh-CN"/>
              </w:rPr>
              <w:t xml:space="preserve">表4.2-1 </w:t>
            </w:r>
            <w:r>
              <w:rPr>
                <w:rFonts w:hint="eastAsia" w:ascii="Times New Roman" w:hAnsi="Times New Roman" w:cs="Times New Roman"/>
                <w:b/>
                <w:bCs/>
                <w:color w:val="auto"/>
                <w:highlight w:val="none"/>
                <w:lang w:val="en-US" w:eastAsia="zh-CN"/>
              </w:rPr>
              <w:t>骨料卸料扬尘</w:t>
            </w:r>
            <w:r>
              <w:rPr>
                <w:rFonts w:hint="default" w:ascii="Times New Roman" w:hAnsi="Times New Roman" w:cs="Times New Roman"/>
                <w:b/>
                <w:bCs/>
                <w:color w:val="auto"/>
                <w:highlight w:val="none"/>
                <w:lang w:val="en-US" w:eastAsia="zh-CN"/>
              </w:rPr>
              <w:t>排放情况一览表</w:t>
            </w:r>
          </w:p>
          <w:tbl>
            <w:tblPr>
              <w:tblStyle w:val="129"/>
              <w:tblW w:w="8355"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466"/>
              <w:gridCol w:w="646"/>
              <w:gridCol w:w="930"/>
              <w:gridCol w:w="1125"/>
              <w:gridCol w:w="1051"/>
              <w:gridCol w:w="987"/>
              <w:gridCol w:w="1236"/>
              <w:gridCol w:w="1051"/>
              <w:gridCol w:w="863"/>
            </w:tblGrid>
            <w:tr w14:paraId="2B3FA36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665" w:type="pct"/>
                  <w:gridSpan w:val="2"/>
                  <w:tcBorders>
                    <w:tl2br w:val="nil"/>
                    <w:tr2bl w:val="nil"/>
                  </w:tcBorders>
                  <w:noWrap w:val="0"/>
                  <w:vAlign w:val="center"/>
                </w:tcPr>
                <w:p w14:paraId="04E33C7A">
                  <w:pPr>
                    <w:pStyle w:val="98"/>
                    <w:widowControl w:val="0"/>
                    <w:kinsoku/>
                    <w:autoSpaceDE/>
                    <w:autoSpaceDN/>
                    <w:adjustRightInd/>
                    <w:snapToGrid/>
                    <w:jc w:val="center"/>
                    <w:textAlignment w:val="auto"/>
                    <w:rPr>
                      <w:rFonts w:hint="eastAsia" w:ascii="Times New Roman" w:hAnsi="Times New Roman" w:cs="Times New Roman"/>
                      <w:b/>
                      <w:bCs/>
                      <w:snapToGrid/>
                      <w:color w:val="auto"/>
                      <w:kern w:val="2"/>
                      <w:szCs w:val="24"/>
                      <w:highlight w:val="none"/>
                      <w:lang w:eastAsia="zh-CN"/>
                    </w:rPr>
                  </w:pPr>
                  <w:r>
                    <w:rPr>
                      <w:rFonts w:hint="eastAsia" w:ascii="Times New Roman" w:hAnsi="Times New Roman" w:cs="Times New Roman"/>
                      <w:b/>
                      <w:bCs/>
                      <w:snapToGrid/>
                      <w:color w:val="auto"/>
                      <w:kern w:val="2"/>
                      <w:szCs w:val="24"/>
                      <w:highlight w:val="none"/>
                      <w:lang w:eastAsia="zh-CN"/>
                    </w:rPr>
                    <w:t>污染物</w:t>
                  </w:r>
                </w:p>
              </w:tc>
              <w:tc>
                <w:tcPr>
                  <w:tcW w:w="556" w:type="pct"/>
                  <w:tcBorders>
                    <w:tl2br w:val="nil"/>
                    <w:tr2bl w:val="nil"/>
                  </w:tcBorders>
                  <w:noWrap w:val="0"/>
                  <w:vAlign w:val="center"/>
                </w:tcPr>
                <w:p w14:paraId="3E926DDD">
                  <w:pPr>
                    <w:pStyle w:val="98"/>
                    <w:widowControl w:val="0"/>
                    <w:kinsoku/>
                    <w:autoSpaceDE/>
                    <w:autoSpaceDN/>
                    <w:adjustRightInd/>
                    <w:snapToGrid/>
                    <w:jc w:val="center"/>
                    <w:textAlignment w:val="auto"/>
                    <w:rPr>
                      <w:rFonts w:hint="eastAsia" w:ascii="Times New Roman" w:hAnsi="Times New Roman" w:cs="Times New Roman"/>
                      <w:b/>
                      <w:bCs/>
                      <w:snapToGrid/>
                      <w:color w:val="auto"/>
                      <w:kern w:val="2"/>
                      <w:szCs w:val="24"/>
                      <w:highlight w:val="none"/>
                      <w:lang w:eastAsia="zh-CN"/>
                    </w:rPr>
                  </w:pPr>
                  <w:r>
                    <w:rPr>
                      <w:rFonts w:hint="eastAsia" w:ascii="Times New Roman" w:hAnsi="Times New Roman" w:cs="Times New Roman"/>
                      <w:b/>
                      <w:bCs/>
                      <w:snapToGrid/>
                      <w:color w:val="auto"/>
                      <w:kern w:val="2"/>
                      <w:szCs w:val="24"/>
                      <w:highlight w:val="none"/>
                      <w:lang w:eastAsia="zh-CN"/>
                    </w:rPr>
                    <w:t>排放形式</w:t>
                  </w:r>
                </w:p>
              </w:tc>
              <w:tc>
                <w:tcPr>
                  <w:tcW w:w="673" w:type="pct"/>
                  <w:tcBorders>
                    <w:tl2br w:val="nil"/>
                    <w:tr2bl w:val="nil"/>
                  </w:tcBorders>
                  <w:noWrap w:val="0"/>
                  <w:vAlign w:val="center"/>
                </w:tcPr>
                <w:p w14:paraId="2A127C89">
                  <w:pPr>
                    <w:pStyle w:val="107"/>
                    <w:widowControl/>
                    <w:ind w:firstLine="0" w:firstLineChars="0"/>
                    <w:jc w:val="center"/>
                    <w:rPr>
                      <w:rFonts w:hint="default" w:ascii="Times New Roman" w:hAnsi="Times New Roman" w:cs="Times New Roman"/>
                      <w:b/>
                      <w:bCs/>
                      <w:snapToGrid/>
                      <w:color w:val="auto"/>
                      <w:kern w:val="2"/>
                      <w:szCs w:val="24"/>
                      <w:highlight w:val="none"/>
                      <w:lang w:val="en-US" w:eastAsia="zh-CN"/>
                    </w:rPr>
                  </w:pPr>
                  <w:r>
                    <w:rPr>
                      <w:rFonts w:hint="eastAsia" w:ascii="Times New Roman" w:hAnsi="Times New Roman" w:eastAsia="宋体"/>
                      <w:b/>
                      <w:bCs/>
                      <w:color w:val="auto"/>
                      <w:sz w:val="21"/>
                      <w:szCs w:val="21"/>
                      <w:highlight w:val="none"/>
                    </w:rPr>
                    <w:t>排放时间</w:t>
                  </w:r>
                  <w:r>
                    <w:rPr>
                      <w:rFonts w:hint="eastAsia" w:ascii="Times New Roman" w:hAnsi="Times New Roman" w:eastAsia="宋体"/>
                      <w:b/>
                      <w:bCs/>
                      <w:color w:val="auto"/>
                      <w:sz w:val="21"/>
                      <w:szCs w:val="21"/>
                      <w:highlight w:val="none"/>
                      <w:lang w:val="en-US" w:eastAsia="zh-CN"/>
                    </w:rPr>
                    <w:t>/</w:t>
                  </w:r>
                  <w:r>
                    <w:rPr>
                      <w:rFonts w:hint="eastAsia" w:ascii="Times New Roman" w:hAnsi="Times New Roman" w:eastAsia="宋体"/>
                      <w:b/>
                      <w:bCs/>
                      <w:color w:val="auto"/>
                      <w:sz w:val="21"/>
                      <w:szCs w:val="21"/>
                      <w:highlight w:val="none"/>
                    </w:rPr>
                    <w:t>h</w:t>
                  </w:r>
                </w:p>
              </w:tc>
              <w:tc>
                <w:tcPr>
                  <w:tcW w:w="628" w:type="pct"/>
                  <w:tcBorders>
                    <w:tl2br w:val="nil"/>
                    <w:tr2bl w:val="nil"/>
                  </w:tcBorders>
                  <w:noWrap w:val="0"/>
                  <w:vAlign w:val="center"/>
                </w:tcPr>
                <w:p w14:paraId="527067B2">
                  <w:pPr>
                    <w:pStyle w:val="98"/>
                    <w:widowControl w:val="0"/>
                    <w:kinsoku/>
                    <w:autoSpaceDE/>
                    <w:autoSpaceDN/>
                    <w:adjustRightInd/>
                    <w:snapToGrid/>
                    <w:jc w:val="center"/>
                    <w:textAlignment w:val="auto"/>
                    <w:rPr>
                      <w:rFonts w:hint="default" w:ascii="Times New Roman" w:hAnsi="Times New Roman" w:cs="Times New Roman"/>
                      <w:b/>
                      <w:bCs/>
                      <w:snapToGrid/>
                      <w:color w:val="auto"/>
                      <w:kern w:val="2"/>
                      <w:szCs w:val="24"/>
                      <w:highlight w:val="none"/>
                      <w:lang w:val="en-US" w:eastAsia="zh-CN"/>
                    </w:rPr>
                  </w:pPr>
                  <w:r>
                    <w:rPr>
                      <w:rFonts w:hint="eastAsia" w:ascii="Times New Roman" w:hAnsi="Times New Roman" w:cs="Times New Roman"/>
                      <w:b/>
                      <w:bCs/>
                      <w:snapToGrid/>
                      <w:color w:val="auto"/>
                      <w:kern w:val="2"/>
                      <w:szCs w:val="24"/>
                      <w:highlight w:val="none"/>
                      <w:lang w:eastAsia="zh-CN"/>
                    </w:rPr>
                    <w:t>产生量 t/a</w:t>
                  </w:r>
                </w:p>
              </w:tc>
              <w:tc>
                <w:tcPr>
                  <w:tcW w:w="590" w:type="pct"/>
                  <w:tcBorders>
                    <w:tl2br w:val="nil"/>
                    <w:tr2bl w:val="nil"/>
                  </w:tcBorders>
                  <w:noWrap w:val="0"/>
                  <w:vAlign w:val="center"/>
                </w:tcPr>
                <w:p w14:paraId="4141BF4E">
                  <w:pPr>
                    <w:pStyle w:val="98"/>
                    <w:widowControl w:val="0"/>
                    <w:kinsoku/>
                    <w:autoSpaceDE/>
                    <w:autoSpaceDN/>
                    <w:adjustRightInd/>
                    <w:snapToGrid/>
                    <w:jc w:val="center"/>
                    <w:textAlignment w:val="auto"/>
                    <w:rPr>
                      <w:rFonts w:hint="default" w:ascii="Times New Roman" w:hAnsi="Times New Roman" w:cs="Times New Roman"/>
                      <w:b/>
                      <w:bCs/>
                      <w:snapToGrid/>
                      <w:color w:val="auto"/>
                      <w:kern w:val="2"/>
                      <w:szCs w:val="24"/>
                      <w:highlight w:val="none"/>
                      <w:lang w:val="en-US" w:eastAsia="zh-CN"/>
                    </w:rPr>
                  </w:pPr>
                  <w:r>
                    <w:rPr>
                      <w:rFonts w:hint="eastAsia" w:ascii="Times New Roman" w:hAnsi="Times New Roman" w:cs="Times New Roman"/>
                      <w:b/>
                      <w:bCs/>
                      <w:snapToGrid/>
                      <w:color w:val="auto"/>
                      <w:kern w:val="2"/>
                      <w:szCs w:val="24"/>
                      <w:highlight w:val="none"/>
                      <w:lang w:val="en-US" w:eastAsia="zh-CN"/>
                    </w:rPr>
                    <w:t>产生速率</w:t>
                  </w:r>
                  <w:r>
                    <w:rPr>
                      <w:rFonts w:hint="eastAsia" w:ascii="Times New Roman" w:hAnsi="Times New Roman" w:cs="Times New Roman"/>
                      <w:b/>
                      <w:bCs/>
                      <w:snapToGrid/>
                      <w:color w:val="auto"/>
                      <w:kern w:val="2"/>
                      <w:szCs w:val="24"/>
                      <w:highlight w:val="none"/>
                      <w:lang w:eastAsia="zh-CN"/>
                    </w:rPr>
                    <w:t>kg/h</w:t>
                  </w:r>
                </w:p>
              </w:tc>
              <w:tc>
                <w:tcPr>
                  <w:tcW w:w="739" w:type="pct"/>
                  <w:tcBorders>
                    <w:tl2br w:val="nil"/>
                    <w:tr2bl w:val="nil"/>
                  </w:tcBorders>
                  <w:noWrap w:val="0"/>
                  <w:vAlign w:val="center"/>
                </w:tcPr>
                <w:p w14:paraId="4F394218">
                  <w:pPr>
                    <w:pStyle w:val="98"/>
                    <w:widowControl w:val="0"/>
                    <w:kinsoku/>
                    <w:autoSpaceDE/>
                    <w:autoSpaceDN/>
                    <w:adjustRightInd/>
                    <w:snapToGrid/>
                    <w:jc w:val="center"/>
                    <w:textAlignment w:val="auto"/>
                    <w:rPr>
                      <w:rFonts w:hint="eastAsia" w:ascii="Times New Roman" w:hAnsi="Times New Roman" w:cs="Times New Roman"/>
                      <w:b/>
                      <w:bCs/>
                      <w:snapToGrid/>
                      <w:color w:val="auto"/>
                      <w:kern w:val="2"/>
                      <w:szCs w:val="24"/>
                      <w:highlight w:val="none"/>
                      <w:lang w:eastAsia="zh-CN"/>
                    </w:rPr>
                  </w:pPr>
                  <w:r>
                    <w:rPr>
                      <w:rFonts w:hint="eastAsia" w:ascii="Times New Roman" w:hAnsi="Times New Roman" w:cs="Times New Roman"/>
                      <w:b/>
                      <w:bCs/>
                      <w:snapToGrid/>
                      <w:color w:val="auto"/>
                      <w:kern w:val="2"/>
                      <w:szCs w:val="24"/>
                      <w:highlight w:val="none"/>
                      <w:lang w:eastAsia="zh-CN"/>
                    </w:rPr>
                    <w:t>治理措施及处理效率</w:t>
                  </w:r>
                </w:p>
              </w:tc>
              <w:tc>
                <w:tcPr>
                  <w:tcW w:w="628" w:type="pct"/>
                  <w:tcBorders>
                    <w:tl2br w:val="nil"/>
                    <w:tr2bl w:val="nil"/>
                  </w:tcBorders>
                  <w:noWrap w:val="0"/>
                  <w:vAlign w:val="center"/>
                </w:tcPr>
                <w:p w14:paraId="0D71B497">
                  <w:pPr>
                    <w:pStyle w:val="98"/>
                    <w:widowControl w:val="0"/>
                    <w:kinsoku/>
                    <w:autoSpaceDE/>
                    <w:autoSpaceDN/>
                    <w:adjustRightInd/>
                    <w:snapToGrid/>
                    <w:jc w:val="center"/>
                    <w:textAlignment w:val="auto"/>
                    <w:rPr>
                      <w:rFonts w:hint="eastAsia" w:ascii="Times New Roman" w:hAnsi="Times New Roman" w:cs="Times New Roman"/>
                      <w:b/>
                      <w:bCs/>
                      <w:snapToGrid/>
                      <w:color w:val="auto"/>
                      <w:kern w:val="2"/>
                      <w:szCs w:val="24"/>
                      <w:highlight w:val="none"/>
                      <w:lang w:eastAsia="zh-CN"/>
                    </w:rPr>
                  </w:pPr>
                  <w:r>
                    <w:rPr>
                      <w:rFonts w:hint="eastAsia" w:ascii="Times New Roman" w:hAnsi="Times New Roman" w:cs="Times New Roman"/>
                      <w:b/>
                      <w:bCs/>
                      <w:snapToGrid/>
                      <w:color w:val="auto"/>
                      <w:kern w:val="2"/>
                      <w:szCs w:val="24"/>
                      <w:highlight w:val="none"/>
                      <w:lang w:eastAsia="zh-CN"/>
                    </w:rPr>
                    <w:t>排放量t/a</w:t>
                  </w:r>
                </w:p>
              </w:tc>
              <w:tc>
                <w:tcPr>
                  <w:tcW w:w="516" w:type="pct"/>
                  <w:tcBorders>
                    <w:tl2br w:val="nil"/>
                    <w:tr2bl w:val="nil"/>
                  </w:tcBorders>
                  <w:noWrap w:val="0"/>
                  <w:vAlign w:val="center"/>
                </w:tcPr>
                <w:p w14:paraId="0A1CFDD2">
                  <w:pPr>
                    <w:pStyle w:val="98"/>
                    <w:widowControl w:val="0"/>
                    <w:kinsoku/>
                    <w:autoSpaceDE/>
                    <w:autoSpaceDN/>
                    <w:adjustRightInd/>
                    <w:snapToGrid/>
                    <w:jc w:val="center"/>
                    <w:textAlignment w:val="auto"/>
                    <w:rPr>
                      <w:rFonts w:hint="eastAsia" w:ascii="Times New Roman" w:hAnsi="Times New Roman" w:cs="Times New Roman"/>
                      <w:b/>
                      <w:bCs/>
                      <w:snapToGrid/>
                      <w:color w:val="auto"/>
                      <w:kern w:val="2"/>
                      <w:szCs w:val="24"/>
                      <w:highlight w:val="none"/>
                      <w:lang w:eastAsia="zh-CN"/>
                    </w:rPr>
                  </w:pPr>
                  <w:r>
                    <w:rPr>
                      <w:rFonts w:hint="eastAsia" w:ascii="Times New Roman" w:hAnsi="Times New Roman" w:cs="Times New Roman"/>
                      <w:b/>
                      <w:bCs/>
                      <w:snapToGrid/>
                      <w:color w:val="auto"/>
                      <w:kern w:val="2"/>
                      <w:szCs w:val="24"/>
                      <w:highlight w:val="none"/>
                      <w:lang w:eastAsia="zh-CN"/>
                    </w:rPr>
                    <w:t>排放速率kg/h</w:t>
                  </w:r>
                </w:p>
              </w:tc>
            </w:tr>
            <w:tr w14:paraId="0261544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7" w:hRule="atLeast"/>
                <w:jc w:val="center"/>
              </w:trPr>
              <w:tc>
                <w:tcPr>
                  <w:tcW w:w="278" w:type="pct"/>
                  <w:vMerge w:val="restart"/>
                  <w:tcBorders>
                    <w:tl2br w:val="nil"/>
                    <w:tr2bl w:val="nil"/>
                  </w:tcBorders>
                  <w:noWrap w:val="0"/>
                  <w:vAlign w:val="center"/>
                </w:tcPr>
                <w:p w14:paraId="73DF863B">
                  <w:pPr>
                    <w:pStyle w:val="98"/>
                    <w:widowControl w:val="0"/>
                    <w:kinsoku/>
                    <w:autoSpaceDE/>
                    <w:autoSpaceDN/>
                    <w:adjustRightInd/>
                    <w:snapToGrid/>
                    <w:jc w:val="center"/>
                    <w:textAlignment w:val="auto"/>
                    <w:rPr>
                      <w:rFonts w:hint="eastAsia" w:ascii="Times New Roman" w:hAnsi="Times New Roman" w:eastAsia="宋体" w:cs="Times New Roman"/>
                      <w:snapToGrid/>
                      <w:color w:val="auto"/>
                      <w:kern w:val="2"/>
                      <w:szCs w:val="24"/>
                      <w:highlight w:val="none"/>
                      <w:lang w:eastAsia="zh-CN"/>
                    </w:rPr>
                  </w:pPr>
                  <w:r>
                    <w:rPr>
                      <w:rFonts w:hint="eastAsia" w:ascii="Times New Roman" w:hAnsi="Times New Roman" w:eastAsia="宋体" w:cs="Times New Roman"/>
                      <w:snapToGrid/>
                      <w:color w:val="auto"/>
                      <w:kern w:val="2"/>
                      <w:szCs w:val="24"/>
                      <w:highlight w:val="none"/>
                      <w:lang w:eastAsia="zh-CN"/>
                    </w:rPr>
                    <w:t>颗粒物</w:t>
                  </w:r>
                </w:p>
              </w:tc>
              <w:tc>
                <w:tcPr>
                  <w:tcW w:w="386" w:type="pct"/>
                  <w:tcBorders>
                    <w:tl2br w:val="nil"/>
                    <w:tr2bl w:val="nil"/>
                  </w:tcBorders>
                  <w:noWrap w:val="0"/>
                  <w:vAlign w:val="center"/>
                </w:tcPr>
                <w:p w14:paraId="342CF807">
                  <w:pPr>
                    <w:pStyle w:val="98"/>
                    <w:widowControl w:val="0"/>
                    <w:kinsoku/>
                    <w:autoSpaceDE/>
                    <w:autoSpaceDN/>
                    <w:adjustRightInd/>
                    <w:snapToGrid/>
                    <w:jc w:val="center"/>
                    <w:textAlignment w:val="auto"/>
                    <w:rPr>
                      <w:rFonts w:hint="default" w:ascii="Times New Roman" w:hAnsi="Times New Roman" w:eastAsia="宋体" w:cs="Times New Roman"/>
                      <w:snapToGrid/>
                      <w:color w:val="auto"/>
                      <w:kern w:val="2"/>
                      <w:szCs w:val="24"/>
                      <w:highlight w:val="none"/>
                      <w:lang w:val="en-US" w:eastAsia="zh-CN"/>
                    </w:rPr>
                  </w:pPr>
                  <w:r>
                    <w:rPr>
                      <w:rFonts w:hint="eastAsia" w:ascii="Times New Roman" w:hAnsi="Times New Roman" w:eastAsia="宋体" w:cs="Times New Roman"/>
                      <w:snapToGrid/>
                      <w:color w:val="auto"/>
                      <w:kern w:val="2"/>
                      <w:szCs w:val="24"/>
                      <w:highlight w:val="none"/>
                      <w:lang w:val="en-US" w:eastAsia="zh-CN"/>
                    </w:rPr>
                    <w:t>一期</w:t>
                  </w:r>
                </w:p>
              </w:tc>
              <w:tc>
                <w:tcPr>
                  <w:tcW w:w="556" w:type="pct"/>
                  <w:vMerge w:val="restart"/>
                  <w:tcBorders>
                    <w:tl2br w:val="nil"/>
                    <w:tr2bl w:val="nil"/>
                  </w:tcBorders>
                  <w:noWrap w:val="0"/>
                  <w:vAlign w:val="center"/>
                </w:tcPr>
                <w:p w14:paraId="418D8A5F">
                  <w:pPr>
                    <w:pStyle w:val="98"/>
                    <w:widowControl w:val="0"/>
                    <w:kinsoku/>
                    <w:autoSpaceDE/>
                    <w:autoSpaceDN/>
                    <w:adjustRightInd/>
                    <w:snapToGrid/>
                    <w:jc w:val="center"/>
                    <w:textAlignment w:val="auto"/>
                    <w:rPr>
                      <w:rFonts w:hint="eastAsia" w:ascii="Times New Roman" w:hAnsi="Times New Roman" w:cs="Times New Roman"/>
                      <w:snapToGrid/>
                      <w:color w:val="auto"/>
                      <w:kern w:val="2"/>
                      <w:szCs w:val="24"/>
                      <w:highlight w:val="none"/>
                      <w:lang w:eastAsia="zh-CN"/>
                    </w:rPr>
                  </w:pPr>
                  <w:r>
                    <w:rPr>
                      <w:rFonts w:hint="eastAsia" w:ascii="Times New Roman" w:hAnsi="Times New Roman" w:cs="Times New Roman"/>
                      <w:snapToGrid/>
                      <w:color w:val="auto"/>
                      <w:kern w:val="2"/>
                      <w:szCs w:val="24"/>
                      <w:highlight w:val="none"/>
                      <w:lang w:val="en-US" w:eastAsia="zh-CN"/>
                    </w:rPr>
                    <w:t>无</w:t>
                  </w:r>
                  <w:r>
                    <w:rPr>
                      <w:rFonts w:hint="eastAsia" w:ascii="Times New Roman" w:hAnsi="Times New Roman" w:cs="Times New Roman"/>
                      <w:snapToGrid/>
                      <w:color w:val="auto"/>
                      <w:kern w:val="2"/>
                      <w:szCs w:val="24"/>
                      <w:highlight w:val="none"/>
                      <w:lang w:eastAsia="zh-CN"/>
                    </w:rPr>
                    <w:t>组织</w:t>
                  </w:r>
                </w:p>
              </w:tc>
              <w:tc>
                <w:tcPr>
                  <w:tcW w:w="673" w:type="pct"/>
                  <w:tcBorders>
                    <w:tl2br w:val="nil"/>
                    <w:tr2bl w:val="nil"/>
                  </w:tcBorders>
                  <w:noWrap w:val="0"/>
                  <w:vAlign w:val="center"/>
                </w:tcPr>
                <w:p w14:paraId="0DFB647D">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480.5</w:t>
                  </w:r>
                </w:p>
              </w:tc>
              <w:tc>
                <w:tcPr>
                  <w:tcW w:w="628" w:type="pct"/>
                  <w:tcBorders>
                    <w:tl2br w:val="nil"/>
                    <w:tr2bl w:val="nil"/>
                  </w:tcBorders>
                  <w:noWrap w:val="0"/>
                  <w:vAlign w:val="center"/>
                </w:tcPr>
                <w:p w14:paraId="1C306836">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1.729</w:t>
                  </w:r>
                </w:p>
              </w:tc>
              <w:tc>
                <w:tcPr>
                  <w:tcW w:w="590" w:type="pct"/>
                  <w:tcBorders>
                    <w:tl2br w:val="nil"/>
                    <w:tr2bl w:val="nil"/>
                  </w:tcBorders>
                  <w:noWrap w:val="0"/>
                  <w:vAlign w:val="center"/>
                </w:tcPr>
                <w:p w14:paraId="2DA31B35">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3.60</w:t>
                  </w:r>
                </w:p>
              </w:tc>
              <w:tc>
                <w:tcPr>
                  <w:tcW w:w="739" w:type="pct"/>
                  <w:vMerge w:val="restart"/>
                  <w:tcBorders>
                    <w:tl2br w:val="nil"/>
                    <w:tr2bl w:val="nil"/>
                  </w:tcBorders>
                  <w:noWrap w:val="0"/>
                  <w:vAlign w:val="center"/>
                </w:tcPr>
                <w:p w14:paraId="5B595FE4">
                  <w:pPr>
                    <w:pStyle w:val="98"/>
                    <w:widowControl w:val="0"/>
                    <w:kinsoku/>
                    <w:autoSpaceDE/>
                    <w:autoSpaceDN/>
                    <w:adjustRightInd/>
                    <w:snapToGrid/>
                    <w:jc w:val="center"/>
                    <w:textAlignment w:val="auto"/>
                    <w:rPr>
                      <w:rFonts w:hint="eastAsia" w:ascii="Times New Roman" w:hAnsi="Times New Roman" w:cs="Times New Roman"/>
                      <w:snapToGrid/>
                      <w:color w:val="auto"/>
                      <w:kern w:val="2"/>
                      <w:szCs w:val="24"/>
                      <w:highlight w:val="none"/>
                      <w:lang w:eastAsia="zh-CN"/>
                    </w:rPr>
                  </w:pPr>
                  <w:r>
                    <w:rPr>
                      <w:rFonts w:hint="eastAsia" w:ascii="Times New Roman" w:hAnsi="Times New Roman" w:cs="Times New Roman"/>
                      <w:snapToGrid/>
                      <w:color w:val="auto"/>
                      <w:kern w:val="2"/>
                      <w:szCs w:val="24"/>
                      <w:highlight w:val="none"/>
                      <w:lang w:val="en-US" w:eastAsia="zh-CN"/>
                    </w:rPr>
                    <w:t>喷淋+自然降尘</w:t>
                  </w:r>
                  <w:r>
                    <w:rPr>
                      <w:rFonts w:hint="eastAsia" w:ascii="Times New Roman" w:hAnsi="Times New Roman" w:cs="Times New Roman"/>
                      <w:snapToGrid/>
                      <w:color w:val="auto"/>
                      <w:kern w:val="2"/>
                      <w:szCs w:val="24"/>
                      <w:highlight w:val="none"/>
                      <w:lang w:eastAsia="zh-CN"/>
                    </w:rPr>
                    <w:t>（</w:t>
                  </w:r>
                  <w:r>
                    <w:rPr>
                      <w:rFonts w:hint="eastAsia" w:ascii="Times New Roman" w:hAnsi="Times New Roman" w:cs="Times New Roman"/>
                      <w:snapToGrid/>
                      <w:color w:val="auto"/>
                      <w:kern w:val="2"/>
                      <w:szCs w:val="24"/>
                      <w:highlight w:val="none"/>
                      <w:lang w:val="en-US" w:eastAsia="zh-CN"/>
                    </w:rPr>
                    <w:t>70</w:t>
                  </w:r>
                  <w:r>
                    <w:rPr>
                      <w:rFonts w:hint="eastAsia" w:ascii="Times New Roman" w:hAnsi="Times New Roman" w:cs="Times New Roman"/>
                      <w:snapToGrid/>
                      <w:color w:val="auto"/>
                      <w:kern w:val="2"/>
                      <w:szCs w:val="24"/>
                      <w:highlight w:val="none"/>
                      <w:lang w:eastAsia="zh-CN"/>
                    </w:rPr>
                    <w:t>%）</w:t>
                  </w:r>
                </w:p>
              </w:tc>
              <w:tc>
                <w:tcPr>
                  <w:tcW w:w="628" w:type="pct"/>
                  <w:tcBorders>
                    <w:tl2br w:val="nil"/>
                    <w:tr2bl w:val="nil"/>
                  </w:tcBorders>
                  <w:noWrap w:val="0"/>
                  <w:vAlign w:val="center"/>
                </w:tcPr>
                <w:p w14:paraId="15245827">
                  <w:pPr>
                    <w:pStyle w:val="98"/>
                    <w:widowControl w:val="0"/>
                    <w:kinsoku/>
                    <w:autoSpaceDE/>
                    <w:autoSpaceDN/>
                    <w:adjustRightInd/>
                    <w:snapToGrid/>
                    <w:ind w:firstLine="0" w:firstLineChars="0"/>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0.52</w:t>
                  </w:r>
                </w:p>
              </w:tc>
              <w:tc>
                <w:tcPr>
                  <w:tcW w:w="516" w:type="pct"/>
                  <w:tcBorders>
                    <w:tl2br w:val="nil"/>
                    <w:tr2bl w:val="nil"/>
                  </w:tcBorders>
                  <w:noWrap w:val="0"/>
                  <w:vAlign w:val="center"/>
                </w:tcPr>
                <w:p w14:paraId="17E42505">
                  <w:pPr>
                    <w:pStyle w:val="98"/>
                    <w:widowControl w:val="0"/>
                    <w:kinsoku/>
                    <w:autoSpaceDE/>
                    <w:autoSpaceDN/>
                    <w:adjustRightInd/>
                    <w:snapToGrid/>
                    <w:ind w:firstLine="0" w:firstLineChars="0"/>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1.08</w:t>
                  </w:r>
                </w:p>
              </w:tc>
            </w:tr>
            <w:tr w14:paraId="4FBD073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7" w:hRule="atLeast"/>
                <w:jc w:val="center"/>
              </w:trPr>
              <w:tc>
                <w:tcPr>
                  <w:tcW w:w="278" w:type="pct"/>
                  <w:vMerge w:val="continue"/>
                  <w:tcBorders>
                    <w:tl2br w:val="nil"/>
                    <w:tr2bl w:val="nil"/>
                  </w:tcBorders>
                  <w:noWrap w:val="0"/>
                  <w:vAlign w:val="center"/>
                </w:tcPr>
                <w:p w14:paraId="23FC8219">
                  <w:pPr>
                    <w:pStyle w:val="98"/>
                    <w:widowControl w:val="0"/>
                    <w:kinsoku/>
                    <w:autoSpaceDE/>
                    <w:autoSpaceDN/>
                    <w:adjustRightInd/>
                    <w:snapToGrid/>
                    <w:jc w:val="center"/>
                    <w:textAlignment w:val="auto"/>
                    <w:rPr>
                      <w:rFonts w:hint="eastAsia" w:ascii="Times New Roman" w:hAnsi="Times New Roman" w:eastAsia="宋体" w:cs="Times New Roman"/>
                      <w:snapToGrid/>
                      <w:color w:val="auto"/>
                      <w:kern w:val="2"/>
                      <w:szCs w:val="24"/>
                      <w:highlight w:val="none"/>
                      <w:lang w:eastAsia="zh-CN"/>
                    </w:rPr>
                  </w:pPr>
                </w:p>
              </w:tc>
              <w:tc>
                <w:tcPr>
                  <w:tcW w:w="386" w:type="pct"/>
                  <w:tcBorders>
                    <w:tl2br w:val="nil"/>
                    <w:tr2bl w:val="nil"/>
                  </w:tcBorders>
                  <w:noWrap w:val="0"/>
                  <w:vAlign w:val="center"/>
                </w:tcPr>
                <w:p w14:paraId="41D48BC8">
                  <w:pPr>
                    <w:pStyle w:val="98"/>
                    <w:widowControl w:val="0"/>
                    <w:kinsoku/>
                    <w:autoSpaceDE/>
                    <w:autoSpaceDN/>
                    <w:adjustRightInd/>
                    <w:snapToGrid/>
                    <w:jc w:val="center"/>
                    <w:textAlignment w:val="auto"/>
                    <w:rPr>
                      <w:rFonts w:hint="default" w:ascii="Times New Roman" w:hAnsi="Times New Roman" w:eastAsia="宋体" w:cs="Times New Roman"/>
                      <w:snapToGrid/>
                      <w:color w:val="auto"/>
                      <w:kern w:val="2"/>
                      <w:szCs w:val="24"/>
                      <w:highlight w:val="none"/>
                      <w:lang w:val="en-US" w:eastAsia="zh-CN"/>
                    </w:rPr>
                  </w:pPr>
                  <w:r>
                    <w:rPr>
                      <w:rFonts w:hint="eastAsia" w:ascii="Times New Roman" w:hAnsi="Times New Roman" w:eastAsia="宋体" w:cs="Times New Roman"/>
                      <w:snapToGrid/>
                      <w:color w:val="auto"/>
                      <w:kern w:val="2"/>
                      <w:szCs w:val="24"/>
                      <w:highlight w:val="none"/>
                      <w:lang w:val="en-US" w:eastAsia="zh-CN"/>
                    </w:rPr>
                    <w:t>二期</w:t>
                  </w:r>
                </w:p>
              </w:tc>
              <w:tc>
                <w:tcPr>
                  <w:tcW w:w="556" w:type="pct"/>
                  <w:vMerge w:val="continue"/>
                  <w:tcBorders>
                    <w:tl2br w:val="nil"/>
                    <w:tr2bl w:val="nil"/>
                  </w:tcBorders>
                  <w:noWrap w:val="0"/>
                  <w:vAlign w:val="center"/>
                </w:tcPr>
                <w:p w14:paraId="189B1DC7">
                  <w:pPr>
                    <w:pStyle w:val="98"/>
                    <w:widowControl w:val="0"/>
                    <w:kinsoku/>
                    <w:autoSpaceDE/>
                    <w:autoSpaceDN/>
                    <w:adjustRightInd/>
                    <w:snapToGrid/>
                    <w:jc w:val="center"/>
                    <w:textAlignment w:val="auto"/>
                    <w:rPr>
                      <w:rFonts w:hint="eastAsia" w:ascii="Times New Roman" w:hAnsi="Times New Roman" w:cs="Times New Roman"/>
                      <w:snapToGrid/>
                      <w:color w:val="auto"/>
                      <w:kern w:val="2"/>
                      <w:szCs w:val="24"/>
                      <w:highlight w:val="none"/>
                      <w:lang w:val="en-US" w:eastAsia="zh-CN"/>
                    </w:rPr>
                  </w:pPr>
                </w:p>
              </w:tc>
              <w:tc>
                <w:tcPr>
                  <w:tcW w:w="673" w:type="pct"/>
                  <w:tcBorders>
                    <w:tl2br w:val="nil"/>
                    <w:tr2bl w:val="nil"/>
                  </w:tcBorders>
                  <w:noWrap w:val="0"/>
                  <w:vAlign w:val="center"/>
                </w:tcPr>
                <w:p w14:paraId="18E2F22B">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960</w:t>
                  </w:r>
                </w:p>
              </w:tc>
              <w:tc>
                <w:tcPr>
                  <w:tcW w:w="628" w:type="pct"/>
                  <w:tcBorders>
                    <w:tl2br w:val="nil"/>
                    <w:tr2bl w:val="nil"/>
                  </w:tcBorders>
                  <w:noWrap w:val="0"/>
                  <w:vAlign w:val="center"/>
                </w:tcPr>
                <w:p w14:paraId="29CD6D9D">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3.458</w:t>
                  </w:r>
                </w:p>
              </w:tc>
              <w:tc>
                <w:tcPr>
                  <w:tcW w:w="590" w:type="pct"/>
                  <w:tcBorders>
                    <w:tl2br w:val="nil"/>
                    <w:tr2bl w:val="nil"/>
                  </w:tcBorders>
                  <w:noWrap w:val="0"/>
                  <w:vAlign w:val="center"/>
                </w:tcPr>
                <w:p w14:paraId="0595D204">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3.60</w:t>
                  </w:r>
                </w:p>
              </w:tc>
              <w:tc>
                <w:tcPr>
                  <w:tcW w:w="739" w:type="pct"/>
                  <w:vMerge w:val="continue"/>
                  <w:tcBorders>
                    <w:tl2br w:val="nil"/>
                    <w:tr2bl w:val="nil"/>
                  </w:tcBorders>
                  <w:noWrap w:val="0"/>
                  <w:vAlign w:val="center"/>
                </w:tcPr>
                <w:p w14:paraId="7EB43252">
                  <w:pPr>
                    <w:pStyle w:val="98"/>
                    <w:widowControl w:val="0"/>
                    <w:kinsoku/>
                    <w:autoSpaceDE/>
                    <w:autoSpaceDN/>
                    <w:adjustRightInd/>
                    <w:snapToGrid/>
                    <w:jc w:val="center"/>
                    <w:textAlignment w:val="auto"/>
                    <w:rPr>
                      <w:rFonts w:hint="eastAsia" w:ascii="Times New Roman" w:hAnsi="Times New Roman" w:cs="Times New Roman"/>
                      <w:snapToGrid/>
                      <w:color w:val="auto"/>
                      <w:kern w:val="2"/>
                      <w:szCs w:val="24"/>
                      <w:highlight w:val="none"/>
                      <w:lang w:val="en-US" w:eastAsia="zh-CN"/>
                    </w:rPr>
                  </w:pPr>
                </w:p>
              </w:tc>
              <w:tc>
                <w:tcPr>
                  <w:tcW w:w="628" w:type="pct"/>
                  <w:tcBorders>
                    <w:tl2br w:val="nil"/>
                    <w:tr2bl w:val="nil"/>
                  </w:tcBorders>
                  <w:noWrap w:val="0"/>
                  <w:vAlign w:val="center"/>
                </w:tcPr>
                <w:p w14:paraId="04EDE213">
                  <w:pPr>
                    <w:pStyle w:val="98"/>
                    <w:widowControl w:val="0"/>
                    <w:kinsoku/>
                    <w:autoSpaceDE/>
                    <w:autoSpaceDN/>
                    <w:adjustRightInd/>
                    <w:snapToGrid/>
                    <w:ind w:firstLine="0" w:firstLineChars="0"/>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1.04</w:t>
                  </w:r>
                </w:p>
              </w:tc>
              <w:tc>
                <w:tcPr>
                  <w:tcW w:w="516" w:type="pct"/>
                  <w:tcBorders>
                    <w:tl2br w:val="nil"/>
                    <w:tr2bl w:val="nil"/>
                  </w:tcBorders>
                  <w:noWrap w:val="0"/>
                  <w:vAlign w:val="center"/>
                </w:tcPr>
                <w:p w14:paraId="7FB89F4C">
                  <w:pPr>
                    <w:pStyle w:val="98"/>
                    <w:widowControl w:val="0"/>
                    <w:kinsoku/>
                    <w:autoSpaceDE/>
                    <w:autoSpaceDN/>
                    <w:adjustRightInd/>
                    <w:snapToGrid/>
                    <w:ind w:firstLine="0" w:firstLineChars="0"/>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1.08</w:t>
                  </w:r>
                </w:p>
              </w:tc>
            </w:tr>
            <w:tr w14:paraId="3CBAB96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7" w:hRule="atLeast"/>
                <w:jc w:val="center"/>
              </w:trPr>
              <w:tc>
                <w:tcPr>
                  <w:tcW w:w="278" w:type="pct"/>
                  <w:vMerge w:val="continue"/>
                  <w:tcBorders>
                    <w:tl2br w:val="nil"/>
                    <w:tr2bl w:val="nil"/>
                  </w:tcBorders>
                  <w:noWrap w:val="0"/>
                  <w:vAlign w:val="center"/>
                </w:tcPr>
                <w:p w14:paraId="3E85A866">
                  <w:pPr>
                    <w:pStyle w:val="98"/>
                    <w:widowControl w:val="0"/>
                    <w:kinsoku/>
                    <w:autoSpaceDE/>
                    <w:autoSpaceDN/>
                    <w:adjustRightInd/>
                    <w:snapToGrid/>
                    <w:jc w:val="center"/>
                    <w:textAlignment w:val="auto"/>
                    <w:rPr>
                      <w:rFonts w:hint="default" w:ascii="Times New Roman" w:hAnsi="Times New Roman" w:eastAsia="宋体" w:cs="Times New Roman"/>
                      <w:snapToGrid/>
                      <w:color w:val="auto"/>
                      <w:kern w:val="2"/>
                      <w:szCs w:val="24"/>
                      <w:highlight w:val="none"/>
                      <w:lang w:val="en-US" w:eastAsia="zh-CN"/>
                    </w:rPr>
                  </w:pPr>
                </w:p>
              </w:tc>
              <w:tc>
                <w:tcPr>
                  <w:tcW w:w="386" w:type="pct"/>
                  <w:tcBorders>
                    <w:tl2br w:val="nil"/>
                    <w:tr2bl w:val="nil"/>
                  </w:tcBorders>
                  <w:noWrap w:val="0"/>
                  <w:vAlign w:val="center"/>
                </w:tcPr>
                <w:p w14:paraId="3F1B1C63">
                  <w:pPr>
                    <w:pStyle w:val="98"/>
                    <w:widowControl w:val="0"/>
                    <w:kinsoku/>
                    <w:autoSpaceDE/>
                    <w:autoSpaceDN/>
                    <w:adjustRightInd/>
                    <w:snapToGrid/>
                    <w:jc w:val="center"/>
                    <w:textAlignment w:val="auto"/>
                    <w:rPr>
                      <w:rFonts w:hint="eastAsia" w:ascii="Times New Roman" w:hAnsi="Times New Roman" w:eastAsia="宋体" w:cs="Times New Roman"/>
                      <w:snapToGrid/>
                      <w:color w:val="auto"/>
                      <w:kern w:val="2"/>
                      <w:szCs w:val="24"/>
                      <w:highlight w:val="none"/>
                      <w:lang w:val="en-US" w:eastAsia="zh-CN"/>
                    </w:rPr>
                  </w:pPr>
                  <w:r>
                    <w:rPr>
                      <w:rFonts w:hint="eastAsia" w:ascii="Times New Roman" w:hAnsi="Times New Roman" w:eastAsia="宋体" w:cs="Times New Roman"/>
                      <w:snapToGrid/>
                      <w:color w:val="auto"/>
                      <w:kern w:val="2"/>
                      <w:szCs w:val="24"/>
                      <w:highlight w:val="none"/>
                      <w:lang w:val="en-US" w:eastAsia="zh-CN"/>
                    </w:rPr>
                    <w:t>全厂</w:t>
                  </w:r>
                </w:p>
              </w:tc>
              <w:tc>
                <w:tcPr>
                  <w:tcW w:w="556" w:type="pct"/>
                  <w:vMerge w:val="continue"/>
                  <w:tcBorders>
                    <w:tl2br w:val="nil"/>
                    <w:tr2bl w:val="nil"/>
                  </w:tcBorders>
                  <w:noWrap w:val="0"/>
                  <w:vAlign w:val="center"/>
                </w:tcPr>
                <w:p w14:paraId="04F9DE23">
                  <w:pPr>
                    <w:pStyle w:val="98"/>
                    <w:widowControl w:val="0"/>
                    <w:kinsoku/>
                    <w:autoSpaceDE/>
                    <w:autoSpaceDN/>
                    <w:adjustRightInd/>
                    <w:snapToGrid/>
                    <w:jc w:val="center"/>
                    <w:textAlignment w:val="auto"/>
                    <w:rPr>
                      <w:rFonts w:hint="eastAsia" w:ascii="Times New Roman" w:hAnsi="Times New Roman" w:cs="Times New Roman"/>
                      <w:snapToGrid/>
                      <w:color w:val="auto"/>
                      <w:kern w:val="2"/>
                      <w:szCs w:val="24"/>
                      <w:highlight w:val="none"/>
                      <w:lang w:val="en-US" w:eastAsia="zh-CN"/>
                    </w:rPr>
                  </w:pPr>
                </w:p>
              </w:tc>
              <w:tc>
                <w:tcPr>
                  <w:tcW w:w="673" w:type="pct"/>
                  <w:tcBorders>
                    <w:tl2br w:val="nil"/>
                    <w:tr2bl w:val="nil"/>
                  </w:tcBorders>
                  <w:noWrap w:val="0"/>
                  <w:vAlign w:val="center"/>
                </w:tcPr>
                <w:p w14:paraId="4758C961">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1440.5</w:t>
                  </w:r>
                </w:p>
              </w:tc>
              <w:tc>
                <w:tcPr>
                  <w:tcW w:w="628" w:type="pct"/>
                  <w:tcBorders>
                    <w:tl2br w:val="nil"/>
                    <w:tr2bl w:val="nil"/>
                  </w:tcBorders>
                  <w:noWrap w:val="0"/>
                  <w:vAlign w:val="center"/>
                </w:tcPr>
                <w:p w14:paraId="4CDAC0F6">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5.187</w:t>
                  </w:r>
                </w:p>
              </w:tc>
              <w:tc>
                <w:tcPr>
                  <w:tcW w:w="590" w:type="pct"/>
                  <w:tcBorders>
                    <w:tl2br w:val="nil"/>
                    <w:tr2bl w:val="nil"/>
                  </w:tcBorders>
                  <w:noWrap w:val="0"/>
                  <w:vAlign w:val="center"/>
                </w:tcPr>
                <w:p w14:paraId="127D0DA1">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w:t>
                  </w:r>
                </w:p>
              </w:tc>
              <w:tc>
                <w:tcPr>
                  <w:tcW w:w="739" w:type="pct"/>
                  <w:vMerge w:val="continue"/>
                  <w:tcBorders>
                    <w:tl2br w:val="nil"/>
                    <w:tr2bl w:val="nil"/>
                  </w:tcBorders>
                  <w:noWrap w:val="0"/>
                  <w:vAlign w:val="center"/>
                </w:tcPr>
                <w:p w14:paraId="2EF23668">
                  <w:pPr>
                    <w:pStyle w:val="98"/>
                    <w:widowControl w:val="0"/>
                    <w:kinsoku/>
                    <w:autoSpaceDE/>
                    <w:autoSpaceDN/>
                    <w:adjustRightInd/>
                    <w:snapToGrid/>
                    <w:jc w:val="center"/>
                    <w:textAlignment w:val="auto"/>
                    <w:rPr>
                      <w:rFonts w:hint="eastAsia" w:ascii="Times New Roman" w:hAnsi="Times New Roman" w:cs="Times New Roman"/>
                      <w:snapToGrid/>
                      <w:color w:val="auto"/>
                      <w:kern w:val="2"/>
                      <w:szCs w:val="24"/>
                      <w:highlight w:val="none"/>
                      <w:lang w:val="en-US" w:eastAsia="zh-CN"/>
                    </w:rPr>
                  </w:pPr>
                </w:p>
              </w:tc>
              <w:tc>
                <w:tcPr>
                  <w:tcW w:w="628" w:type="pct"/>
                  <w:tcBorders>
                    <w:tl2br w:val="nil"/>
                    <w:tr2bl w:val="nil"/>
                  </w:tcBorders>
                  <w:noWrap w:val="0"/>
                  <w:vAlign w:val="center"/>
                </w:tcPr>
                <w:p w14:paraId="091EEA46">
                  <w:pPr>
                    <w:pStyle w:val="98"/>
                    <w:widowControl w:val="0"/>
                    <w:kinsoku/>
                    <w:autoSpaceDE/>
                    <w:autoSpaceDN/>
                    <w:adjustRightInd/>
                    <w:snapToGrid/>
                    <w:ind w:firstLine="0" w:firstLineChars="0"/>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1.56</w:t>
                  </w:r>
                </w:p>
              </w:tc>
              <w:tc>
                <w:tcPr>
                  <w:tcW w:w="516" w:type="pct"/>
                  <w:tcBorders>
                    <w:tl2br w:val="nil"/>
                    <w:tr2bl w:val="nil"/>
                  </w:tcBorders>
                  <w:noWrap w:val="0"/>
                  <w:vAlign w:val="center"/>
                </w:tcPr>
                <w:p w14:paraId="05C2AE97">
                  <w:pPr>
                    <w:pStyle w:val="98"/>
                    <w:widowControl w:val="0"/>
                    <w:kinsoku/>
                    <w:autoSpaceDE/>
                    <w:autoSpaceDN/>
                    <w:adjustRightInd/>
                    <w:snapToGrid/>
                    <w:ind w:firstLine="0" w:firstLineChars="0"/>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w:t>
                  </w:r>
                </w:p>
              </w:tc>
            </w:tr>
          </w:tbl>
          <w:p w14:paraId="315FB1B3">
            <w:pPr>
              <w:keepNext w:val="0"/>
              <w:keepLines w:val="0"/>
              <w:widowControl/>
              <w:suppressLineNumbers w:val="0"/>
              <w:jc w:val="left"/>
              <w:rPr>
                <w:b/>
                <w:bCs/>
                <w:color w:val="auto"/>
                <w:highlight w:val="none"/>
              </w:rPr>
            </w:pPr>
            <w:r>
              <w:rPr>
                <w:rFonts w:hint="eastAsia"/>
                <w:b/>
                <w:bCs/>
                <w:color w:val="auto"/>
                <w:highlight w:val="none"/>
                <w:lang w:eastAsia="zh-CN"/>
              </w:rPr>
              <w:t>（</w:t>
            </w:r>
            <w:r>
              <w:rPr>
                <w:rFonts w:hint="eastAsia"/>
                <w:b/>
                <w:bCs/>
                <w:color w:val="auto"/>
                <w:highlight w:val="none"/>
                <w:lang w:val="en-US" w:eastAsia="zh-CN"/>
              </w:rPr>
              <w:t>2</w:t>
            </w:r>
            <w:r>
              <w:rPr>
                <w:rFonts w:hint="eastAsia"/>
                <w:b/>
                <w:bCs/>
                <w:color w:val="auto"/>
                <w:highlight w:val="none"/>
                <w:lang w:eastAsia="zh-CN"/>
              </w:rPr>
              <w:t>）</w:t>
            </w:r>
            <w:r>
              <w:rPr>
                <w:rFonts w:hint="eastAsia"/>
                <w:b/>
                <w:bCs/>
                <w:color w:val="auto"/>
                <w:highlight w:val="none"/>
                <w:lang w:val="en-US" w:eastAsia="zh-CN"/>
              </w:rPr>
              <w:t xml:space="preserve">骨料堆场扬尘 </w:t>
            </w:r>
          </w:p>
          <w:p w14:paraId="67F0CD8D">
            <w:pPr>
              <w:keepNext w:val="0"/>
              <w:keepLines w:val="0"/>
              <w:widowControl/>
              <w:suppressLineNumbers w:val="0"/>
              <w:jc w:val="left"/>
              <w:rPr>
                <w:rFonts w:hint="eastAsia"/>
                <w:color w:val="auto"/>
                <w:highlight w:val="none"/>
                <w:lang w:val="en-US" w:eastAsia="zh-CN"/>
              </w:rPr>
            </w:pPr>
            <w:r>
              <w:rPr>
                <w:rFonts w:hint="eastAsia"/>
                <w:color w:val="auto"/>
                <w:highlight w:val="none"/>
                <w:lang w:val="en-US" w:eastAsia="zh-CN"/>
              </w:rPr>
              <w:t>项目碎石在堆场堆放过程中会有无组织颗粒物产生，产生量与砂石料粒度、湿度、天气情况等因素有关。项目石料场为半封闭式的仓体建筑，拟设置喷淋系统，因此其产生的颗粒物产生量较少。</w:t>
            </w:r>
            <w:r>
              <w:rPr>
                <w:rFonts w:hint="eastAsia" w:ascii="宋体" w:hAnsi="宋体" w:eastAsia="宋体" w:cs="宋体"/>
                <w:color w:val="auto"/>
                <w:kern w:val="0"/>
                <w:sz w:val="24"/>
                <w:szCs w:val="24"/>
                <w:highlight w:val="none"/>
                <w:lang w:val="en-US" w:eastAsia="zh-CN" w:bidi="ar"/>
              </w:rPr>
              <w:t xml:space="preserve">根据《逸散性工业粉尘控制技术》原文 </w:t>
            </w:r>
            <w:r>
              <w:rPr>
                <w:rFonts w:hint="default" w:ascii="Times New Roman" w:hAnsi="Times New Roman" w:eastAsia="宋体" w:cs="Times New Roman"/>
                <w:color w:val="auto"/>
                <w:kern w:val="0"/>
                <w:sz w:val="24"/>
                <w:szCs w:val="24"/>
                <w:highlight w:val="none"/>
                <w:lang w:val="en-US" w:eastAsia="zh-CN" w:bidi="ar"/>
              </w:rPr>
              <w:t>P327</w:t>
            </w:r>
            <w:r>
              <w:rPr>
                <w:rFonts w:hint="eastAsia" w:ascii="宋体" w:hAnsi="宋体" w:eastAsia="宋体" w:cs="宋体"/>
                <w:color w:val="auto"/>
                <w:kern w:val="0"/>
                <w:sz w:val="24"/>
                <w:szCs w:val="24"/>
                <w:highlight w:val="none"/>
                <w:lang w:val="en-US" w:eastAsia="zh-CN" w:bidi="ar"/>
              </w:rPr>
              <w:t>中“表</w:t>
            </w:r>
            <w:r>
              <w:rPr>
                <w:rFonts w:hint="default" w:ascii="Times New Roman" w:hAnsi="Times New Roman" w:eastAsia="宋体" w:cs="Times New Roman"/>
                <w:color w:val="auto"/>
                <w:kern w:val="0"/>
                <w:sz w:val="24"/>
                <w:szCs w:val="24"/>
                <w:highlight w:val="none"/>
                <w:lang w:val="en-US" w:eastAsia="zh-CN" w:bidi="ar"/>
              </w:rPr>
              <w:t xml:space="preserve">21-1 </w:t>
            </w:r>
            <w:r>
              <w:rPr>
                <w:rFonts w:hint="eastAsia" w:ascii="宋体" w:hAnsi="宋体" w:eastAsia="宋体" w:cs="宋体"/>
                <w:color w:val="auto"/>
                <w:kern w:val="0"/>
                <w:sz w:val="24"/>
                <w:szCs w:val="24"/>
                <w:highlight w:val="none"/>
                <w:lang w:val="en-US" w:eastAsia="zh-CN" w:bidi="ar"/>
              </w:rPr>
              <w:t>沥青混凝土制造厂的逸散性粉尘排放因子：贮存过程风蚀扬尘产污系数为</w:t>
            </w:r>
            <w:r>
              <w:rPr>
                <w:rFonts w:hint="default" w:ascii="Times New Roman" w:hAnsi="Times New Roman" w:eastAsia="宋体" w:cs="Times New Roman"/>
                <w:color w:val="auto"/>
                <w:kern w:val="0"/>
                <w:sz w:val="24"/>
                <w:szCs w:val="24"/>
                <w:highlight w:val="none"/>
                <w:lang w:val="en-US" w:eastAsia="zh-CN" w:bidi="ar"/>
              </w:rPr>
              <w:t>0.055kg/t</w:t>
            </w:r>
            <w:r>
              <w:rPr>
                <w:rFonts w:hint="eastAsia" w:ascii="宋体" w:hAnsi="宋体" w:eastAsia="宋体" w:cs="宋体"/>
                <w:color w:val="auto"/>
                <w:kern w:val="0"/>
                <w:sz w:val="24"/>
                <w:szCs w:val="24"/>
                <w:highlight w:val="none"/>
                <w:lang w:val="en-US" w:eastAsia="zh-CN" w:bidi="ar"/>
              </w:rPr>
              <w:t>（贮料）”</w:t>
            </w:r>
            <w:r>
              <w:rPr>
                <w:rFonts w:hint="eastAsia"/>
                <w:color w:val="auto"/>
                <w:highlight w:val="none"/>
                <w:lang w:val="en-US" w:eastAsia="zh-CN"/>
              </w:rPr>
              <w:t>，本项目一期碎石使用量为86440</w:t>
            </w:r>
            <w:r>
              <w:rPr>
                <w:rFonts w:hint="default"/>
                <w:color w:val="auto"/>
                <w:highlight w:val="none"/>
                <w:lang w:val="en-US" w:eastAsia="zh-CN"/>
              </w:rPr>
              <w:t>t/a</w:t>
            </w:r>
            <w:r>
              <w:rPr>
                <w:rFonts w:hint="eastAsia"/>
                <w:color w:val="auto"/>
                <w:highlight w:val="none"/>
                <w:lang w:val="en-US" w:eastAsia="zh-CN"/>
              </w:rPr>
              <w:t>，二期碎石使用量为172880</w:t>
            </w:r>
            <w:r>
              <w:rPr>
                <w:rFonts w:hint="default"/>
                <w:color w:val="auto"/>
                <w:highlight w:val="none"/>
                <w:lang w:val="en-US" w:eastAsia="zh-CN"/>
              </w:rPr>
              <w:t>t/a</w:t>
            </w:r>
            <w:r>
              <w:rPr>
                <w:rFonts w:hint="eastAsia"/>
                <w:color w:val="auto"/>
                <w:highlight w:val="none"/>
                <w:lang w:val="en-US" w:eastAsia="zh-CN"/>
              </w:rPr>
              <w:t>，则一期粉尘产生量为4.754</w:t>
            </w:r>
            <w:r>
              <w:rPr>
                <w:rFonts w:hint="default"/>
                <w:color w:val="auto"/>
                <w:highlight w:val="none"/>
                <w:lang w:val="en-US" w:eastAsia="zh-CN"/>
              </w:rPr>
              <w:t>t/a</w:t>
            </w:r>
            <w:r>
              <w:rPr>
                <w:rFonts w:hint="eastAsia"/>
                <w:color w:val="auto"/>
                <w:highlight w:val="none"/>
                <w:lang w:val="en-US" w:eastAsia="zh-CN"/>
              </w:rPr>
              <w:t>，二期粉尘产生量为9.508</w:t>
            </w:r>
            <w:r>
              <w:rPr>
                <w:rFonts w:hint="default"/>
                <w:color w:val="auto"/>
                <w:highlight w:val="none"/>
                <w:lang w:val="en-US" w:eastAsia="zh-CN"/>
              </w:rPr>
              <w:t>t/a</w:t>
            </w:r>
            <w:r>
              <w:rPr>
                <w:rFonts w:hint="eastAsia"/>
                <w:color w:val="auto"/>
                <w:highlight w:val="none"/>
                <w:lang w:val="en-US" w:eastAsia="zh-CN"/>
              </w:rPr>
              <w:t>。而</w:t>
            </w:r>
            <w:r>
              <w:rPr>
                <w:rFonts w:hint="eastAsia" w:ascii="宋体" w:hAnsi="宋体" w:eastAsia="宋体" w:cs="宋体"/>
                <w:color w:val="auto"/>
                <w:kern w:val="0"/>
                <w:sz w:val="24"/>
                <w:szCs w:val="24"/>
                <w:highlight w:val="none"/>
                <w:lang w:val="en-US" w:eastAsia="zh-CN" w:bidi="ar"/>
              </w:rPr>
              <w:t>根据《排放源统计调查产排污核算方法和系数手册》（</w:t>
            </w:r>
            <w:r>
              <w:rPr>
                <w:rFonts w:hint="default" w:ascii="Times New Roman" w:hAnsi="Times New Roman" w:eastAsia="宋体" w:cs="Times New Roman"/>
                <w:color w:val="auto"/>
                <w:kern w:val="0"/>
                <w:sz w:val="24"/>
                <w:szCs w:val="24"/>
                <w:highlight w:val="none"/>
                <w:lang w:val="en-US" w:eastAsia="zh-CN" w:bidi="ar"/>
              </w:rPr>
              <w:t xml:space="preserve">2021 </w:t>
            </w:r>
            <w:r>
              <w:rPr>
                <w:rFonts w:hint="eastAsia" w:ascii="宋体" w:hAnsi="宋体" w:eastAsia="宋体" w:cs="宋体"/>
                <w:color w:val="auto"/>
                <w:kern w:val="0"/>
                <w:sz w:val="24"/>
                <w:szCs w:val="24"/>
                <w:highlight w:val="none"/>
                <w:lang w:val="en-US" w:eastAsia="zh-CN" w:bidi="ar"/>
              </w:rPr>
              <w:t>年版）工业源固体物料堆场颗粒物核算系数手册的附录</w:t>
            </w:r>
            <w:r>
              <w:rPr>
                <w:rFonts w:hint="default" w:ascii="Times New Roman" w:hAnsi="Times New Roman" w:eastAsia="宋体" w:cs="Times New Roman"/>
                <w:color w:val="auto"/>
                <w:kern w:val="0"/>
                <w:sz w:val="24"/>
                <w:szCs w:val="24"/>
                <w:highlight w:val="none"/>
                <w:lang w:val="en-US" w:eastAsia="zh-CN" w:bidi="ar"/>
              </w:rPr>
              <w:t>4</w:t>
            </w:r>
            <w:r>
              <w:rPr>
                <w:rFonts w:hint="eastAsia" w:ascii="宋体" w:hAnsi="宋体" w:eastAsia="宋体" w:cs="宋体"/>
                <w:color w:val="auto"/>
                <w:kern w:val="0"/>
                <w:sz w:val="24"/>
                <w:szCs w:val="24"/>
                <w:highlight w:val="none"/>
                <w:lang w:val="en-US" w:eastAsia="zh-CN" w:bidi="ar"/>
              </w:rPr>
              <w:t>采用洒水控制效率为</w:t>
            </w:r>
            <w:r>
              <w:rPr>
                <w:rFonts w:hint="default" w:ascii="Times New Roman" w:hAnsi="Times New Roman" w:eastAsia="宋体" w:cs="Times New Roman"/>
                <w:color w:val="auto"/>
                <w:kern w:val="0"/>
                <w:sz w:val="24"/>
                <w:szCs w:val="24"/>
                <w:highlight w:val="none"/>
                <w:lang w:val="en-US" w:eastAsia="zh-CN" w:bidi="ar"/>
              </w:rPr>
              <w:t>74%</w:t>
            </w:r>
            <w:r>
              <w:rPr>
                <w:rFonts w:hint="eastAsia" w:ascii="宋体" w:hAnsi="宋体" w:eastAsia="宋体" w:cs="宋体"/>
                <w:color w:val="auto"/>
                <w:kern w:val="0"/>
                <w:sz w:val="24"/>
                <w:szCs w:val="24"/>
                <w:highlight w:val="none"/>
                <w:lang w:val="en-US" w:eastAsia="zh-CN" w:bidi="ar"/>
              </w:rPr>
              <w:t>，半敞开式控制效率为</w:t>
            </w:r>
            <w:r>
              <w:rPr>
                <w:rFonts w:hint="default" w:ascii="Times New Roman" w:hAnsi="Times New Roman" w:eastAsia="宋体" w:cs="Times New Roman"/>
                <w:color w:val="auto"/>
                <w:kern w:val="0"/>
                <w:sz w:val="24"/>
                <w:szCs w:val="24"/>
                <w:highlight w:val="none"/>
                <w:lang w:val="en-US" w:eastAsia="zh-CN" w:bidi="ar"/>
              </w:rPr>
              <w:t>60%</w:t>
            </w:r>
            <w:r>
              <w:rPr>
                <w:rFonts w:hint="eastAsia" w:ascii="宋体" w:hAnsi="宋体" w:eastAsia="宋体" w:cs="宋体"/>
                <w:color w:val="auto"/>
                <w:kern w:val="0"/>
                <w:sz w:val="24"/>
                <w:szCs w:val="24"/>
                <w:highlight w:val="none"/>
                <w:lang w:val="en-US" w:eastAsia="zh-CN" w:bidi="ar"/>
              </w:rPr>
              <w:t>；根据《未纳入排污许可管理行业适用的排污系数、物料衡算方法（试行）》，木工粉尘的沉降率为</w:t>
            </w:r>
            <w:r>
              <w:rPr>
                <w:rFonts w:hint="default" w:ascii="Times New Roman" w:hAnsi="Times New Roman" w:eastAsia="宋体" w:cs="Times New Roman"/>
                <w:color w:val="auto"/>
                <w:kern w:val="0"/>
                <w:sz w:val="24"/>
                <w:szCs w:val="24"/>
                <w:highlight w:val="none"/>
                <w:lang w:val="en-US" w:eastAsia="zh-CN" w:bidi="ar"/>
              </w:rPr>
              <w:t>85%</w:t>
            </w:r>
            <w:r>
              <w:rPr>
                <w:rFonts w:hint="eastAsia" w:ascii="宋体" w:hAnsi="宋体" w:eastAsia="宋体" w:cs="宋体"/>
                <w:color w:val="auto"/>
                <w:kern w:val="0"/>
                <w:sz w:val="24"/>
                <w:szCs w:val="24"/>
                <w:highlight w:val="none"/>
                <w:lang w:val="en-US" w:eastAsia="zh-CN" w:bidi="ar"/>
              </w:rPr>
              <w:t>，而砂石粉尘颗粒物的粒径和比重大于木料粉尘，前者比后者更易沉降，本环评保守按</w:t>
            </w:r>
            <w:r>
              <w:rPr>
                <w:rFonts w:hint="default" w:ascii="Times New Roman" w:hAnsi="Times New Roman" w:eastAsia="宋体" w:cs="Times New Roman"/>
                <w:color w:val="auto"/>
                <w:kern w:val="0"/>
                <w:sz w:val="24"/>
                <w:szCs w:val="24"/>
                <w:highlight w:val="none"/>
                <w:lang w:val="en-US" w:eastAsia="zh-CN" w:bidi="ar"/>
              </w:rPr>
              <w:t>70%</w:t>
            </w:r>
            <w:r>
              <w:rPr>
                <w:rFonts w:hint="eastAsia" w:ascii="宋体" w:hAnsi="宋体" w:eastAsia="宋体" w:cs="宋体"/>
                <w:color w:val="auto"/>
                <w:kern w:val="0"/>
                <w:sz w:val="24"/>
                <w:szCs w:val="24"/>
                <w:highlight w:val="none"/>
                <w:lang w:val="en-US" w:eastAsia="zh-CN" w:bidi="ar"/>
              </w:rPr>
              <w:t>粉尘可在操作区域附近短时间内沉降，只有极少部分（约</w:t>
            </w:r>
            <w:r>
              <w:rPr>
                <w:rFonts w:hint="default" w:ascii="Times New Roman" w:hAnsi="Times New Roman" w:eastAsia="宋体" w:cs="Times New Roman"/>
                <w:color w:val="auto"/>
                <w:kern w:val="0"/>
                <w:sz w:val="24"/>
                <w:szCs w:val="24"/>
                <w:highlight w:val="none"/>
                <w:lang w:val="en-US" w:eastAsia="zh-CN" w:bidi="ar"/>
              </w:rPr>
              <w:t>30%</w:t>
            </w:r>
            <w:r>
              <w:rPr>
                <w:rFonts w:hint="eastAsia" w:ascii="宋体" w:hAnsi="宋体" w:eastAsia="宋体" w:cs="宋体"/>
                <w:color w:val="auto"/>
                <w:kern w:val="0"/>
                <w:sz w:val="24"/>
                <w:szCs w:val="24"/>
                <w:highlight w:val="none"/>
                <w:lang w:val="en-US" w:eastAsia="zh-CN" w:bidi="ar"/>
              </w:rPr>
              <w:t>）逸散到大气中形成粉尘。骨料贮堆时间按</w:t>
            </w:r>
            <w:r>
              <w:rPr>
                <w:rFonts w:hint="eastAsia" w:cs="Times New Roman"/>
                <w:color w:val="auto"/>
                <w:kern w:val="0"/>
                <w:sz w:val="24"/>
                <w:szCs w:val="24"/>
                <w:highlight w:val="none"/>
                <w:lang w:val="en-US" w:eastAsia="zh-CN" w:bidi="ar"/>
              </w:rPr>
              <w:t>3840</w:t>
            </w:r>
            <w:r>
              <w:rPr>
                <w:rFonts w:hint="default" w:ascii="Times New Roman" w:hAnsi="Times New Roman" w:eastAsia="宋体" w:cs="Times New Roman"/>
                <w:color w:val="auto"/>
                <w:kern w:val="0"/>
                <w:sz w:val="24"/>
                <w:szCs w:val="24"/>
                <w:highlight w:val="none"/>
                <w:lang w:val="en-US" w:eastAsia="zh-CN" w:bidi="ar"/>
              </w:rPr>
              <w:t>h</w:t>
            </w:r>
            <w:r>
              <w:rPr>
                <w:rFonts w:hint="eastAsia" w:ascii="宋体" w:hAnsi="宋体" w:eastAsia="宋体" w:cs="宋体"/>
                <w:color w:val="auto"/>
                <w:kern w:val="0"/>
                <w:sz w:val="24"/>
                <w:szCs w:val="24"/>
                <w:highlight w:val="none"/>
                <w:lang w:val="en-US" w:eastAsia="zh-CN" w:bidi="ar"/>
              </w:rPr>
              <w:t>计</w:t>
            </w:r>
            <w:r>
              <w:rPr>
                <w:rFonts w:hint="eastAsia" w:ascii="宋体" w:hAnsi="宋体" w:cs="宋体"/>
                <w:color w:val="auto"/>
                <w:kern w:val="0"/>
                <w:sz w:val="24"/>
                <w:szCs w:val="24"/>
                <w:highlight w:val="none"/>
                <w:lang w:val="en-US" w:eastAsia="zh-CN" w:bidi="ar"/>
              </w:rPr>
              <w:t>，因此</w:t>
            </w:r>
            <w:r>
              <w:rPr>
                <w:rFonts w:hint="eastAsia"/>
                <w:color w:val="auto"/>
                <w:highlight w:val="none"/>
                <w:lang w:val="en-US" w:eastAsia="zh-CN"/>
              </w:rPr>
              <w:t>骨料堆场扬尘产排情况见表4.2-2。</w:t>
            </w:r>
          </w:p>
          <w:p w14:paraId="35511F00">
            <w:pPr>
              <w:keepNext w:val="0"/>
              <w:keepLines w:val="0"/>
              <w:widowControl/>
              <w:suppressLineNumbers w:val="0"/>
              <w:ind w:left="0" w:leftChars="0" w:firstLine="0" w:firstLineChars="0"/>
              <w:jc w:val="center"/>
              <w:rPr>
                <w:rFonts w:hint="default" w:ascii="Times New Roman" w:hAnsi="Times New Roman" w:cs="Times New Roman"/>
                <w:color w:val="auto"/>
                <w:highlight w:val="none"/>
                <w:lang w:val="en-US" w:eastAsia="zh-CN"/>
              </w:rPr>
            </w:pPr>
            <w:r>
              <w:rPr>
                <w:rFonts w:hint="eastAsia"/>
                <w:b/>
                <w:bCs/>
                <w:color w:val="auto"/>
                <w:highlight w:val="none"/>
                <w:lang w:val="en-US" w:eastAsia="zh-CN"/>
              </w:rPr>
              <w:t xml:space="preserve">表4.2-2 </w:t>
            </w:r>
            <w:r>
              <w:rPr>
                <w:rFonts w:hint="eastAsia" w:ascii="Times New Roman" w:hAnsi="Times New Roman" w:cs="Times New Roman"/>
                <w:b/>
                <w:bCs/>
                <w:color w:val="auto"/>
                <w:highlight w:val="none"/>
                <w:lang w:val="en-US" w:eastAsia="zh-CN"/>
              </w:rPr>
              <w:t>骨料堆场扬尘</w:t>
            </w:r>
            <w:r>
              <w:rPr>
                <w:rFonts w:hint="default" w:ascii="Times New Roman" w:hAnsi="Times New Roman" w:cs="Times New Roman"/>
                <w:b/>
                <w:bCs/>
                <w:color w:val="auto"/>
                <w:highlight w:val="none"/>
                <w:lang w:val="en-US" w:eastAsia="zh-CN"/>
              </w:rPr>
              <w:t>排放情况一览表</w:t>
            </w:r>
          </w:p>
          <w:tbl>
            <w:tblPr>
              <w:tblStyle w:val="129"/>
              <w:tblW w:w="8376"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528"/>
              <w:gridCol w:w="572"/>
              <w:gridCol w:w="917"/>
              <w:gridCol w:w="1158"/>
              <w:gridCol w:w="1054"/>
              <w:gridCol w:w="989"/>
              <w:gridCol w:w="1239"/>
              <w:gridCol w:w="1054"/>
              <w:gridCol w:w="865"/>
            </w:tblGrid>
            <w:tr w14:paraId="4F3CE90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656" w:type="pct"/>
                  <w:gridSpan w:val="2"/>
                  <w:tcBorders>
                    <w:tl2br w:val="nil"/>
                    <w:tr2bl w:val="nil"/>
                  </w:tcBorders>
                  <w:noWrap w:val="0"/>
                  <w:vAlign w:val="center"/>
                </w:tcPr>
                <w:p w14:paraId="1A4678EC">
                  <w:pPr>
                    <w:pStyle w:val="98"/>
                    <w:widowControl w:val="0"/>
                    <w:kinsoku/>
                    <w:autoSpaceDE/>
                    <w:autoSpaceDN/>
                    <w:adjustRightInd/>
                    <w:snapToGrid/>
                    <w:jc w:val="center"/>
                    <w:textAlignment w:val="auto"/>
                    <w:rPr>
                      <w:rFonts w:hint="eastAsia" w:ascii="Times New Roman" w:hAnsi="Times New Roman" w:cs="Times New Roman"/>
                      <w:b/>
                      <w:bCs/>
                      <w:snapToGrid/>
                      <w:color w:val="auto"/>
                      <w:kern w:val="2"/>
                      <w:szCs w:val="24"/>
                      <w:highlight w:val="none"/>
                      <w:lang w:eastAsia="zh-CN"/>
                    </w:rPr>
                  </w:pPr>
                  <w:r>
                    <w:rPr>
                      <w:rFonts w:hint="eastAsia" w:ascii="Times New Roman" w:hAnsi="Times New Roman" w:cs="Times New Roman"/>
                      <w:b/>
                      <w:bCs/>
                      <w:snapToGrid/>
                      <w:color w:val="auto"/>
                      <w:kern w:val="2"/>
                      <w:szCs w:val="24"/>
                      <w:highlight w:val="none"/>
                      <w:lang w:eastAsia="zh-CN"/>
                    </w:rPr>
                    <w:t>污染物</w:t>
                  </w:r>
                </w:p>
              </w:tc>
              <w:tc>
                <w:tcPr>
                  <w:tcW w:w="547" w:type="pct"/>
                  <w:tcBorders>
                    <w:tl2br w:val="nil"/>
                    <w:tr2bl w:val="nil"/>
                  </w:tcBorders>
                  <w:noWrap w:val="0"/>
                  <w:vAlign w:val="center"/>
                </w:tcPr>
                <w:p w14:paraId="44E4CB7F">
                  <w:pPr>
                    <w:pStyle w:val="98"/>
                    <w:widowControl w:val="0"/>
                    <w:kinsoku/>
                    <w:autoSpaceDE/>
                    <w:autoSpaceDN/>
                    <w:adjustRightInd/>
                    <w:snapToGrid/>
                    <w:jc w:val="center"/>
                    <w:textAlignment w:val="auto"/>
                    <w:rPr>
                      <w:rFonts w:hint="eastAsia" w:ascii="Times New Roman" w:hAnsi="Times New Roman" w:cs="Times New Roman"/>
                      <w:b/>
                      <w:bCs/>
                      <w:snapToGrid/>
                      <w:color w:val="auto"/>
                      <w:kern w:val="2"/>
                      <w:szCs w:val="24"/>
                      <w:highlight w:val="none"/>
                      <w:lang w:eastAsia="zh-CN"/>
                    </w:rPr>
                  </w:pPr>
                  <w:r>
                    <w:rPr>
                      <w:rFonts w:hint="eastAsia" w:ascii="Times New Roman" w:hAnsi="Times New Roman" w:cs="Times New Roman"/>
                      <w:b/>
                      <w:bCs/>
                      <w:snapToGrid/>
                      <w:color w:val="auto"/>
                      <w:kern w:val="2"/>
                      <w:szCs w:val="24"/>
                      <w:highlight w:val="none"/>
                      <w:lang w:eastAsia="zh-CN"/>
                    </w:rPr>
                    <w:t>排放形式</w:t>
                  </w:r>
                </w:p>
              </w:tc>
              <w:tc>
                <w:tcPr>
                  <w:tcW w:w="691" w:type="pct"/>
                  <w:tcBorders>
                    <w:tl2br w:val="nil"/>
                    <w:tr2bl w:val="nil"/>
                  </w:tcBorders>
                  <w:noWrap w:val="0"/>
                  <w:vAlign w:val="center"/>
                </w:tcPr>
                <w:p w14:paraId="4BD9D1EA">
                  <w:pPr>
                    <w:pStyle w:val="107"/>
                    <w:widowControl/>
                    <w:ind w:firstLine="0" w:firstLineChars="0"/>
                    <w:jc w:val="center"/>
                    <w:rPr>
                      <w:rFonts w:hint="default" w:ascii="Times New Roman" w:hAnsi="Times New Roman" w:cs="Times New Roman"/>
                      <w:b/>
                      <w:bCs/>
                      <w:snapToGrid/>
                      <w:color w:val="auto"/>
                      <w:kern w:val="2"/>
                      <w:szCs w:val="24"/>
                      <w:highlight w:val="none"/>
                      <w:lang w:val="en-US" w:eastAsia="zh-CN"/>
                    </w:rPr>
                  </w:pPr>
                  <w:r>
                    <w:rPr>
                      <w:rFonts w:hint="eastAsia" w:ascii="Times New Roman" w:hAnsi="Times New Roman" w:eastAsia="宋体"/>
                      <w:b/>
                      <w:bCs/>
                      <w:color w:val="auto"/>
                      <w:sz w:val="21"/>
                      <w:szCs w:val="21"/>
                      <w:highlight w:val="none"/>
                    </w:rPr>
                    <w:t>排放时间</w:t>
                  </w:r>
                  <w:r>
                    <w:rPr>
                      <w:rFonts w:hint="eastAsia" w:ascii="Times New Roman" w:hAnsi="Times New Roman" w:eastAsia="宋体"/>
                      <w:b/>
                      <w:bCs/>
                      <w:color w:val="auto"/>
                      <w:sz w:val="21"/>
                      <w:szCs w:val="21"/>
                      <w:highlight w:val="none"/>
                      <w:lang w:val="en-US" w:eastAsia="zh-CN"/>
                    </w:rPr>
                    <w:t>/</w:t>
                  </w:r>
                  <w:r>
                    <w:rPr>
                      <w:rFonts w:hint="eastAsia" w:ascii="Times New Roman" w:hAnsi="Times New Roman" w:eastAsia="宋体"/>
                      <w:b/>
                      <w:bCs/>
                      <w:color w:val="auto"/>
                      <w:sz w:val="21"/>
                      <w:szCs w:val="21"/>
                      <w:highlight w:val="none"/>
                    </w:rPr>
                    <w:t>h</w:t>
                  </w:r>
                </w:p>
              </w:tc>
              <w:tc>
                <w:tcPr>
                  <w:tcW w:w="629" w:type="pct"/>
                  <w:tcBorders>
                    <w:tl2br w:val="nil"/>
                    <w:tr2bl w:val="nil"/>
                  </w:tcBorders>
                  <w:noWrap w:val="0"/>
                  <w:vAlign w:val="center"/>
                </w:tcPr>
                <w:p w14:paraId="1659A8A2">
                  <w:pPr>
                    <w:pStyle w:val="98"/>
                    <w:widowControl w:val="0"/>
                    <w:kinsoku/>
                    <w:autoSpaceDE/>
                    <w:autoSpaceDN/>
                    <w:adjustRightInd/>
                    <w:snapToGrid/>
                    <w:jc w:val="center"/>
                    <w:textAlignment w:val="auto"/>
                    <w:rPr>
                      <w:rFonts w:hint="default" w:ascii="Times New Roman" w:hAnsi="Times New Roman" w:cs="Times New Roman"/>
                      <w:b/>
                      <w:bCs/>
                      <w:snapToGrid/>
                      <w:color w:val="auto"/>
                      <w:kern w:val="2"/>
                      <w:szCs w:val="24"/>
                      <w:highlight w:val="none"/>
                      <w:lang w:val="en-US" w:eastAsia="zh-CN"/>
                    </w:rPr>
                  </w:pPr>
                  <w:r>
                    <w:rPr>
                      <w:rFonts w:hint="eastAsia" w:ascii="Times New Roman" w:hAnsi="Times New Roman" w:cs="Times New Roman"/>
                      <w:b/>
                      <w:bCs/>
                      <w:snapToGrid/>
                      <w:color w:val="auto"/>
                      <w:kern w:val="2"/>
                      <w:szCs w:val="24"/>
                      <w:highlight w:val="none"/>
                      <w:lang w:eastAsia="zh-CN"/>
                    </w:rPr>
                    <w:t>产生量 t/a</w:t>
                  </w:r>
                </w:p>
              </w:tc>
              <w:tc>
                <w:tcPr>
                  <w:tcW w:w="590" w:type="pct"/>
                  <w:tcBorders>
                    <w:tl2br w:val="nil"/>
                    <w:tr2bl w:val="nil"/>
                  </w:tcBorders>
                  <w:noWrap w:val="0"/>
                  <w:vAlign w:val="center"/>
                </w:tcPr>
                <w:p w14:paraId="1F8F8739">
                  <w:pPr>
                    <w:pStyle w:val="98"/>
                    <w:widowControl w:val="0"/>
                    <w:kinsoku/>
                    <w:autoSpaceDE/>
                    <w:autoSpaceDN/>
                    <w:adjustRightInd/>
                    <w:snapToGrid/>
                    <w:jc w:val="center"/>
                    <w:textAlignment w:val="auto"/>
                    <w:rPr>
                      <w:rFonts w:hint="default" w:ascii="Times New Roman" w:hAnsi="Times New Roman" w:cs="Times New Roman"/>
                      <w:b/>
                      <w:bCs/>
                      <w:snapToGrid/>
                      <w:color w:val="auto"/>
                      <w:kern w:val="2"/>
                      <w:szCs w:val="24"/>
                      <w:highlight w:val="none"/>
                      <w:lang w:val="en-US" w:eastAsia="zh-CN"/>
                    </w:rPr>
                  </w:pPr>
                  <w:r>
                    <w:rPr>
                      <w:rFonts w:hint="eastAsia" w:ascii="Times New Roman" w:hAnsi="Times New Roman" w:cs="Times New Roman"/>
                      <w:b/>
                      <w:bCs/>
                      <w:snapToGrid/>
                      <w:color w:val="auto"/>
                      <w:kern w:val="2"/>
                      <w:szCs w:val="24"/>
                      <w:highlight w:val="none"/>
                      <w:lang w:val="en-US" w:eastAsia="zh-CN"/>
                    </w:rPr>
                    <w:t>产生速率</w:t>
                  </w:r>
                  <w:r>
                    <w:rPr>
                      <w:rFonts w:hint="eastAsia" w:ascii="Times New Roman" w:hAnsi="Times New Roman" w:cs="Times New Roman"/>
                      <w:b/>
                      <w:bCs/>
                      <w:snapToGrid/>
                      <w:color w:val="auto"/>
                      <w:kern w:val="2"/>
                      <w:szCs w:val="24"/>
                      <w:highlight w:val="none"/>
                      <w:lang w:eastAsia="zh-CN"/>
                    </w:rPr>
                    <w:t>kg/h</w:t>
                  </w:r>
                </w:p>
              </w:tc>
              <w:tc>
                <w:tcPr>
                  <w:tcW w:w="739" w:type="pct"/>
                  <w:tcBorders>
                    <w:tl2br w:val="nil"/>
                    <w:tr2bl w:val="nil"/>
                  </w:tcBorders>
                  <w:noWrap w:val="0"/>
                  <w:vAlign w:val="center"/>
                </w:tcPr>
                <w:p w14:paraId="38A724C3">
                  <w:pPr>
                    <w:pStyle w:val="98"/>
                    <w:widowControl w:val="0"/>
                    <w:kinsoku/>
                    <w:autoSpaceDE/>
                    <w:autoSpaceDN/>
                    <w:adjustRightInd/>
                    <w:snapToGrid/>
                    <w:jc w:val="center"/>
                    <w:textAlignment w:val="auto"/>
                    <w:rPr>
                      <w:rFonts w:hint="eastAsia" w:ascii="Times New Roman" w:hAnsi="Times New Roman" w:cs="Times New Roman"/>
                      <w:b/>
                      <w:bCs/>
                      <w:snapToGrid/>
                      <w:color w:val="auto"/>
                      <w:kern w:val="2"/>
                      <w:szCs w:val="24"/>
                      <w:highlight w:val="none"/>
                      <w:lang w:eastAsia="zh-CN"/>
                    </w:rPr>
                  </w:pPr>
                  <w:r>
                    <w:rPr>
                      <w:rFonts w:hint="eastAsia" w:ascii="Times New Roman" w:hAnsi="Times New Roman" w:cs="Times New Roman"/>
                      <w:b/>
                      <w:bCs/>
                      <w:snapToGrid/>
                      <w:color w:val="auto"/>
                      <w:kern w:val="2"/>
                      <w:szCs w:val="24"/>
                      <w:highlight w:val="none"/>
                      <w:lang w:eastAsia="zh-CN"/>
                    </w:rPr>
                    <w:t>治理措施及处理效率</w:t>
                  </w:r>
                </w:p>
              </w:tc>
              <w:tc>
                <w:tcPr>
                  <w:tcW w:w="629" w:type="pct"/>
                  <w:tcBorders>
                    <w:tl2br w:val="nil"/>
                    <w:tr2bl w:val="nil"/>
                  </w:tcBorders>
                  <w:noWrap w:val="0"/>
                  <w:vAlign w:val="center"/>
                </w:tcPr>
                <w:p w14:paraId="18031464">
                  <w:pPr>
                    <w:pStyle w:val="98"/>
                    <w:widowControl w:val="0"/>
                    <w:kinsoku/>
                    <w:autoSpaceDE/>
                    <w:autoSpaceDN/>
                    <w:adjustRightInd/>
                    <w:snapToGrid/>
                    <w:jc w:val="center"/>
                    <w:textAlignment w:val="auto"/>
                    <w:rPr>
                      <w:rFonts w:hint="eastAsia" w:ascii="Times New Roman" w:hAnsi="Times New Roman" w:cs="Times New Roman"/>
                      <w:b/>
                      <w:bCs/>
                      <w:snapToGrid/>
                      <w:color w:val="auto"/>
                      <w:kern w:val="2"/>
                      <w:szCs w:val="24"/>
                      <w:highlight w:val="none"/>
                      <w:lang w:eastAsia="zh-CN"/>
                    </w:rPr>
                  </w:pPr>
                  <w:r>
                    <w:rPr>
                      <w:rFonts w:hint="eastAsia" w:ascii="Times New Roman" w:hAnsi="Times New Roman" w:cs="Times New Roman"/>
                      <w:b/>
                      <w:bCs/>
                      <w:snapToGrid/>
                      <w:color w:val="auto"/>
                      <w:kern w:val="2"/>
                      <w:szCs w:val="24"/>
                      <w:highlight w:val="none"/>
                      <w:lang w:eastAsia="zh-CN"/>
                    </w:rPr>
                    <w:t>排放量t/a</w:t>
                  </w:r>
                </w:p>
              </w:tc>
              <w:tc>
                <w:tcPr>
                  <w:tcW w:w="516" w:type="pct"/>
                  <w:tcBorders>
                    <w:tl2br w:val="nil"/>
                    <w:tr2bl w:val="nil"/>
                  </w:tcBorders>
                  <w:noWrap w:val="0"/>
                  <w:vAlign w:val="center"/>
                </w:tcPr>
                <w:p w14:paraId="27153770">
                  <w:pPr>
                    <w:pStyle w:val="98"/>
                    <w:widowControl w:val="0"/>
                    <w:kinsoku/>
                    <w:autoSpaceDE/>
                    <w:autoSpaceDN/>
                    <w:adjustRightInd/>
                    <w:snapToGrid/>
                    <w:jc w:val="center"/>
                    <w:textAlignment w:val="auto"/>
                    <w:rPr>
                      <w:rFonts w:hint="eastAsia" w:ascii="Times New Roman" w:hAnsi="Times New Roman" w:cs="Times New Roman"/>
                      <w:b/>
                      <w:bCs/>
                      <w:snapToGrid/>
                      <w:color w:val="auto"/>
                      <w:kern w:val="2"/>
                      <w:szCs w:val="24"/>
                      <w:highlight w:val="none"/>
                      <w:lang w:eastAsia="zh-CN"/>
                    </w:rPr>
                  </w:pPr>
                  <w:r>
                    <w:rPr>
                      <w:rFonts w:hint="eastAsia" w:ascii="Times New Roman" w:hAnsi="Times New Roman" w:cs="Times New Roman"/>
                      <w:b/>
                      <w:bCs/>
                      <w:snapToGrid/>
                      <w:color w:val="auto"/>
                      <w:kern w:val="2"/>
                      <w:szCs w:val="24"/>
                      <w:highlight w:val="none"/>
                      <w:lang w:eastAsia="zh-CN"/>
                    </w:rPr>
                    <w:t>排放速率kg/h</w:t>
                  </w:r>
                </w:p>
              </w:tc>
            </w:tr>
            <w:tr w14:paraId="2EF4679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6" w:hRule="atLeast"/>
                <w:jc w:val="center"/>
              </w:trPr>
              <w:tc>
                <w:tcPr>
                  <w:tcW w:w="315" w:type="pct"/>
                  <w:vMerge w:val="restart"/>
                  <w:tcBorders>
                    <w:tl2br w:val="nil"/>
                    <w:tr2bl w:val="nil"/>
                  </w:tcBorders>
                  <w:noWrap w:val="0"/>
                  <w:vAlign w:val="center"/>
                </w:tcPr>
                <w:p w14:paraId="607CE5CB">
                  <w:pPr>
                    <w:pStyle w:val="98"/>
                    <w:widowControl w:val="0"/>
                    <w:kinsoku/>
                    <w:autoSpaceDE/>
                    <w:autoSpaceDN/>
                    <w:adjustRightInd/>
                    <w:snapToGrid/>
                    <w:jc w:val="center"/>
                    <w:textAlignment w:val="auto"/>
                    <w:rPr>
                      <w:rFonts w:hint="eastAsia" w:ascii="Times New Roman" w:hAnsi="Times New Roman" w:eastAsia="宋体" w:cs="Times New Roman"/>
                      <w:snapToGrid/>
                      <w:color w:val="auto"/>
                      <w:kern w:val="2"/>
                      <w:szCs w:val="24"/>
                      <w:highlight w:val="none"/>
                      <w:lang w:eastAsia="zh-CN"/>
                    </w:rPr>
                  </w:pPr>
                  <w:r>
                    <w:rPr>
                      <w:rFonts w:hint="eastAsia" w:ascii="Times New Roman" w:hAnsi="Times New Roman" w:eastAsia="宋体" w:cs="Times New Roman"/>
                      <w:snapToGrid/>
                      <w:color w:val="auto"/>
                      <w:kern w:val="2"/>
                      <w:szCs w:val="24"/>
                      <w:highlight w:val="none"/>
                      <w:lang w:eastAsia="zh-CN"/>
                    </w:rPr>
                    <w:t>颗粒物</w:t>
                  </w:r>
                </w:p>
              </w:tc>
              <w:tc>
                <w:tcPr>
                  <w:tcW w:w="341" w:type="pct"/>
                  <w:tcBorders>
                    <w:tl2br w:val="nil"/>
                    <w:tr2bl w:val="nil"/>
                  </w:tcBorders>
                  <w:noWrap w:val="0"/>
                  <w:vAlign w:val="center"/>
                </w:tcPr>
                <w:p w14:paraId="6A07638D">
                  <w:pPr>
                    <w:pStyle w:val="98"/>
                    <w:widowControl w:val="0"/>
                    <w:kinsoku/>
                    <w:autoSpaceDE/>
                    <w:autoSpaceDN/>
                    <w:adjustRightInd/>
                    <w:snapToGrid/>
                    <w:jc w:val="center"/>
                    <w:textAlignment w:val="auto"/>
                    <w:rPr>
                      <w:rFonts w:hint="default" w:ascii="Times New Roman" w:hAnsi="Times New Roman" w:eastAsia="宋体" w:cs="Times New Roman"/>
                      <w:snapToGrid/>
                      <w:color w:val="auto"/>
                      <w:kern w:val="2"/>
                      <w:szCs w:val="24"/>
                      <w:highlight w:val="none"/>
                      <w:lang w:val="en-US" w:eastAsia="zh-CN"/>
                    </w:rPr>
                  </w:pPr>
                  <w:r>
                    <w:rPr>
                      <w:rFonts w:hint="eastAsia" w:ascii="Times New Roman" w:hAnsi="Times New Roman" w:eastAsia="宋体" w:cs="Times New Roman"/>
                      <w:snapToGrid/>
                      <w:color w:val="auto"/>
                      <w:kern w:val="2"/>
                      <w:szCs w:val="24"/>
                      <w:highlight w:val="none"/>
                      <w:lang w:val="en-US" w:eastAsia="zh-CN"/>
                    </w:rPr>
                    <w:t>一期</w:t>
                  </w:r>
                </w:p>
              </w:tc>
              <w:tc>
                <w:tcPr>
                  <w:tcW w:w="547" w:type="pct"/>
                  <w:vMerge w:val="restart"/>
                  <w:tcBorders>
                    <w:tl2br w:val="nil"/>
                    <w:tr2bl w:val="nil"/>
                  </w:tcBorders>
                  <w:noWrap w:val="0"/>
                  <w:vAlign w:val="center"/>
                </w:tcPr>
                <w:p w14:paraId="24E32335">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无</w:t>
                  </w:r>
                  <w:r>
                    <w:rPr>
                      <w:rFonts w:hint="eastAsia" w:ascii="Times New Roman" w:hAnsi="Times New Roman" w:cs="Times New Roman"/>
                      <w:snapToGrid/>
                      <w:color w:val="auto"/>
                      <w:kern w:val="2"/>
                      <w:szCs w:val="24"/>
                      <w:highlight w:val="none"/>
                      <w:lang w:eastAsia="zh-CN"/>
                    </w:rPr>
                    <w:t>组织</w:t>
                  </w:r>
                </w:p>
              </w:tc>
              <w:tc>
                <w:tcPr>
                  <w:tcW w:w="691" w:type="pct"/>
                  <w:vMerge w:val="restart"/>
                  <w:tcBorders>
                    <w:tl2br w:val="nil"/>
                    <w:tr2bl w:val="nil"/>
                  </w:tcBorders>
                  <w:noWrap w:val="0"/>
                  <w:vAlign w:val="center"/>
                </w:tcPr>
                <w:p w14:paraId="47621B5D">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cs="Times New Roman"/>
                      <w:snapToGrid/>
                      <w:color w:val="auto"/>
                      <w:kern w:val="2"/>
                      <w:szCs w:val="24"/>
                      <w:highlight w:val="none"/>
                      <w:lang w:val="en-US" w:eastAsia="zh-CN"/>
                    </w:rPr>
                    <w:t>3840</w:t>
                  </w:r>
                </w:p>
              </w:tc>
              <w:tc>
                <w:tcPr>
                  <w:tcW w:w="629" w:type="pct"/>
                  <w:tcBorders>
                    <w:tl2br w:val="nil"/>
                    <w:tr2bl w:val="nil"/>
                  </w:tcBorders>
                  <w:noWrap w:val="0"/>
                  <w:vAlign w:val="center"/>
                </w:tcPr>
                <w:p w14:paraId="41C50703">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4.754</w:t>
                  </w:r>
                </w:p>
              </w:tc>
              <w:tc>
                <w:tcPr>
                  <w:tcW w:w="590" w:type="pct"/>
                  <w:tcBorders>
                    <w:tl2br w:val="nil"/>
                    <w:tr2bl w:val="nil"/>
                  </w:tcBorders>
                  <w:noWrap w:val="0"/>
                  <w:vAlign w:val="center"/>
                </w:tcPr>
                <w:p w14:paraId="1597C41B">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cs="Times New Roman"/>
                      <w:snapToGrid/>
                      <w:color w:val="auto"/>
                      <w:kern w:val="2"/>
                      <w:szCs w:val="24"/>
                      <w:highlight w:val="none"/>
                      <w:lang w:val="en-US" w:eastAsia="zh-CN"/>
                    </w:rPr>
                    <w:t>1.24</w:t>
                  </w:r>
                </w:p>
              </w:tc>
              <w:tc>
                <w:tcPr>
                  <w:tcW w:w="739" w:type="pct"/>
                  <w:vMerge w:val="restart"/>
                  <w:tcBorders>
                    <w:tl2br w:val="nil"/>
                    <w:tr2bl w:val="nil"/>
                  </w:tcBorders>
                  <w:noWrap w:val="0"/>
                  <w:vAlign w:val="center"/>
                </w:tcPr>
                <w:p w14:paraId="359F9649">
                  <w:pPr>
                    <w:pStyle w:val="98"/>
                    <w:widowControl w:val="0"/>
                    <w:kinsoku/>
                    <w:autoSpaceDE/>
                    <w:autoSpaceDN/>
                    <w:adjustRightInd/>
                    <w:snapToGrid/>
                    <w:jc w:val="center"/>
                    <w:textAlignment w:val="auto"/>
                    <w:rPr>
                      <w:rFonts w:hint="eastAsia" w:ascii="Times New Roman" w:hAnsi="Times New Roman" w:cs="Times New Roman"/>
                      <w:snapToGrid/>
                      <w:color w:val="auto"/>
                      <w:kern w:val="2"/>
                      <w:szCs w:val="24"/>
                      <w:highlight w:val="none"/>
                      <w:lang w:eastAsia="zh-CN"/>
                    </w:rPr>
                  </w:pPr>
                  <w:r>
                    <w:rPr>
                      <w:rFonts w:hint="eastAsia" w:ascii="Times New Roman" w:hAnsi="Times New Roman" w:cs="Times New Roman"/>
                      <w:snapToGrid/>
                      <w:color w:val="auto"/>
                      <w:kern w:val="2"/>
                      <w:szCs w:val="24"/>
                      <w:highlight w:val="none"/>
                      <w:lang w:val="en-US" w:eastAsia="zh-CN"/>
                    </w:rPr>
                    <w:t>喷淋+自然降尘</w:t>
                  </w:r>
                  <w:r>
                    <w:rPr>
                      <w:rFonts w:hint="eastAsia" w:ascii="Times New Roman" w:hAnsi="Times New Roman" w:cs="Times New Roman"/>
                      <w:snapToGrid/>
                      <w:color w:val="auto"/>
                      <w:kern w:val="2"/>
                      <w:szCs w:val="24"/>
                      <w:highlight w:val="none"/>
                      <w:lang w:eastAsia="zh-CN"/>
                    </w:rPr>
                    <w:t>（</w:t>
                  </w:r>
                  <w:r>
                    <w:rPr>
                      <w:rFonts w:hint="eastAsia" w:ascii="Times New Roman" w:hAnsi="Times New Roman" w:cs="Times New Roman"/>
                      <w:snapToGrid/>
                      <w:color w:val="auto"/>
                      <w:kern w:val="2"/>
                      <w:szCs w:val="24"/>
                      <w:highlight w:val="none"/>
                      <w:lang w:val="en-US" w:eastAsia="zh-CN"/>
                    </w:rPr>
                    <w:t>70</w:t>
                  </w:r>
                  <w:r>
                    <w:rPr>
                      <w:rFonts w:hint="eastAsia" w:ascii="Times New Roman" w:hAnsi="Times New Roman" w:cs="Times New Roman"/>
                      <w:snapToGrid/>
                      <w:color w:val="auto"/>
                      <w:kern w:val="2"/>
                      <w:szCs w:val="24"/>
                      <w:highlight w:val="none"/>
                      <w:lang w:eastAsia="zh-CN"/>
                    </w:rPr>
                    <w:t>%）</w:t>
                  </w:r>
                </w:p>
              </w:tc>
              <w:tc>
                <w:tcPr>
                  <w:tcW w:w="629" w:type="pct"/>
                  <w:tcBorders>
                    <w:tl2br w:val="nil"/>
                    <w:tr2bl w:val="nil"/>
                  </w:tcBorders>
                  <w:noWrap w:val="0"/>
                  <w:vAlign w:val="center"/>
                </w:tcPr>
                <w:p w14:paraId="3648D50A">
                  <w:pPr>
                    <w:pStyle w:val="98"/>
                    <w:widowControl w:val="0"/>
                    <w:kinsoku/>
                    <w:autoSpaceDE/>
                    <w:autoSpaceDN/>
                    <w:adjustRightInd/>
                    <w:snapToGrid/>
                    <w:ind w:firstLine="0" w:firstLineChars="0"/>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1.43</w:t>
                  </w:r>
                </w:p>
              </w:tc>
              <w:tc>
                <w:tcPr>
                  <w:tcW w:w="516" w:type="pct"/>
                  <w:tcBorders>
                    <w:tl2br w:val="nil"/>
                    <w:tr2bl w:val="nil"/>
                  </w:tcBorders>
                  <w:noWrap w:val="0"/>
                  <w:vAlign w:val="center"/>
                </w:tcPr>
                <w:p w14:paraId="0C1E8E68">
                  <w:pPr>
                    <w:pStyle w:val="98"/>
                    <w:widowControl w:val="0"/>
                    <w:kinsoku/>
                    <w:autoSpaceDE/>
                    <w:autoSpaceDN/>
                    <w:adjustRightInd/>
                    <w:snapToGrid/>
                    <w:ind w:firstLine="0" w:firstLineChars="0"/>
                    <w:jc w:val="center"/>
                    <w:textAlignment w:val="auto"/>
                    <w:rPr>
                      <w:rFonts w:hint="default" w:ascii="Times New Roman" w:hAnsi="Times New Roman" w:cs="Times New Roman"/>
                      <w:snapToGrid/>
                      <w:color w:val="auto"/>
                      <w:kern w:val="2"/>
                      <w:szCs w:val="24"/>
                      <w:highlight w:val="none"/>
                      <w:lang w:val="en-US" w:eastAsia="zh-CN"/>
                    </w:rPr>
                  </w:pPr>
                  <w:r>
                    <w:rPr>
                      <w:rFonts w:hint="eastAsia" w:cs="Times New Roman"/>
                      <w:snapToGrid/>
                      <w:color w:val="auto"/>
                      <w:kern w:val="2"/>
                      <w:szCs w:val="24"/>
                      <w:highlight w:val="none"/>
                      <w:lang w:val="en-US" w:eastAsia="zh-CN"/>
                    </w:rPr>
                    <w:t>0.37</w:t>
                  </w:r>
                </w:p>
              </w:tc>
            </w:tr>
            <w:tr w14:paraId="793F96A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6" w:hRule="atLeast"/>
                <w:jc w:val="center"/>
              </w:trPr>
              <w:tc>
                <w:tcPr>
                  <w:tcW w:w="315" w:type="pct"/>
                  <w:vMerge w:val="continue"/>
                  <w:tcBorders>
                    <w:tl2br w:val="nil"/>
                    <w:tr2bl w:val="nil"/>
                  </w:tcBorders>
                  <w:noWrap w:val="0"/>
                  <w:vAlign w:val="center"/>
                </w:tcPr>
                <w:p w14:paraId="2E34EC5C">
                  <w:pPr>
                    <w:pStyle w:val="98"/>
                    <w:widowControl w:val="0"/>
                    <w:kinsoku/>
                    <w:autoSpaceDE/>
                    <w:autoSpaceDN/>
                    <w:adjustRightInd/>
                    <w:snapToGrid/>
                    <w:jc w:val="center"/>
                    <w:textAlignment w:val="auto"/>
                    <w:rPr>
                      <w:rFonts w:hint="eastAsia" w:ascii="Times New Roman" w:hAnsi="Times New Roman" w:eastAsia="宋体" w:cs="Times New Roman"/>
                      <w:snapToGrid/>
                      <w:color w:val="auto"/>
                      <w:kern w:val="2"/>
                      <w:szCs w:val="24"/>
                      <w:highlight w:val="none"/>
                      <w:lang w:eastAsia="zh-CN"/>
                    </w:rPr>
                  </w:pPr>
                </w:p>
              </w:tc>
              <w:tc>
                <w:tcPr>
                  <w:tcW w:w="341" w:type="pct"/>
                  <w:tcBorders>
                    <w:tl2br w:val="nil"/>
                    <w:tr2bl w:val="nil"/>
                  </w:tcBorders>
                  <w:noWrap w:val="0"/>
                  <w:vAlign w:val="center"/>
                </w:tcPr>
                <w:p w14:paraId="125D3D25">
                  <w:pPr>
                    <w:pStyle w:val="98"/>
                    <w:widowControl w:val="0"/>
                    <w:kinsoku/>
                    <w:autoSpaceDE/>
                    <w:autoSpaceDN/>
                    <w:adjustRightInd/>
                    <w:snapToGrid/>
                    <w:jc w:val="center"/>
                    <w:textAlignment w:val="auto"/>
                    <w:rPr>
                      <w:rFonts w:hint="default" w:ascii="Times New Roman" w:hAnsi="Times New Roman" w:eastAsia="宋体" w:cs="Times New Roman"/>
                      <w:snapToGrid/>
                      <w:color w:val="auto"/>
                      <w:kern w:val="2"/>
                      <w:szCs w:val="24"/>
                      <w:highlight w:val="none"/>
                      <w:lang w:val="en-US" w:eastAsia="zh-CN"/>
                    </w:rPr>
                  </w:pPr>
                  <w:r>
                    <w:rPr>
                      <w:rFonts w:hint="eastAsia" w:ascii="Times New Roman" w:hAnsi="Times New Roman" w:eastAsia="宋体" w:cs="Times New Roman"/>
                      <w:snapToGrid/>
                      <w:color w:val="auto"/>
                      <w:kern w:val="2"/>
                      <w:szCs w:val="24"/>
                      <w:highlight w:val="none"/>
                      <w:lang w:val="en-US" w:eastAsia="zh-CN"/>
                    </w:rPr>
                    <w:t>二期</w:t>
                  </w:r>
                </w:p>
              </w:tc>
              <w:tc>
                <w:tcPr>
                  <w:tcW w:w="547" w:type="pct"/>
                  <w:vMerge w:val="continue"/>
                  <w:tcBorders>
                    <w:tl2br w:val="nil"/>
                    <w:tr2bl w:val="nil"/>
                  </w:tcBorders>
                  <w:noWrap w:val="0"/>
                  <w:vAlign w:val="center"/>
                </w:tcPr>
                <w:p w14:paraId="3E9707F3">
                  <w:pPr>
                    <w:pStyle w:val="98"/>
                    <w:widowControl w:val="0"/>
                    <w:kinsoku/>
                    <w:autoSpaceDE/>
                    <w:autoSpaceDN/>
                    <w:adjustRightInd/>
                    <w:snapToGrid/>
                    <w:jc w:val="center"/>
                    <w:textAlignment w:val="auto"/>
                    <w:rPr>
                      <w:rFonts w:hint="eastAsia" w:ascii="Times New Roman" w:hAnsi="Times New Roman" w:cs="Times New Roman"/>
                      <w:snapToGrid/>
                      <w:color w:val="auto"/>
                      <w:kern w:val="2"/>
                      <w:szCs w:val="24"/>
                      <w:highlight w:val="none"/>
                      <w:lang w:val="en-US" w:eastAsia="zh-CN"/>
                    </w:rPr>
                  </w:pPr>
                </w:p>
              </w:tc>
              <w:tc>
                <w:tcPr>
                  <w:tcW w:w="691" w:type="pct"/>
                  <w:vMerge w:val="continue"/>
                  <w:tcBorders>
                    <w:tl2br w:val="nil"/>
                    <w:tr2bl w:val="nil"/>
                  </w:tcBorders>
                  <w:noWrap w:val="0"/>
                  <w:vAlign w:val="center"/>
                </w:tcPr>
                <w:p w14:paraId="1CA700DB">
                  <w:pPr>
                    <w:pStyle w:val="98"/>
                    <w:widowControl w:val="0"/>
                    <w:kinsoku/>
                    <w:autoSpaceDE/>
                    <w:autoSpaceDN/>
                    <w:adjustRightInd/>
                    <w:snapToGrid/>
                    <w:jc w:val="center"/>
                    <w:textAlignment w:val="auto"/>
                    <w:rPr>
                      <w:rFonts w:hint="eastAsia" w:ascii="Times New Roman" w:hAnsi="Times New Roman" w:cs="Times New Roman"/>
                      <w:snapToGrid/>
                      <w:color w:val="auto"/>
                      <w:kern w:val="2"/>
                      <w:szCs w:val="24"/>
                      <w:highlight w:val="none"/>
                      <w:lang w:val="en-US" w:eastAsia="zh-CN"/>
                    </w:rPr>
                  </w:pPr>
                </w:p>
              </w:tc>
              <w:tc>
                <w:tcPr>
                  <w:tcW w:w="629" w:type="pct"/>
                  <w:tcBorders>
                    <w:tl2br w:val="nil"/>
                    <w:tr2bl w:val="nil"/>
                  </w:tcBorders>
                  <w:noWrap w:val="0"/>
                  <w:vAlign w:val="center"/>
                </w:tcPr>
                <w:p w14:paraId="666F00B6">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9.508</w:t>
                  </w:r>
                </w:p>
              </w:tc>
              <w:tc>
                <w:tcPr>
                  <w:tcW w:w="590" w:type="pct"/>
                  <w:tcBorders>
                    <w:tl2br w:val="nil"/>
                    <w:tr2bl w:val="nil"/>
                  </w:tcBorders>
                  <w:noWrap w:val="0"/>
                  <w:vAlign w:val="center"/>
                </w:tcPr>
                <w:p w14:paraId="73AA4DE6">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cs="Times New Roman"/>
                      <w:snapToGrid/>
                      <w:color w:val="auto"/>
                      <w:kern w:val="2"/>
                      <w:szCs w:val="24"/>
                      <w:highlight w:val="none"/>
                      <w:lang w:val="en-US" w:eastAsia="zh-CN"/>
                    </w:rPr>
                    <w:t>2.48</w:t>
                  </w:r>
                </w:p>
              </w:tc>
              <w:tc>
                <w:tcPr>
                  <w:tcW w:w="739" w:type="pct"/>
                  <w:vMerge w:val="continue"/>
                  <w:tcBorders>
                    <w:tl2br w:val="nil"/>
                    <w:tr2bl w:val="nil"/>
                  </w:tcBorders>
                  <w:noWrap w:val="0"/>
                  <w:vAlign w:val="center"/>
                </w:tcPr>
                <w:p w14:paraId="185B3746">
                  <w:pPr>
                    <w:pStyle w:val="98"/>
                    <w:widowControl w:val="0"/>
                    <w:kinsoku/>
                    <w:autoSpaceDE/>
                    <w:autoSpaceDN/>
                    <w:adjustRightInd/>
                    <w:snapToGrid/>
                    <w:jc w:val="center"/>
                    <w:textAlignment w:val="auto"/>
                    <w:rPr>
                      <w:rFonts w:hint="eastAsia" w:ascii="Times New Roman" w:hAnsi="Times New Roman" w:cs="Times New Roman"/>
                      <w:snapToGrid/>
                      <w:color w:val="auto"/>
                      <w:kern w:val="2"/>
                      <w:szCs w:val="24"/>
                      <w:highlight w:val="none"/>
                      <w:lang w:val="en-US" w:eastAsia="zh-CN"/>
                    </w:rPr>
                  </w:pPr>
                </w:p>
              </w:tc>
              <w:tc>
                <w:tcPr>
                  <w:tcW w:w="629" w:type="pct"/>
                  <w:tcBorders>
                    <w:tl2br w:val="nil"/>
                    <w:tr2bl w:val="nil"/>
                  </w:tcBorders>
                  <w:noWrap w:val="0"/>
                  <w:vAlign w:val="center"/>
                </w:tcPr>
                <w:p w14:paraId="7A1F8268">
                  <w:pPr>
                    <w:pStyle w:val="98"/>
                    <w:widowControl w:val="0"/>
                    <w:kinsoku/>
                    <w:autoSpaceDE/>
                    <w:autoSpaceDN/>
                    <w:adjustRightInd/>
                    <w:snapToGrid/>
                    <w:ind w:firstLine="0" w:firstLineChars="0"/>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2.85</w:t>
                  </w:r>
                </w:p>
              </w:tc>
              <w:tc>
                <w:tcPr>
                  <w:tcW w:w="516" w:type="pct"/>
                  <w:tcBorders>
                    <w:tl2br w:val="nil"/>
                    <w:tr2bl w:val="nil"/>
                  </w:tcBorders>
                  <w:noWrap w:val="0"/>
                  <w:vAlign w:val="center"/>
                </w:tcPr>
                <w:p w14:paraId="59633FB1">
                  <w:pPr>
                    <w:pStyle w:val="98"/>
                    <w:widowControl w:val="0"/>
                    <w:kinsoku/>
                    <w:autoSpaceDE/>
                    <w:autoSpaceDN/>
                    <w:adjustRightInd/>
                    <w:snapToGrid/>
                    <w:ind w:firstLine="0" w:firstLineChars="0"/>
                    <w:jc w:val="center"/>
                    <w:textAlignment w:val="auto"/>
                    <w:rPr>
                      <w:rFonts w:hint="default" w:ascii="Times New Roman" w:hAnsi="Times New Roman" w:cs="Times New Roman"/>
                      <w:snapToGrid/>
                      <w:color w:val="auto"/>
                      <w:kern w:val="2"/>
                      <w:szCs w:val="24"/>
                      <w:highlight w:val="none"/>
                      <w:lang w:val="en-US" w:eastAsia="zh-CN"/>
                    </w:rPr>
                  </w:pPr>
                  <w:r>
                    <w:rPr>
                      <w:rFonts w:hint="eastAsia" w:cs="Times New Roman"/>
                      <w:snapToGrid/>
                      <w:color w:val="auto"/>
                      <w:kern w:val="2"/>
                      <w:szCs w:val="24"/>
                      <w:highlight w:val="none"/>
                      <w:lang w:val="en-US" w:eastAsia="zh-CN"/>
                    </w:rPr>
                    <w:t>0.74</w:t>
                  </w:r>
                </w:p>
              </w:tc>
            </w:tr>
            <w:tr w14:paraId="22505D3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76" w:hRule="atLeast"/>
                <w:jc w:val="center"/>
              </w:trPr>
              <w:tc>
                <w:tcPr>
                  <w:tcW w:w="315" w:type="pct"/>
                  <w:vMerge w:val="continue"/>
                  <w:tcBorders>
                    <w:tl2br w:val="nil"/>
                    <w:tr2bl w:val="nil"/>
                  </w:tcBorders>
                  <w:noWrap w:val="0"/>
                  <w:vAlign w:val="center"/>
                </w:tcPr>
                <w:p w14:paraId="741C09DF">
                  <w:pPr>
                    <w:pStyle w:val="98"/>
                    <w:widowControl w:val="0"/>
                    <w:kinsoku/>
                    <w:autoSpaceDE/>
                    <w:autoSpaceDN/>
                    <w:adjustRightInd/>
                    <w:snapToGrid/>
                    <w:jc w:val="center"/>
                    <w:textAlignment w:val="auto"/>
                    <w:rPr>
                      <w:rFonts w:hint="default" w:ascii="Times New Roman" w:hAnsi="Times New Roman" w:eastAsia="宋体" w:cs="Times New Roman"/>
                      <w:snapToGrid/>
                      <w:color w:val="auto"/>
                      <w:kern w:val="2"/>
                      <w:szCs w:val="24"/>
                      <w:highlight w:val="none"/>
                      <w:lang w:val="en-US" w:eastAsia="zh-CN"/>
                    </w:rPr>
                  </w:pPr>
                </w:p>
              </w:tc>
              <w:tc>
                <w:tcPr>
                  <w:tcW w:w="341" w:type="pct"/>
                  <w:tcBorders>
                    <w:tl2br w:val="nil"/>
                    <w:tr2bl w:val="nil"/>
                  </w:tcBorders>
                  <w:noWrap w:val="0"/>
                  <w:vAlign w:val="center"/>
                </w:tcPr>
                <w:p w14:paraId="035A8D0D">
                  <w:pPr>
                    <w:pStyle w:val="98"/>
                    <w:widowControl w:val="0"/>
                    <w:kinsoku/>
                    <w:autoSpaceDE/>
                    <w:autoSpaceDN/>
                    <w:adjustRightInd/>
                    <w:snapToGrid/>
                    <w:jc w:val="center"/>
                    <w:textAlignment w:val="auto"/>
                    <w:rPr>
                      <w:rFonts w:hint="eastAsia" w:ascii="Times New Roman" w:hAnsi="Times New Roman" w:eastAsia="宋体" w:cs="Times New Roman"/>
                      <w:snapToGrid/>
                      <w:color w:val="auto"/>
                      <w:kern w:val="2"/>
                      <w:szCs w:val="24"/>
                      <w:highlight w:val="none"/>
                      <w:lang w:val="en-US" w:eastAsia="zh-CN"/>
                    </w:rPr>
                  </w:pPr>
                  <w:r>
                    <w:rPr>
                      <w:rFonts w:hint="eastAsia" w:ascii="Times New Roman" w:hAnsi="Times New Roman" w:eastAsia="宋体" w:cs="Times New Roman"/>
                      <w:snapToGrid/>
                      <w:color w:val="auto"/>
                      <w:kern w:val="2"/>
                      <w:szCs w:val="24"/>
                      <w:highlight w:val="none"/>
                      <w:lang w:val="en-US" w:eastAsia="zh-CN"/>
                    </w:rPr>
                    <w:t>全厂</w:t>
                  </w:r>
                </w:p>
              </w:tc>
              <w:tc>
                <w:tcPr>
                  <w:tcW w:w="547" w:type="pct"/>
                  <w:vMerge w:val="continue"/>
                  <w:tcBorders>
                    <w:tl2br w:val="nil"/>
                    <w:tr2bl w:val="nil"/>
                  </w:tcBorders>
                  <w:noWrap w:val="0"/>
                  <w:vAlign w:val="center"/>
                </w:tcPr>
                <w:p w14:paraId="3017AB16">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p>
              </w:tc>
              <w:tc>
                <w:tcPr>
                  <w:tcW w:w="691" w:type="pct"/>
                  <w:vMerge w:val="continue"/>
                  <w:tcBorders>
                    <w:tl2br w:val="nil"/>
                    <w:tr2bl w:val="nil"/>
                  </w:tcBorders>
                  <w:noWrap w:val="0"/>
                  <w:vAlign w:val="center"/>
                </w:tcPr>
                <w:p w14:paraId="52BB0F66">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p>
              </w:tc>
              <w:tc>
                <w:tcPr>
                  <w:tcW w:w="629" w:type="pct"/>
                  <w:tcBorders>
                    <w:tl2br w:val="nil"/>
                    <w:tr2bl w:val="nil"/>
                  </w:tcBorders>
                  <w:noWrap w:val="0"/>
                  <w:vAlign w:val="center"/>
                </w:tcPr>
                <w:p w14:paraId="3363B6E9">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14.262</w:t>
                  </w:r>
                </w:p>
              </w:tc>
              <w:tc>
                <w:tcPr>
                  <w:tcW w:w="590" w:type="pct"/>
                  <w:tcBorders>
                    <w:tl2br w:val="nil"/>
                    <w:tr2bl w:val="nil"/>
                  </w:tcBorders>
                  <w:noWrap w:val="0"/>
                  <w:vAlign w:val="center"/>
                </w:tcPr>
                <w:p w14:paraId="34503367">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w:t>
                  </w:r>
                </w:p>
              </w:tc>
              <w:tc>
                <w:tcPr>
                  <w:tcW w:w="739" w:type="pct"/>
                  <w:vMerge w:val="continue"/>
                  <w:tcBorders>
                    <w:tl2br w:val="nil"/>
                    <w:tr2bl w:val="nil"/>
                  </w:tcBorders>
                  <w:noWrap w:val="0"/>
                  <w:vAlign w:val="center"/>
                </w:tcPr>
                <w:p w14:paraId="51350B24">
                  <w:pPr>
                    <w:pStyle w:val="98"/>
                    <w:widowControl w:val="0"/>
                    <w:kinsoku/>
                    <w:autoSpaceDE/>
                    <w:autoSpaceDN/>
                    <w:adjustRightInd/>
                    <w:snapToGrid/>
                    <w:jc w:val="center"/>
                    <w:textAlignment w:val="auto"/>
                    <w:rPr>
                      <w:rFonts w:hint="eastAsia" w:ascii="Times New Roman" w:hAnsi="Times New Roman" w:cs="Times New Roman"/>
                      <w:snapToGrid/>
                      <w:color w:val="auto"/>
                      <w:kern w:val="2"/>
                      <w:szCs w:val="24"/>
                      <w:highlight w:val="none"/>
                      <w:lang w:val="en-US" w:eastAsia="zh-CN"/>
                    </w:rPr>
                  </w:pPr>
                </w:p>
              </w:tc>
              <w:tc>
                <w:tcPr>
                  <w:tcW w:w="629" w:type="pct"/>
                  <w:tcBorders>
                    <w:tl2br w:val="nil"/>
                    <w:tr2bl w:val="nil"/>
                  </w:tcBorders>
                  <w:noWrap w:val="0"/>
                  <w:vAlign w:val="center"/>
                </w:tcPr>
                <w:p w14:paraId="0F5E3961">
                  <w:pPr>
                    <w:pStyle w:val="98"/>
                    <w:widowControl w:val="0"/>
                    <w:kinsoku/>
                    <w:autoSpaceDE/>
                    <w:autoSpaceDN/>
                    <w:adjustRightInd/>
                    <w:snapToGrid/>
                    <w:ind w:firstLine="0" w:firstLineChars="0"/>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4.28</w:t>
                  </w:r>
                </w:p>
              </w:tc>
              <w:tc>
                <w:tcPr>
                  <w:tcW w:w="516" w:type="pct"/>
                  <w:tcBorders>
                    <w:tl2br w:val="nil"/>
                    <w:tr2bl w:val="nil"/>
                  </w:tcBorders>
                  <w:noWrap w:val="0"/>
                  <w:vAlign w:val="center"/>
                </w:tcPr>
                <w:p w14:paraId="04C4052F">
                  <w:pPr>
                    <w:pStyle w:val="98"/>
                    <w:widowControl w:val="0"/>
                    <w:kinsoku/>
                    <w:autoSpaceDE/>
                    <w:autoSpaceDN/>
                    <w:adjustRightInd/>
                    <w:snapToGrid/>
                    <w:ind w:firstLine="0" w:firstLineChars="0"/>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w:t>
                  </w:r>
                </w:p>
              </w:tc>
            </w:tr>
          </w:tbl>
          <w:p w14:paraId="664523C3">
            <w:pPr>
              <w:bidi w:val="0"/>
              <w:rPr>
                <w:b/>
                <w:bCs/>
                <w:color w:val="auto"/>
                <w:highlight w:val="none"/>
              </w:rPr>
            </w:pPr>
            <w:r>
              <w:rPr>
                <w:rFonts w:hint="eastAsia"/>
                <w:b/>
                <w:bCs/>
                <w:color w:val="auto"/>
                <w:highlight w:val="none"/>
                <w:lang w:val="en-US" w:eastAsia="zh-CN"/>
              </w:rPr>
              <w:t xml:space="preserve">（3）矿粉罐粉尘 </w:t>
            </w:r>
          </w:p>
          <w:p w14:paraId="0AEDC741">
            <w:pPr>
              <w:bidi w:val="0"/>
              <w:rPr>
                <w:rFonts w:hint="eastAsia"/>
                <w:color w:val="auto"/>
                <w:highlight w:val="none"/>
                <w:lang w:val="en-US" w:eastAsia="zh-CN"/>
              </w:rPr>
            </w:pPr>
            <w:r>
              <w:rPr>
                <w:rFonts w:hint="eastAsia"/>
                <w:color w:val="auto"/>
                <w:highlight w:val="none"/>
                <w:lang w:val="en-US" w:eastAsia="zh-CN"/>
              </w:rPr>
              <w:t>矿粉罐进料、储存过程会有粉尘产生，参考《</w:t>
            </w:r>
            <w:r>
              <w:rPr>
                <w:color w:val="auto"/>
                <w:highlight w:val="none"/>
              </w:rPr>
              <w:t>3021水泥制品制造（含3022砼结构构件制造、3029其他水泥类似制品制造）行业系数手册</w:t>
            </w:r>
            <w:r>
              <w:rPr>
                <w:rFonts w:hint="eastAsia"/>
                <w:color w:val="auto"/>
                <w:highlight w:val="none"/>
                <w:lang w:val="en-US" w:eastAsia="zh-CN"/>
              </w:rPr>
              <w:t>》中</w:t>
            </w:r>
            <w:r>
              <w:rPr>
                <w:color w:val="auto"/>
                <w:highlight w:val="none"/>
              </w:rPr>
              <w:t>3021 水泥制品制造（含 3022 砼结构构件、3029 其他水泥类似制品制造）行业（续1）</w:t>
            </w:r>
            <w:r>
              <w:rPr>
                <w:rFonts w:hint="eastAsia"/>
                <w:color w:val="auto"/>
                <w:highlight w:val="none"/>
                <w:lang w:eastAsia="zh-CN"/>
              </w:rPr>
              <w:t>，“</w:t>
            </w:r>
            <w:r>
              <w:rPr>
                <w:rFonts w:hint="eastAsia"/>
                <w:color w:val="auto"/>
                <w:highlight w:val="none"/>
                <w:lang w:val="en-US" w:eastAsia="zh-CN"/>
              </w:rPr>
              <w:t>物料输送储存工序”过程的产污系数为</w:t>
            </w:r>
            <w:r>
              <w:rPr>
                <w:rFonts w:hint="default"/>
                <w:color w:val="auto"/>
                <w:highlight w:val="none"/>
                <w:lang w:val="en-US" w:eastAsia="zh-CN"/>
              </w:rPr>
              <w:t>0.12kg/t-</w:t>
            </w:r>
            <w:r>
              <w:rPr>
                <w:rFonts w:hint="eastAsia"/>
                <w:color w:val="auto"/>
                <w:highlight w:val="none"/>
                <w:lang w:val="en-US" w:eastAsia="zh-CN"/>
              </w:rPr>
              <w:t>产品，本项目一期沥青混凝土产量为95000</w:t>
            </w:r>
            <w:r>
              <w:rPr>
                <w:rFonts w:hint="default"/>
                <w:color w:val="auto"/>
                <w:highlight w:val="none"/>
                <w:lang w:val="en-US" w:eastAsia="zh-CN"/>
              </w:rPr>
              <w:t>t/a</w:t>
            </w:r>
            <w:r>
              <w:rPr>
                <w:rFonts w:hint="eastAsia"/>
                <w:color w:val="auto"/>
                <w:highlight w:val="none"/>
                <w:lang w:val="en-US" w:eastAsia="zh-CN"/>
              </w:rPr>
              <w:t>，二期沥青混凝土产量为190000</w:t>
            </w:r>
            <w:r>
              <w:rPr>
                <w:rFonts w:hint="default"/>
                <w:color w:val="auto"/>
                <w:highlight w:val="none"/>
                <w:lang w:val="en-US" w:eastAsia="zh-CN"/>
              </w:rPr>
              <w:t>t/a</w:t>
            </w:r>
            <w:r>
              <w:rPr>
                <w:rFonts w:hint="eastAsia"/>
                <w:color w:val="auto"/>
                <w:highlight w:val="none"/>
                <w:lang w:val="en-US" w:eastAsia="zh-CN"/>
              </w:rPr>
              <w:t>，则一期矿粉罐粉尘产生量为11.4</w:t>
            </w:r>
            <w:r>
              <w:rPr>
                <w:rFonts w:hint="default"/>
                <w:color w:val="auto"/>
                <w:highlight w:val="none"/>
                <w:lang w:val="en-US" w:eastAsia="zh-CN"/>
              </w:rPr>
              <w:t>t/a</w:t>
            </w:r>
            <w:r>
              <w:rPr>
                <w:rFonts w:hint="eastAsia"/>
                <w:color w:val="auto"/>
                <w:highlight w:val="none"/>
                <w:lang w:val="en-US" w:eastAsia="zh-CN"/>
              </w:rPr>
              <w:t>，二期矿粉罐粉尘产生量为22.8</w:t>
            </w:r>
            <w:r>
              <w:rPr>
                <w:rFonts w:hint="default"/>
                <w:color w:val="auto"/>
                <w:highlight w:val="none"/>
                <w:lang w:val="en-US" w:eastAsia="zh-CN"/>
              </w:rPr>
              <w:t>t/a</w:t>
            </w:r>
            <w:r>
              <w:rPr>
                <w:rFonts w:hint="eastAsia"/>
                <w:color w:val="auto"/>
                <w:highlight w:val="none"/>
                <w:lang w:val="en-US" w:eastAsia="zh-CN"/>
              </w:rPr>
              <w:t>。矿粉罐配套有“布袋除尘器”进行处理（根据</w:t>
            </w:r>
            <w:r>
              <w:rPr>
                <w:color w:val="auto"/>
                <w:highlight w:val="none"/>
              </w:rPr>
              <w:t>行业系数手册</w:t>
            </w:r>
            <w:r>
              <w:rPr>
                <w:rFonts w:hint="eastAsia"/>
                <w:color w:val="auto"/>
                <w:highlight w:val="none"/>
                <w:lang w:eastAsia="zh-CN"/>
              </w:rPr>
              <w:t>，</w:t>
            </w:r>
            <w:r>
              <w:rPr>
                <w:rFonts w:hint="eastAsia"/>
                <w:color w:val="auto"/>
                <w:highlight w:val="none"/>
                <w:lang w:val="en-US" w:eastAsia="zh-CN"/>
              </w:rPr>
              <w:t>布袋除尘器设计除尘效率为</w:t>
            </w:r>
            <w:r>
              <w:rPr>
                <w:rFonts w:hint="default"/>
                <w:color w:val="auto"/>
                <w:highlight w:val="none"/>
                <w:lang w:val="en-US" w:eastAsia="zh-CN"/>
              </w:rPr>
              <w:t>99.</w:t>
            </w:r>
            <w:r>
              <w:rPr>
                <w:rFonts w:hint="eastAsia"/>
                <w:color w:val="auto"/>
                <w:highlight w:val="none"/>
                <w:lang w:val="en-US" w:eastAsia="zh-CN"/>
              </w:rPr>
              <w:t>7</w:t>
            </w:r>
            <w:r>
              <w:rPr>
                <w:rFonts w:hint="default"/>
                <w:color w:val="auto"/>
                <w:highlight w:val="none"/>
                <w:lang w:val="en-US" w:eastAsia="zh-CN"/>
              </w:rPr>
              <w:t>%</w:t>
            </w:r>
            <w:r>
              <w:rPr>
                <w:rFonts w:hint="eastAsia"/>
                <w:color w:val="auto"/>
                <w:highlight w:val="none"/>
                <w:lang w:val="en-US" w:eastAsia="zh-CN"/>
              </w:rPr>
              <w:t>），最后无组织排放。根据业主提供资料，矿粉罐工作时长为3840h。</w:t>
            </w:r>
            <w:r>
              <w:rPr>
                <w:rFonts w:hint="eastAsia" w:ascii="宋体" w:hAnsi="宋体" w:cs="宋体"/>
                <w:color w:val="auto"/>
                <w:kern w:val="0"/>
                <w:sz w:val="24"/>
                <w:szCs w:val="24"/>
                <w:highlight w:val="none"/>
                <w:lang w:val="en-US" w:eastAsia="zh-CN" w:bidi="ar"/>
              </w:rPr>
              <w:t>因此</w:t>
            </w:r>
            <w:r>
              <w:rPr>
                <w:rFonts w:hint="eastAsia"/>
                <w:color w:val="auto"/>
                <w:highlight w:val="none"/>
                <w:lang w:val="en-US" w:eastAsia="zh-CN"/>
              </w:rPr>
              <w:t>矿粉罐粉尘产排情况见表4.2-3。</w:t>
            </w:r>
          </w:p>
          <w:p w14:paraId="24875000">
            <w:pPr>
              <w:pStyle w:val="2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b/>
                <w:bCs/>
                <w:color w:val="auto"/>
                <w:highlight w:val="none"/>
                <w:lang w:val="en-US" w:eastAsia="zh-CN"/>
              </w:rPr>
            </w:pPr>
            <w:r>
              <w:rPr>
                <w:rFonts w:hint="eastAsia"/>
                <w:b/>
                <w:bCs/>
                <w:color w:val="auto"/>
                <w:highlight w:val="none"/>
                <w:lang w:val="en-US" w:eastAsia="zh-CN"/>
              </w:rPr>
              <w:t xml:space="preserve">表4.2-3 </w:t>
            </w:r>
            <w:r>
              <w:rPr>
                <w:rFonts w:hint="eastAsia" w:ascii="Times New Roman" w:hAnsi="Times New Roman" w:eastAsia="宋体" w:cs="Times New Roman"/>
                <w:b/>
                <w:bCs/>
                <w:color w:val="auto"/>
                <w:highlight w:val="none"/>
                <w:lang w:val="en-US" w:eastAsia="zh-CN"/>
              </w:rPr>
              <w:t>矿粉罐粉尘</w:t>
            </w:r>
            <w:r>
              <w:rPr>
                <w:rFonts w:hint="default" w:ascii="Times New Roman" w:hAnsi="Times New Roman" w:eastAsia="宋体" w:cs="Times New Roman"/>
                <w:b/>
                <w:bCs/>
                <w:color w:val="auto"/>
                <w:highlight w:val="none"/>
                <w:lang w:val="en-US" w:eastAsia="zh-CN"/>
              </w:rPr>
              <w:t>排</w:t>
            </w:r>
            <w:r>
              <w:rPr>
                <w:rFonts w:hint="default" w:ascii="Times New Roman" w:hAnsi="Times New Roman" w:cs="Times New Roman"/>
                <w:b/>
                <w:bCs/>
                <w:color w:val="auto"/>
                <w:highlight w:val="none"/>
                <w:lang w:val="en-US" w:eastAsia="zh-CN"/>
              </w:rPr>
              <w:t>放情况一览表</w:t>
            </w:r>
          </w:p>
          <w:tbl>
            <w:tblPr>
              <w:tblStyle w:val="129"/>
              <w:tblW w:w="8376"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528"/>
              <w:gridCol w:w="572"/>
              <w:gridCol w:w="917"/>
              <w:gridCol w:w="1158"/>
              <w:gridCol w:w="1054"/>
              <w:gridCol w:w="989"/>
              <w:gridCol w:w="1239"/>
              <w:gridCol w:w="1054"/>
              <w:gridCol w:w="865"/>
            </w:tblGrid>
            <w:tr w14:paraId="3737A71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656" w:type="pct"/>
                  <w:gridSpan w:val="2"/>
                  <w:tcBorders>
                    <w:tl2br w:val="nil"/>
                    <w:tr2bl w:val="nil"/>
                  </w:tcBorders>
                  <w:noWrap w:val="0"/>
                  <w:vAlign w:val="center"/>
                </w:tcPr>
                <w:p w14:paraId="588F0908">
                  <w:pPr>
                    <w:pStyle w:val="98"/>
                    <w:widowControl w:val="0"/>
                    <w:kinsoku/>
                    <w:autoSpaceDE/>
                    <w:autoSpaceDN/>
                    <w:adjustRightInd/>
                    <w:snapToGrid/>
                    <w:jc w:val="center"/>
                    <w:textAlignment w:val="auto"/>
                    <w:rPr>
                      <w:rFonts w:hint="eastAsia" w:ascii="Times New Roman" w:hAnsi="Times New Roman" w:cs="Times New Roman"/>
                      <w:b/>
                      <w:bCs/>
                      <w:snapToGrid/>
                      <w:color w:val="auto"/>
                      <w:kern w:val="2"/>
                      <w:szCs w:val="24"/>
                      <w:highlight w:val="none"/>
                      <w:lang w:eastAsia="zh-CN"/>
                    </w:rPr>
                  </w:pPr>
                  <w:r>
                    <w:rPr>
                      <w:rFonts w:hint="eastAsia" w:ascii="Times New Roman" w:hAnsi="Times New Roman" w:cs="Times New Roman"/>
                      <w:b/>
                      <w:bCs/>
                      <w:snapToGrid/>
                      <w:color w:val="auto"/>
                      <w:kern w:val="2"/>
                      <w:szCs w:val="24"/>
                      <w:highlight w:val="none"/>
                      <w:lang w:eastAsia="zh-CN"/>
                    </w:rPr>
                    <w:t>污染物</w:t>
                  </w:r>
                </w:p>
              </w:tc>
              <w:tc>
                <w:tcPr>
                  <w:tcW w:w="547" w:type="pct"/>
                  <w:tcBorders>
                    <w:tl2br w:val="nil"/>
                    <w:tr2bl w:val="nil"/>
                  </w:tcBorders>
                  <w:noWrap w:val="0"/>
                  <w:vAlign w:val="center"/>
                </w:tcPr>
                <w:p w14:paraId="098DFE62">
                  <w:pPr>
                    <w:pStyle w:val="98"/>
                    <w:widowControl w:val="0"/>
                    <w:kinsoku/>
                    <w:autoSpaceDE/>
                    <w:autoSpaceDN/>
                    <w:adjustRightInd/>
                    <w:snapToGrid/>
                    <w:jc w:val="center"/>
                    <w:textAlignment w:val="auto"/>
                    <w:rPr>
                      <w:rFonts w:hint="eastAsia" w:ascii="Times New Roman" w:hAnsi="Times New Roman" w:cs="Times New Roman"/>
                      <w:b/>
                      <w:bCs/>
                      <w:snapToGrid/>
                      <w:color w:val="auto"/>
                      <w:kern w:val="2"/>
                      <w:szCs w:val="24"/>
                      <w:highlight w:val="none"/>
                      <w:lang w:eastAsia="zh-CN"/>
                    </w:rPr>
                  </w:pPr>
                  <w:r>
                    <w:rPr>
                      <w:rFonts w:hint="eastAsia" w:ascii="Times New Roman" w:hAnsi="Times New Roman" w:cs="Times New Roman"/>
                      <w:b/>
                      <w:bCs/>
                      <w:snapToGrid/>
                      <w:color w:val="auto"/>
                      <w:kern w:val="2"/>
                      <w:szCs w:val="24"/>
                      <w:highlight w:val="none"/>
                      <w:lang w:eastAsia="zh-CN"/>
                    </w:rPr>
                    <w:t>排放形式</w:t>
                  </w:r>
                </w:p>
              </w:tc>
              <w:tc>
                <w:tcPr>
                  <w:tcW w:w="691" w:type="pct"/>
                  <w:tcBorders>
                    <w:tl2br w:val="nil"/>
                    <w:tr2bl w:val="nil"/>
                  </w:tcBorders>
                  <w:noWrap w:val="0"/>
                  <w:vAlign w:val="center"/>
                </w:tcPr>
                <w:p w14:paraId="7A050752">
                  <w:pPr>
                    <w:pStyle w:val="107"/>
                    <w:widowControl/>
                    <w:ind w:firstLine="0" w:firstLineChars="0"/>
                    <w:jc w:val="center"/>
                    <w:rPr>
                      <w:rFonts w:hint="default" w:ascii="Times New Roman" w:hAnsi="Times New Roman" w:cs="Times New Roman"/>
                      <w:b/>
                      <w:bCs/>
                      <w:snapToGrid/>
                      <w:color w:val="auto"/>
                      <w:kern w:val="2"/>
                      <w:szCs w:val="24"/>
                      <w:highlight w:val="none"/>
                      <w:lang w:val="en-US" w:eastAsia="zh-CN"/>
                    </w:rPr>
                  </w:pPr>
                  <w:r>
                    <w:rPr>
                      <w:rFonts w:hint="eastAsia" w:ascii="Times New Roman" w:hAnsi="Times New Roman" w:eastAsia="宋体"/>
                      <w:b/>
                      <w:bCs/>
                      <w:color w:val="auto"/>
                      <w:sz w:val="21"/>
                      <w:szCs w:val="21"/>
                      <w:highlight w:val="none"/>
                    </w:rPr>
                    <w:t>排放时间</w:t>
                  </w:r>
                  <w:r>
                    <w:rPr>
                      <w:rFonts w:hint="eastAsia" w:ascii="Times New Roman" w:hAnsi="Times New Roman" w:eastAsia="宋体"/>
                      <w:b/>
                      <w:bCs/>
                      <w:color w:val="auto"/>
                      <w:sz w:val="21"/>
                      <w:szCs w:val="21"/>
                      <w:highlight w:val="none"/>
                      <w:lang w:val="en-US" w:eastAsia="zh-CN"/>
                    </w:rPr>
                    <w:t>/</w:t>
                  </w:r>
                  <w:r>
                    <w:rPr>
                      <w:rFonts w:hint="eastAsia" w:ascii="Times New Roman" w:hAnsi="Times New Roman" w:eastAsia="宋体"/>
                      <w:b/>
                      <w:bCs/>
                      <w:color w:val="auto"/>
                      <w:sz w:val="21"/>
                      <w:szCs w:val="21"/>
                      <w:highlight w:val="none"/>
                    </w:rPr>
                    <w:t>h</w:t>
                  </w:r>
                </w:p>
              </w:tc>
              <w:tc>
                <w:tcPr>
                  <w:tcW w:w="629" w:type="pct"/>
                  <w:tcBorders>
                    <w:tl2br w:val="nil"/>
                    <w:tr2bl w:val="nil"/>
                  </w:tcBorders>
                  <w:noWrap w:val="0"/>
                  <w:vAlign w:val="center"/>
                </w:tcPr>
                <w:p w14:paraId="4DC0A5C1">
                  <w:pPr>
                    <w:pStyle w:val="98"/>
                    <w:widowControl w:val="0"/>
                    <w:kinsoku/>
                    <w:autoSpaceDE/>
                    <w:autoSpaceDN/>
                    <w:adjustRightInd/>
                    <w:snapToGrid/>
                    <w:jc w:val="center"/>
                    <w:textAlignment w:val="auto"/>
                    <w:rPr>
                      <w:rFonts w:hint="default" w:ascii="Times New Roman" w:hAnsi="Times New Roman" w:cs="Times New Roman"/>
                      <w:b/>
                      <w:bCs/>
                      <w:snapToGrid/>
                      <w:color w:val="auto"/>
                      <w:kern w:val="2"/>
                      <w:szCs w:val="24"/>
                      <w:highlight w:val="none"/>
                      <w:lang w:val="en-US" w:eastAsia="zh-CN"/>
                    </w:rPr>
                  </w:pPr>
                  <w:r>
                    <w:rPr>
                      <w:rFonts w:hint="eastAsia" w:ascii="Times New Roman" w:hAnsi="Times New Roman" w:cs="Times New Roman"/>
                      <w:b/>
                      <w:bCs/>
                      <w:snapToGrid/>
                      <w:color w:val="auto"/>
                      <w:kern w:val="2"/>
                      <w:szCs w:val="24"/>
                      <w:highlight w:val="none"/>
                      <w:lang w:eastAsia="zh-CN"/>
                    </w:rPr>
                    <w:t>产生量 t/a</w:t>
                  </w:r>
                </w:p>
              </w:tc>
              <w:tc>
                <w:tcPr>
                  <w:tcW w:w="590" w:type="pct"/>
                  <w:tcBorders>
                    <w:tl2br w:val="nil"/>
                    <w:tr2bl w:val="nil"/>
                  </w:tcBorders>
                  <w:noWrap w:val="0"/>
                  <w:vAlign w:val="center"/>
                </w:tcPr>
                <w:p w14:paraId="716FFF14">
                  <w:pPr>
                    <w:pStyle w:val="98"/>
                    <w:widowControl w:val="0"/>
                    <w:kinsoku/>
                    <w:autoSpaceDE/>
                    <w:autoSpaceDN/>
                    <w:adjustRightInd/>
                    <w:snapToGrid/>
                    <w:jc w:val="center"/>
                    <w:textAlignment w:val="auto"/>
                    <w:rPr>
                      <w:rFonts w:hint="default" w:ascii="Times New Roman" w:hAnsi="Times New Roman" w:cs="Times New Roman"/>
                      <w:b/>
                      <w:bCs/>
                      <w:snapToGrid/>
                      <w:color w:val="auto"/>
                      <w:kern w:val="2"/>
                      <w:szCs w:val="24"/>
                      <w:highlight w:val="none"/>
                      <w:lang w:val="en-US" w:eastAsia="zh-CN"/>
                    </w:rPr>
                  </w:pPr>
                  <w:r>
                    <w:rPr>
                      <w:rFonts w:hint="eastAsia" w:ascii="Times New Roman" w:hAnsi="Times New Roman" w:cs="Times New Roman"/>
                      <w:b/>
                      <w:bCs/>
                      <w:snapToGrid/>
                      <w:color w:val="auto"/>
                      <w:kern w:val="2"/>
                      <w:szCs w:val="24"/>
                      <w:highlight w:val="none"/>
                      <w:lang w:val="en-US" w:eastAsia="zh-CN"/>
                    </w:rPr>
                    <w:t>产生速率</w:t>
                  </w:r>
                  <w:r>
                    <w:rPr>
                      <w:rFonts w:hint="eastAsia" w:ascii="Times New Roman" w:hAnsi="Times New Roman" w:cs="Times New Roman"/>
                      <w:b/>
                      <w:bCs/>
                      <w:snapToGrid/>
                      <w:color w:val="auto"/>
                      <w:kern w:val="2"/>
                      <w:szCs w:val="24"/>
                      <w:highlight w:val="none"/>
                      <w:lang w:eastAsia="zh-CN"/>
                    </w:rPr>
                    <w:t>kg/h</w:t>
                  </w:r>
                </w:p>
              </w:tc>
              <w:tc>
                <w:tcPr>
                  <w:tcW w:w="739" w:type="pct"/>
                  <w:tcBorders>
                    <w:tl2br w:val="nil"/>
                    <w:tr2bl w:val="nil"/>
                  </w:tcBorders>
                  <w:noWrap w:val="0"/>
                  <w:vAlign w:val="center"/>
                </w:tcPr>
                <w:p w14:paraId="57970B40">
                  <w:pPr>
                    <w:pStyle w:val="98"/>
                    <w:widowControl w:val="0"/>
                    <w:kinsoku/>
                    <w:autoSpaceDE/>
                    <w:autoSpaceDN/>
                    <w:adjustRightInd/>
                    <w:snapToGrid/>
                    <w:jc w:val="center"/>
                    <w:textAlignment w:val="auto"/>
                    <w:rPr>
                      <w:rFonts w:hint="eastAsia" w:ascii="Times New Roman" w:hAnsi="Times New Roman" w:cs="Times New Roman"/>
                      <w:b/>
                      <w:bCs/>
                      <w:snapToGrid/>
                      <w:color w:val="auto"/>
                      <w:kern w:val="2"/>
                      <w:szCs w:val="24"/>
                      <w:highlight w:val="none"/>
                      <w:lang w:eastAsia="zh-CN"/>
                    </w:rPr>
                  </w:pPr>
                  <w:r>
                    <w:rPr>
                      <w:rFonts w:hint="eastAsia" w:ascii="Times New Roman" w:hAnsi="Times New Roman" w:cs="Times New Roman"/>
                      <w:b/>
                      <w:bCs/>
                      <w:snapToGrid/>
                      <w:color w:val="auto"/>
                      <w:kern w:val="2"/>
                      <w:szCs w:val="24"/>
                      <w:highlight w:val="none"/>
                      <w:lang w:eastAsia="zh-CN"/>
                    </w:rPr>
                    <w:t>治理措施及处理效率</w:t>
                  </w:r>
                </w:p>
              </w:tc>
              <w:tc>
                <w:tcPr>
                  <w:tcW w:w="629" w:type="pct"/>
                  <w:tcBorders>
                    <w:tl2br w:val="nil"/>
                    <w:tr2bl w:val="nil"/>
                  </w:tcBorders>
                  <w:noWrap w:val="0"/>
                  <w:vAlign w:val="center"/>
                </w:tcPr>
                <w:p w14:paraId="07B24B1C">
                  <w:pPr>
                    <w:pStyle w:val="98"/>
                    <w:widowControl w:val="0"/>
                    <w:kinsoku/>
                    <w:autoSpaceDE/>
                    <w:autoSpaceDN/>
                    <w:adjustRightInd/>
                    <w:snapToGrid/>
                    <w:jc w:val="center"/>
                    <w:textAlignment w:val="auto"/>
                    <w:rPr>
                      <w:rFonts w:hint="eastAsia" w:ascii="Times New Roman" w:hAnsi="Times New Roman" w:cs="Times New Roman"/>
                      <w:b/>
                      <w:bCs/>
                      <w:snapToGrid/>
                      <w:color w:val="auto"/>
                      <w:kern w:val="2"/>
                      <w:szCs w:val="24"/>
                      <w:highlight w:val="none"/>
                      <w:lang w:eastAsia="zh-CN"/>
                    </w:rPr>
                  </w:pPr>
                  <w:r>
                    <w:rPr>
                      <w:rFonts w:hint="eastAsia" w:ascii="Times New Roman" w:hAnsi="Times New Roman" w:cs="Times New Roman"/>
                      <w:b/>
                      <w:bCs/>
                      <w:snapToGrid/>
                      <w:color w:val="auto"/>
                      <w:kern w:val="2"/>
                      <w:szCs w:val="24"/>
                      <w:highlight w:val="none"/>
                      <w:lang w:eastAsia="zh-CN"/>
                    </w:rPr>
                    <w:t>排放量t/a</w:t>
                  </w:r>
                </w:p>
              </w:tc>
              <w:tc>
                <w:tcPr>
                  <w:tcW w:w="516" w:type="pct"/>
                  <w:tcBorders>
                    <w:tl2br w:val="nil"/>
                    <w:tr2bl w:val="nil"/>
                  </w:tcBorders>
                  <w:noWrap w:val="0"/>
                  <w:vAlign w:val="center"/>
                </w:tcPr>
                <w:p w14:paraId="631AFD7B">
                  <w:pPr>
                    <w:pStyle w:val="98"/>
                    <w:widowControl w:val="0"/>
                    <w:kinsoku/>
                    <w:autoSpaceDE/>
                    <w:autoSpaceDN/>
                    <w:adjustRightInd/>
                    <w:snapToGrid/>
                    <w:jc w:val="center"/>
                    <w:textAlignment w:val="auto"/>
                    <w:rPr>
                      <w:rFonts w:hint="eastAsia" w:ascii="Times New Roman" w:hAnsi="Times New Roman" w:cs="Times New Roman"/>
                      <w:b/>
                      <w:bCs/>
                      <w:snapToGrid/>
                      <w:color w:val="auto"/>
                      <w:kern w:val="2"/>
                      <w:szCs w:val="24"/>
                      <w:highlight w:val="none"/>
                      <w:lang w:eastAsia="zh-CN"/>
                    </w:rPr>
                  </w:pPr>
                  <w:r>
                    <w:rPr>
                      <w:rFonts w:hint="eastAsia" w:ascii="Times New Roman" w:hAnsi="Times New Roman" w:cs="Times New Roman"/>
                      <w:b/>
                      <w:bCs/>
                      <w:snapToGrid/>
                      <w:color w:val="auto"/>
                      <w:kern w:val="2"/>
                      <w:szCs w:val="24"/>
                      <w:highlight w:val="none"/>
                      <w:lang w:eastAsia="zh-CN"/>
                    </w:rPr>
                    <w:t>排放速率kg/h</w:t>
                  </w:r>
                </w:p>
              </w:tc>
            </w:tr>
            <w:tr w14:paraId="45CF238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6" w:hRule="atLeast"/>
                <w:jc w:val="center"/>
              </w:trPr>
              <w:tc>
                <w:tcPr>
                  <w:tcW w:w="315" w:type="pct"/>
                  <w:vMerge w:val="restart"/>
                  <w:tcBorders>
                    <w:tl2br w:val="nil"/>
                    <w:tr2bl w:val="nil"/>
                  </w:tcBorders>
                  <w:noWrap w:val="0"/>
                  <w:vAlign w:val="center"/>
                </w:tcPr>
                <w:p w14:paraId="66C9F1AF">
                  <w:pPr>
                    <w:pStyle w:val="98"/>
                    <w:widowControl w:val="0"/>
                    <w:kinsoku/>
                    <w:autoSpaceDE/>
                    <w:autoSpaceDN/>
                    <w:adjustRightInd/>
                    <w:snapToGrid/>
                    <w:jc w:val="center"/>
                    <w:textAlignment w:val="auto"/>
                    <w:rPr>
                      <w:rFonts w:hint="eastAsia" w:ascii="Times New Roman" w:hAnsi="Times New Roman" w:eastAsia="宋体" w:cs="Times New Roman"/>
                      <w:snapToGrid/>
                      <w:color w:val="auto"/>
                      <w:kern w:val="2"/>
                      <w:szCs w:val="24"/>
                      <w:highlight w:val="none"/>
                      <w:lang w:eastAsia="zh-CN"/>
                    </w:rPr>
                  </w:pPr>
                  <w:r>
                    <w:rPr>
                      <w:rFonts w:hint="eastAsia" w:ascii="Times New Roman" w:hAnsi="Times New Roman" w:eastAsia="宋体" w:cs="Times New Roman"/>
                      <w:snapToGrid/>
                      <w:color w:val="auto"/>
                      <w:kern w:val="2"/>
                      <w:szCs w:val="24"/>
                      <w:highlight w:val="none"/>
                      <w:lang w:eastAsia="zh-CN"/>
                    </w:rPr>
                    <w:t>颗粒物</w:t>
                  </w:r>
                </w:p>
              </w:tc>
              <w:tc>
                <w:tcPr>
                  <w:tcW w:w="341" w:type="pct"/>
                  <w:tcBorders>
                    <w:tl2br w:val="nil"/>
                    <w:tr2bl w:val="nil"/>
                  </w:tcBorders>
                  <w:noWrap w:val="0"/>
                  <w:vAlign w:val="center"/>
                </w:tcPr>
                <w:p w14:paraId="1254CCB8">
                  <w:pPr>
                    <w:pStyle w:val="98"/>
                    <w:widowControl w:val="0"/>
                    <w:kinsoku/>
                    <w:autoSpaceDE/>
                    <w:autoSpaceDN/>
                    <w:adjustRightInd/>
                    <w:snapToGrid/>
                    <w:jc w:val="center"/>
                    <w:textAlignment w:val="auto"/>
                    <w:rPr>
                      <w:rFonts w:hint="default" w:ascii="Times New Roman" w:hAnsi="Times New Roman" w:eastAsia="宋体" w:cs="Times New Roman"/>
                      <w:snapToGrid/>
                      <w:color w:val="auto"/>
                      <w:kern w:val="2"/>
                      <w:szCs w:val="24"/>
                      <w:highlight w:val="none"/>
                      <w:lang w:val="en-US" w:eastAsia="zh-CN"/>
                    </w:rPr>
                  </w:pPr>
                  <w:r>
                    <w:rPr>
                      <w:rFonts w:hint="eastAsia" w:ascii="Times New Roman" w:hAnsi="Times New Roman" w:eastAsia="宋体" w:cs="Times New Roman"/>
                      <w:snapToGrid/>
                      <w:color w:val="auto"/>
                      <w:kern w:val="2"/>
                      <w:szCs w:val="24"/>
                      <w:highlight w:val="none"/>
                      <w:lang w:val="en-US" w:eastAsia="zh-CN"/>
                    </w:rPr>
                    <w:t>一期</w:t>
                  </w:r>
                </w:p>
              </w:tc>
              <w:tc>
                <w:tcPr>
                  <w:tcW w:w="547" w:type="pct"/>
                  <w:vMerge w:val="restart"/>
                  <w:tcBorders>
                    <w:tl2br w:val="nil"/>
                    <w:tr2bl w:val="nil"/>
                  </w:tcBorders>
                  <w:noWrap w:val="0"/>
                  <w:vAlign w:val="center"/>
                </w:tcPr>
                <w:p w14:paraId="4FEB7205">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无</w:t>
                  </w:r>
                  <w:r>
                    <w:rPr>
                      <w:rFonts w:hint="eastAsia" w:ascii="Times New Roman" w:hAnsi="Times New Roman" w:cs="Times New Roman"/>
                      <w:snapToGrid/>
                      <w:color w:val="auto"/>
                      <w:kern w:val="2"/>
                      <w:szCs w:val="24"/>
                      <w:highlight w:val="none"/>
                      <w:lang w:eastAsia="zh-CN"/>
                    </w:rPr>
                    <w:t>组织</w:t>
                  </w:r>
                </w:p>
              </w:tc>
              <w:tc>
                <w:tcPr>
                  <w:tcW w:w="691" w:type="pct"/>
                  <w:vMerge w:val="restart"/>
                  <w:tcBorders>
                    <w:tl2br w:val="nil"/>
                    <w:tr2bl w:val="nil"/>
                  </w:tcBorders>
                  <w:noWrap w:val="0"/>
                  <w:vAlign w:val="center"/>
                </w:tcPr>
                <w:p w14:paraId="5819D780">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3840</w:t>
                  </w:r>
                </w:p>
              </w:tc>
              <w:tc>
                <w:tcPr>
                  <w:tcW w:w="629" w:type="pct"/>
                  <w:tcBorders>
                    <w:tl2br w:val="nil"/>
                    <w:tr2bl w:val="nil"/>
                  </w:tcBorders>
                  <w:noWrap w:val="0"/>
                  <w:vAlign w:val="center"/>
                </w:tcPr>
                <w:p w14:paraId="6C3EC6F0">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11.4</w:t>
                  </w:r>
                </w:p>
              </w:tc>
              <w:tc>
                <w:tcPr>
                  <w:tcW w:w="590" w:type="pct"/>
                  <w:tcBorders>
                    <w:tl2br w:val="nil"/>
                    <w:tr2bl w:val="nil"/>
                  </w:tcBorders>
                  <w:noWrap w:val="0"/>
                  <w:vAlign w:val="center"/>
                </w:tcPr>
                <w:p w14:paraId="0CB9AA9D">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2.97</w:t>
                  </w:r>
                </w:p>
              </w:tc>
              <w:tc>
                <w:tcPr>
                  <w:tcW w:w="739" w:type="pct"/>
                  <w:vMerge w:val="restart"/>
                  <w:tcBorders>
                    <w:tl2br w:val="nil"/>
                    <w:tr2bl w:val="nil"/>
                  </w:tcBorders>
                  <w:noWrap w:val="0"/>
                  <w:vAlign w:val="center"/>
                </w:tcPr>
                <w:p w14:paraId="2595C379">
                  <w:pPr>
                    <w:pStyle w:val="98"/>
                    <w:widowControl w:val="0"/>
                    <w:kinsoku/>
                    <w:autoSpaceDE/>
                    <w:autoSpaceDN/>
                    <w:adjustRightInd/>
                    <w:snapToGrid/>
                    <w:jc w:val="center"/>
                    <w:textAlignment w:val="auto"/>
                    <w:rPr>
                      <w:rFonts w:hint="eastAsia" w:ascii="Times New Roman" w:hAnsi="Times New Roman" w:cs="Times New Roman"/>
                      <w:snapToGrid/>
                      <w:color w:val="auto"/>
                      <w:kern w:val="2"/>
                      <w:szCs w:val="24"/>
                      <w:highlight w:val="none"/>
                      <w:lang w:eastAsia="zh-CN"/>
                    </w:rPr>
                  </w:pPr>
                  <w:r>
                    <w:rPr>
                      <w:rFonts w:hint="eastAsia" w:ascii="Times New Roman" w:hAnsi="Times New Roman" w:cs="Times New Roman"/>
                      <w:snapToGrid/>
                      <w:color w:val="auto"/>
                      <w:kern w:val="2"/>
                      <w:szCs w:val="24"/>
                      <w:highlight w:val="none"/>
                      <w:lang w:val="en-US" w:eastAsia="zh-CN"/>
                    </w:rPr>
                    <w:t>配套布袋除尘器</w:t>
                  </w:r>
                  <w:r>
                    <w:rPr>
                      <w:rFonts w:hint="eastAsia" w:ascii="Times New Roman" w:hAnsi="Times New Roman" w:cs="Times New Roman"/>
                      <w:snapToGrid/>
                      <w:color w:val="auto"/>
                      <w:kern w:val="2"/>
                      <w:szCs w:val="24"/>
                      <w:highlight w:val="none"/>
                      <w:lang w:eastAsia="zh-CN"/>
                    </w:rPr>
                    <w:t>（</w:t>
                  </w:r>
                  <w:r>
                    <w:rPr>
                      <w:rFonts w:hint="eastAsia" w:ascii="Times New Roman" w:hAnsi="Times New Roman" w:cs="Times New Roman"/>
                      <w:snapToGrid/>
                      <w:color w:val="auto"/>
                      <w:kern w:val="2"/>
                      <w:szCs w:val="24"/>
                      <w:highlight w:val="none"/>
                      <w:lang w:val="en-US" w:eastAsia="zh-CN"/>
                    </w:rPr>
                    <w:t>99.7</w:t>
                  </w:r>
                  <w:r>
                    <w:rPr>
                      <w:rFonts w:hint="eastAsia" w:ascii="Times New Roman" w:hAnsi="Times New Roman" w:cs="Times New Roman"/>
                      <w:snapToGrid/>
                      <w:color w:val="auto"/>
                      <w:kern w:val="2"/>
                      <w:szCs w:val="24"/>
                      <w:highlight w:val="none"/>
                      <w:lang w:eastAsia="zh-CN"/>
                    </w:rPr>
                    <w:t>%）</w:t>
                  </w:r>
                </w:p>
              </w:tc>
              <w:tc>
                <w:tcPr>
                  <w:tcW w:w="629" w:type="pct"/>
                  <w:tcBorders>
                    <w:tl2br w:val="nil"/>
                    <w:tr2bl w:val="nil"/>
                  </w:tcBorders>
                  <w:noWrap w:val="0"/>
                  <w:vAlign w:val="center"/>
                </w:tcPr>
                <w:p w14:paraId="618818FB">
                  <w:pPr>
                    <w:pStyle w:val="98"/>
                    <w:widowControl w:val="0"/>
                    <w:kinsoku/>
                    <w:autoSpaceDE/>
                    <w:autoSpaceDN/>
                    <w:adjustRightInd/>
                    <w:snapToGrid/>
                    <w:ind w:firstLine="0" w:firstLineChars="0"/>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0.034</w:t>
                  </w:r>
                </w:p>
              </w:tc>
              <w:tc>
                <w:tcPr>
                  <w:tcW w:w="516" w:type="pct"/>
                  <w:tcBorders>
                    <w:tl2br w:val="nil"/>
                    <w:tr2bl w:val="nil"/>
                  </w:tcBorders>
                  <w:noWrap w:val="0"/>
                  <w:vAlign w:val="center"/>
                </w:tcPr>
                <w:p w14:paraId="4080F9B0">
                  <w:pPr>
                    <w:pStyle w:val="98"/>
                    <w:widowControl w:val="0"/>
                    <w:kinsoku/>
                    <w:autoSpaceDE/>
                    <w:autoSpaceDN/>
                    <w:adjustRightInd/>
                    <w:snapToGrid/>
                    <w:ind w:firstLine="0" w:firstLineChars="0"/>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0.009</w:t>
                  </w:r>
                </w:p>
              </w:tc>
            </w:tr>
            <w:tr w14:paraId="150A065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6" w:hRule="atLeast"/>
                <w:jc w:val="center"/>
              </w:trPr>
              <w:tc>
                <w:tcPr>
                  <w:tcW w:w="315" w:type="pct"/>
                  <w:vMerge w:val="continue"/>
                  <w:tcBorders>
                    <w:tl2br w:val="nil"/>
                    <w:tr2bl w:val="nil"/>
                  </w:tcBorders>
                  <w:noWrap w:val="0"/>
                  <w:vAlign w:val="center"/>
                </w:tcPr>
                <w:p w14:paraId="41FAD326">
                  <w:pPr>
                    <w:pStyle w:val="98"/>
                    <w:widowControl w:val="0"/>
                    <w:kinsoku/>
                    <w:autoSpaceDE/>
                    <w:autoSpaceDN/>
                    <w:adjustRightInd/>
                    <w:snapToGrid/>
                    <w:jc w:val="center"/>
                    <w:textAlignment w:val="auto"/>
                    <w:rPr>
                      <w:rFonts w:hint="eastAsia" w:ascii="Times New Roman" w:hAnsi="Times New Roman" w:eastAsia="宋体" w:cs="Times New Roman"/>
                      <w:snapToGrid/>
                      <w:color w:val="auto"/>
                      <w:kern w:val="2"/>
                      <w:szCs w:val="24"/>
                      <w:highlight w:val="none"/>
                      <w:lang w:eastAsia="zh-CN"/>
                    </w:rPr>
                  </w:pPr>
                </w:p>
              </w:tc>
              <w:tc>
                <w:tcPr>
                  <w:tcW w:w="341" w:type="pct"/>
                  <w:tcBorders>
                    <w:tl2br w:val="nil"/>
                    <w:tr2bl w:val="nil"/>
                  </w:tcBorders>
                  <w:noWrap w:val="0"/>
                  <w:vAlign w:val="center"/>
                </w:tcPr>
                <w:p w14:paraId="4A8BE5F9">
                  <w:pPr>
                    <w:pStyle w:val="98"/>
                    <w:widowControl w:val="0"/>
                    <w:kinsoku/>
                    <w:autoSpaceDE/>
                    <w:autoSpaceDN/>
                    <w:adjustRightInd/>
                    <w:snapToGrid/>
                    <w:jc w:val="center"/>
                    <w:textAlignment w:val="auto"/>
                    <w:rPr>
                      <w:rFonts w:hint="default" w:ascii="Times New Roman" w:hAnsi="Times New Roman" w:eastAsia="宋体" w:cs="Times New Roman"/>
                      <w:snapToGrid/>
                      <w:color w:val="auto"/>
                      <w:kern w:val="2"/>
                      <w:szCs w:val="24"/>
                      <w:highlight w:val="none"/>
                      <w:lang w:val="en-US" w:eastAsia="zh-CN"/>
                    </w:rPr>
                  </w:pPr>
                  <w:r>
                    <w:rPr>
                      <w:rFonts w:hint="eastAsia" w:ascii="Times New Roman" w:hAnsi="Times New Roman" w:eastAsia="宋体" w:cs="Times New Roman"/>
                      <w:snapToGrid/>
                      <w:color w:val="auto"/>
                      <w:kern w:val="2"/>
                      <w:szCs w:val="24"/>
                      <w:highlight w:val="none"/>
                      <w:lang w:val="en-US" w:eastAsia="zh-CN"/>
                    </w:rPr>
                    <w:t>二期</w:t>
                  </w:r>
                </w:p>
              </w:tc>
              <w:tc>
                <w:tcPr>
                  <w:tcW w:w="547" w:type="pct"/>
                  <w:vMerge w:val="continue"/>
                  <w:tcBorders>
                    <w:tl2br w:val="nil"/>
                    <w:tr2bl w:val="nil"/>
                  </w:tcBorders>
                  <w:noWrap w:val="0"/>
                  <w:vAlign w:val="center"/>
                </w:tcPr>
                <w:p w14:paraId="0B904EAE">
                  <w:pPr>
                    <w:pStyle w:val="98"/>
                    <w:widowControl w:val="0"/>
                    <w:kinsoku/>
                    <w:autoSpaceDE/>
                    <w:autoSpaceDN/>
                    <w:adjustRightInd/>
                    <w:snapToGrid/>
                    <w:jc w:val="center"/>
                    <w:textAlignment w:val="auto"/>
                    <w:rPr>
                      <w:rFonts w:hint="eastAsia" w:ascii="Times New Roman" w:hAnsi="Times New Roman" w:cs="Times New Roman"/>
                      <w:snapToGrid/>
                      <w:color w:val="auto"/>
                      <w:kern w:val="2"/>
                      <w:szCs w:val="24"/>
                      <w:highlight w:val="none"/>
                      <w:lang w:val="en-US" w:eastAsia="zh-CN"/>
                    </w:rPr>
                  </w:pPr>
                </w:p>
              </w:tc>
              <w:tc>
                <w:tcPr>
                  <w:tcW w:w="691" w:type="pct"/>
                  <w:vMerge w:val="continue"/>
                  <w:tcBorders>
                    <w:tl2br w:val="nil"/>
                    <w:tr2bl w:val="nil"/>
                  </w:tcBorders>
                  <w:noWrap w:val="0"/>
                  <w:vAlign w:val="center"/>
                </w:tcPr>
                <w:p w14:paraId="2E64C44B">
                  <w:pPr>
                    <w:pStyle w:val="98"/>
                    <w:widowControl w:val="0"/>
                    <w:kinsoku/>
                    <w:autoSpaceDE/>
                    <w:autoSpaceDN/>
                    <w:adjustRightInd/>
                    <w:snapToGrid/>
                    <w:jc w:val="center"/>
                    <w:textAlignment w:val="auto"/>
                    <w:rPr>
                      <w:rFonts w:hint="eastAsia" w:ascii="Times New Roman" w:hAnsi="Times New Roman" w:cs="Times New Roman"/>
                      <w:snapToGrid/>
                      <w:color w:val="auto"/>
                      <w:kern w:val="2"/>
                      <w:szCs w:val="24"/>
                      <w:highlight w:val="none"/>
                      <w:lang w:val="en-US" w:eastAsia="zh-CN"/>
                    </w:rPr>
                  </w:pPr>
                </w:p>
              </w:tc>
              <w:tc>
                <w:tcPr>
                  <w:tcW w:w="629" w:type="pct"/>
                  <w:tcBorders>
                    <w:tl2br w:val="nil"/>
                    <w:tr2bl w:val="nil"/>
                  </w:tcBorders>
                  <w:noWrap w:val="0"/>
                  <w:vAlign w:val="center"/>
                </w:tcPr>
                <w:p w14:paraId="1C209B97">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22.8</w:t>
                  </w:r>
                </w:p>
              </w:tc>
              <w:tc>
                <w:tcPr>
                  <w:tcW w:w="590" w:type="pct"/>
                  <w:tcBorders>
                    <w:tl2br w:val="nil"/>
                    <w:tr2bl w:val="nil"/>
                  </w:tcBorders>
                  <w:noWrap w:val="0"/>
                  <w:vAlign w:val="center"/>
                </w:tcPr>
                <w:p w14:paraId="34E073BF">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5.94</w:t>
                  </w:r>
                </w:p>
              </w:tc>
              <w:tc>
                <w:tcPr>
                  <w:tcW w:w="739" w:type="pct"/>
                  <w:vMerge w:val="continue"/>
                  <w:tcBorders>
                    <w:tl2br w:val="nil"/>
                    <w:tr2bl w:val="nil"/>
                  </w:tcBorders>
                  <w:noWrap w:val="0"/>
                  <w:vAlign w:val="center"/>
                </w:tcPr>
                <w:p w14:paraId="7D91B57C">
                  <w:pPr>
                    <w:pStyle w:val="98"/>
                    <w:widowControl w:val="0"/>
                    <w:kinsoku/>
                    <w:autoSpaceDE/>
                    <w:autoSpaceDN/>
                    <w:adjustRightInd/>
                    <w:snapToGrid/>
                    <w:jc w:val="center"/>
                    <w:textAlignment w:val="auto"/>
                    <w:rPr>
                      <w:rFonts w:hint="eastAsia" w:ascii="Times New Roman" w:hAnsi="Times New Roman" w:cs="Times New Roman"/>
                      <w:snapToGrid/>
                      <w:color w:val="auto"/>
                      <w:kern w:val="2"/>
                      <w:szCs w:val="24"/>
                      <w:highlight w:val="none"/>
                      <w:lang w:val="en-US" w:eastAsia="zh-CN"/>
                    </w:rPr>
                  </w:pPr>
                </w:p>
              </w:tc>
              <w:tc>
                <w:tcPr>
                  <w:tcW w:w="629" w:type="pct"/>
                  <w:tcBorders>
                    <w:tl2br w:val="nil"/>
                    <w:tr2bl w:val="nil"/>
                  </w:tcBorders>
                  <w:noWrap w:val="0"/>
                  <w:vAlign w:val="center"/>
                </w:tcPr>
                <w:p w14:paraId="3F2D88FB">
                  <w:pPr>
                    <w:pStyle w:val="98"/>
                    <w:widowControl w:val="0"/>
                    <w:kinsoku/>
                    <w:autoSpaceDE/>
                    <w:autoSpaceDN/>
                    <w:adjustRightInd/>
                    <w:snapToGrid/>
                    <w:ind w:firstLine="0" w:firstLineChars="0"/>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0.068</w:t>
                  </w:r>
                </w:p>
              </w:tc>
              <w:tc>
                <w:tcPr>
                  <w:tcW w:w="516" w:type="pct"/>
                  <w:tcBorders>
                    <w:tl2br w:val="nil"/>
                    <w:tr2bl w:val="nil"/>
                  </w:tcBorders>
                  <w:noWrap w:val="0"/>
                  <w:vAlign w:val="center"/>
                </w:tcPr>
                <w:p w14:paraId="2945B18D">
                  <w:pPr>
                    <w:pStyle w:val="98"/>
                    <w:widowControl w:val="0"/>
                    <w:kinsoku/>
                    <w:autoSpaceDE/>
                    <w:autoSpaceDN/>
                    <w:adjustRightInd/>
                    <w:snapToGrid/>
                    <w:ind w:firstLine="0" w:firstLineChars="0"/>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0.018</w:t>
                  </w:r>
                </w:p>
              </w:tc>
            </w:tr>
            <w:tr w14:paraId="2D3F4CD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76" w:hRule="atLeast"/>
                <w:jc w:val="center"/>
              </w:trPr>
              <w:tc>
                <w:tcPr>
                  <w:tcW w:w="315" w:type="pct"/>
                  <w:vMerge w:val="continue"/>
                  <w:tcBorders>
                    <w:tl2br w:val="nil"/>
                    <w:tr2bl w:val="nil"/>
                  </w:tcBorders>
                  <w:noWrap w:val="0"/>
                  <w:vAlign w:val="center"/>
                </w:tcPr>
                <w:p w14:paraId="7F3D25BD">
                  <w:pPr>
                    <w:pStyle w:val="98"/>
                    <w:widowControl w:val="0"/>
                    <w:kinsoku/>
                    <w:autoSpaceDE/>
                    <w:autoSpaceDN/>
                    <w:adjustRightInd/>
                    <w:snapToGrid/>
                    <w:jc w:val="center"/>
                    <w:textAlignment w:val="auto"/>
                    <w:rPr>
                      <w:rFonts w:hint="default" w:ascii="Times New Roman" w:hAnsi="Times New Roman" w:eastAsia="宋体" w:cs="Times New Roman"/>
                      <w:snapToGrid/>
                      <w:color w:val="auto"/>
                      <w:kern w:val="2"/>
                      <w:szCs w:val="24"/>
                      <w:highlight w:val="none"/>
                      <w:lang w:val="en-US" w:eastAsia="zh-CN"/>
                    </w:rPr>
                  </w:pPr>
                </w:p>
              </w:tc>
              <w:tc>
                <w:tcPr>
                  <w:tcW w:w="341" w:type="pct"/>
                  <w:tcBorders>
                    <w:tl2br w:val="nil"/>
                    <w:tr2bl w:val="nil"/>
                  </w:tcBorders>
                  <w:noWrap w:val="0"/>
                  <w:vAlign w:val="center"/>
                </w:tcPr>
                <w:p w14:paraId="4C1747CE">
                  <w:pPr>
                    <w:pStyle w:val="98"/>
                    <w:widowControl w:val="0"/>
                    <w:kinsoku/>
                    <w:autoSpaceDE/>
                    <w:autoSpaceDN/>
                    <w:adjustRightInd/>
                    <w:snapToGrid/>
                    <w:jc w:val="center"/>
                    <w:textAlignment w:val="auto"/>
                    <w:rPr>
                      <w:rFonts w:hint="eastAsia" w:ascii="Times New Roman" w:hAnsi="Times New Roman" w:eastAsia="宋体" w:cs="Times New Roman"/>
                      <w:snapToGrid/>
                      <w:color w:val="auto"/>
                      <w:kern w:val="2"/>
                      <w:szCs w:val="24"/>
                      <w:highlight w:val="none"/>
                      <w:lang w:val="en-US" w:eastAsia="zh-CN"/>
                    </w:rPr>
                  </w:pPr>
                  <w:r>
                    <w:rPr>
                      <w:rFonts w:hint="eastAsia" w:ascii="Times New Roman" w:hAnsi="Times New Roman" w:eastAsia="宋体" w:cs="Times New Roman"/>
                      <w:snapToGrid/>
                      <w:color w:val="auto"/>
                      <w:kern w:val="2"/>
                      <w:szCs w:val="24"/>
                      <w:highlight w:val="none"/>
                      <w:lang w:val="en-US" w:eastAsia="zh-CN"/>
                    </w:rPr>
                    <w:t>全厂</w:t>
                  </w:r>
                </w:p>
              </w:tc>
              <w:tc>
                <w:tcPr>
                  <w:tcW w:w="547" w:type="pct"/>
                  <w:vMerge w:val="continue"/>
                  <w:tcBorders>
                    <w:tl2br w:val="nil"/>
                    <w:tr2bl w:val="nil"/>
                  </w:tcBorders>
                  <w:noWrap w:val="0"/>
                  <w:vAlign w:val="center"/>
                </w:tcPr>
                <w:p w14:paraId="505AA6F2">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p>
              </w:tc>
              <w:tc>
                <w:tcPr>
                  <w:tcW w:w="691" w:type="pct"/>
                  <w:vMerge w:val="continue"/>
                  <w:tcBorders>
                    <w:tl2br w:val="nil"/>
                    <w:tr2bl w:val="nil"/>
                  </w:tcBorders>
                  <w:noWrap w:val="0"/>
                  <w:vAlign w:val="center"/>
                </w:tcPr>
                <w:p w14:paraId="14796F5A">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p>
              </w:tc>
              <w:tc>
                <w:tcPr>
                  <w:tcW w:w="629" w:type="pct"/>
                  <w:tcBorders>
                    <w:tl2br w:val="nil"/>
                    <w:tr2bl w:val="nil"/>
                  </w:tcBorders>
                  <w:noWrap w:val="0"/>
                  <w:vAlign w:val="center"/>
                </w:tcPr>
                <w:p w14:paraId="4AE7DA05">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34.2</w:t>
                  </w:r>
                </w:p>
              </w:tc>
              <w:tc>
                <w:tcPr>
                  <w:tcW w:w="590" w:type="pct"/>
                  <w:tcBorders>
                    <w:tl2br w:val="nil"/>
                    <w:tr2bl w:val="nil"/>
                  </w:tcBorders>
                  <w:noWrap w:val="0"/>
                  <w:vAlign w:val="center"/>
                </w:tcPr>
                <w:p w14:paraId="3A85299F">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w:t>
                  </w:r>
                </w:p>
              </w:tc>
              <w:tc>
                <w:tcPr>
                  <w:tcW w:w="739" w:type="pct"/>
                  <w:vMerge w:val="continue"/>
                  <w:tcBorders>
                    <w:tl2br w:val="nil"/>
                    <w:tr2bl w:val="nil"/>
                  </w:tcBorders>
                  <w:noWrap w:val="0"/>
                  <w:vAlign w:val="center"/>
                </w:tcPr>
                <w:p w14:paraId="65C383BD">
                  <w:pPr>
                    <w:pStyle w:val="98"/>
                    <w:widowControl w:val="0"/>
                    <w:kinsoku/>
                    <w:autoSpaceDE/>
                    <w:autoSpaceDN/>
                    <w:adjustRightInd/>
                    <w:snapToGrid/>
                    <w:jc w:val="center"/>
                    <w:textAlignment w:val="auto"/>
                    <w:rPr>
                      <w:rFonts w:hint="eastAsia" w:ascii="Times New Roman" w:hAnsi="Times New Roman" w:cs="Times New Roman"/>
                      <w:snapToGrid/>
                      <w:color w:val="auto"/>
                      <w:kern w:val="2"/>
                      <w:szCs w:val="24"/>
                      <w:highlight w:val="none"/>
                      <w:lang w:val="en-US" w:eastAsia="zh-CN"/>
                    </w:rPr>
                  </w:pPr>
                </w:p>
              </w:tc>
              <w:tc>
                <w:tcPr>
                  <w:tcW w:w="629" w:type="pct"/>
                  <w:tcBorders>
                    <w:tl2br w:val="nil"/>
                    <w:tr2bl w:val="nil"/>
                  </w:tcBorders>
                  <w:noWrap w:val="0"/>
                  <w:vAlign w:val="center"/>
                </w:tcPr>
                <w:p w14:paraId="39DDCFC7">
                  <w:pPr>
                    <w:pStyle w:val="98"/>
                    <w:widowControl w:val="0"/>
                    <w:kinsoku/>
                    <w:autoSpaceDE/>
                    <w:autoSpaceDN/>
                    <w:adjustRightInd/>
                    <w:snapToGrid/>
                    <w:ind w:firstLine="0" w:firstLineChars="0"/>
                    <w:jc w:val="center"/>
                    <w:textAlignment w:val="auto"/>
                    <w:rPr>
                      <w:rFonts w:hint="default" w:ascii="Times New Roman" w:hAnsi="Times New Roman" w:cs="Times New Roman"/>
                      <w:snapToGrid/>
                      <w:color w:val="auto"/>
                      <w:kern w:val="2"/>
                      <w:szCs w:val="24"/>
                      <w:highlight w:val="none"/>
                      <w:lang w:val="en-US" w:eastAsia="zh-CN"/>
                    </w:rPr>
                  </w:pPr>
                  <w:r>
                    <w:rPr>
                      <w:rFonts w:hint="eastAsia" w:cs="Times New Roman"/>
                      <w:snapToGrid/>
                      <w:color w:val="auto"/>
                      <w:kern w:val="2"/>
                      <w:szCs w:val="24"/>
                      <w:highlight w:val="none"/>
                      <w:lang w:val="en-US" w:eastAsia="zh-CN"/>
                    </w:rPr>
                    <w:t>0.102</w:t>
                  </w:r>
                </w:p>
              </w:tc>
              <w:tc>
                <w:tcPr>
                  <w:tcW w:w="516" w:type="pct"/>
                  <w:tcBorders>
                    <w:tl2br w:val="nil"/>
                    <w:tr2bl w:val="nil"/>
                  </w:tcBorders>
                  <w:noWrap w:val="0"/>
                  <w:vAlign w:val="center"/>
                </w:tcPr>
                <w:p w14:paraId="11398670">
                  <w:pPr>
                    <w:pStyle w:val="98"/>
                    <w:widowControl w:val="0"/>
                    <w:kinsoku/>
                    <w:autoSpaceDE/>
                    <w:autoSpaceDN/>
                    <w:adjustRightInd/>
                    <w:snapToGrid/>
                    <w:ind w:firstLine="0" w:firstLineChars="0"/>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w:t>
                  </w:r>
                </w:p>
              </w:tc>
            </w:tr>
          </w:tbl>
          <w:p w14:paraId="69B2B360">
            <w:pPr>
              <w:ind w:firstLine="482"/>
              <w:rPr>
                <w:b/>
                <w:bCs/>
                <w:color w:val="auto"/>
                <w:highlight w:val="none"/>
              </w:rPr>
            </w:pPr>
            <w:r>
              <w:rPr>
                <w:rFonts w:hint="eastAsia"/>
                <w:b/>
                <w:bCs/>
                <w:color w:val="auto"/>
                <w:highlight w:val="none"/>
              </w:rPr>
              <w:t>（</w:t>
            </w:r>
            <w:r>
              <w:rPr>
                <w:rFonts w:hint="eastAsia"/>
                <w:b/>
                <w:bCs/>
                <w:color w:val="auto"/>
                <w:highlight w:val="none"/>
                <w:lang w:val="en-US" w:eastAsia="zh-CN"/>
              </w:rPr>
              <w:t>4</w:t>
            </w:r>
            <w:r>
              <w:rPr>
                <w:rFonts w:hint="eastAsia"/>
                <w:b/>
                <w:bCs/>
                <w:color w:val="auto"/>
                <w:highlight w:val="none"/>
              </w:rPr>
              <w:t>）</w:t>
            </w:r>
            <w:r>
              <w:rPr>
                <w:rFonts w:hint="eastAsia"/>
                <w:b/>
                <w:bCs/>
                <w:color w:val="auto"/>
                <w:highlight w:val="none"/>
                <w:lang w:val="en-US" w:eastAsia="zh-CN"/>
              </w:rPr>
              <w:t>骨料烘干废气</w:t>
            </w:r>
            <w:r>
              <w:rPr>
                <w:rFonts w:hint="eastAsia"/>
                <w:b/>
                <w:bCs/>
                <w:color w:val="auto"/>
                <w:highlight w:val="none"/>
              </w:rPr>
              <w:t xml:space="preserve"> </w:t>
            </w:r>
          </w:p>
          <w:p w14:paraId="5BEB06A9">
            <w:pPr>
              <w:keepNext w:val="0"/>
              <w:keepLines w:val="0"/>
              <w:widowControl/>
              <w:suppressLineNumbers w:val="0"/>
              <w:jc w:val="left"/>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①骨料烘干粉尘</w:t>
            </w:r>
          </w:p>
          <w:p w14:paraId="39E7FE46">
            <w:pPr>
              <w:keepNext w:val="0"/>
              <w:keepLines w:val="0"/>
              <w:widowControl/>
              <w:suppressLineNumbers w:val="0"/>
              <w:jc w:val="left"/>
              <w:rPr>
                <w:color w:val="auto"/>
                <w:highlight w:val="none"/>
              </w:rPr>
            </w:pPr>
            <w:r>
              <w:rPr>
                <w:rFonts w:hint="eastAsia" w:ascii="Times New Roman" w:hAnsi="Times New Roman" w:eastAsia="宋体" w:cs="Times New Roman"/>
                <w:color w:val="auto"/>
                <w:highlight w:val="none"/>
                <w:lang w:val="en-US" w:eastAsia="zh-CN"/>
              </w:rPr>
              <w:t>项目采用燃烧器向烘干滚筒加热，然后对骨料（碎石）进行烘干处理，其滚筒内产生的废气包含骨料烘干粉尘。骨料烘干粉尘</w:t>
            </w:r>
            <w:r>
              <w:rPr>
                <w:rFonts w:hint="eastAsia" w:ascii="宋体" w:hAnsi="宋体" w:eastAsia="宋体" w:cs="宋体"/>
                <w:color w:val="auto"/>
                <w:kern w:val="0"/>
                <w:sz w:val="24"/>
                <w:szCs w:val="24"/>
                <w:highlight w:val="none"/>
                <w:lang w:val="en-US" w:eastAsia="zh-CN" w:bidi="ar"/>
              </w:rPr>
              <w:t>参考《逸散性工业粉尘控制技术》中的沥青混凝土厂表</w:t>
            </w:r>
            <w:r>
              <w:rPr>
                <w:rFonts w:hint="default" w:ascii="Times New Roman" w:hAnsi="Times New Roman" w:eastAsia="宋体" w:cs="Times New Roman"/>
                <w:color w:val="auto"/>
                <w:kern w:val="0"/>
                <w:sz w:val="24"/>
                <w:szCs w:val="24"/>
                <w:highlight w:val="none"/>
                <w:lang w:val="en-US" w:eastAsia="zh-CN" w:bidi="ar"/>
              </w:rPr>
              <w:t>21-1</w:t>
            </w:r>
            <w:r>
              <w:rPr>
                <w:rFonts w:hint="eastAsia" w:ascii="宋体" w:hAnsi="宋体" w:eastAsia="宋体" w:cs="宋体"/>
                <w:color w:val="auto"/>
                <w:kern w:val="0"/>
                <w:sz w:val="24"/>
                <w:szCs w:val="24"/>
                <w:highlight w:val="none"/>
                <w:lang w:val="en-US" w:eastAsia="zh-CN" w:bidi="ar"/>
              </w:rPr>
              <w:t>，卸粗、细粒料到贮箱的排放因子为</w:t>
            </w:r>
            <w:r>
              <w:rPr>
                <w:rFonts w:hint="default" w:ascii="Times New Roman" w:hAnsi="Times New Roman" w:eastAsia="宋体" w:cs="Times New Roman"/>
                <w:color w:val="auto"/>
                <w:kern w:val="0"/>
                <w:sz w:val="24"/>
                <w:szCs w:val="24"/>
                <w:highlight w:val="none"/>
                <w:lang w:val="en-US" w:eastAsia="zh-CN" w:bidi="ar"/>
              </w:rPr>
              <w:t>0.05kg/t</w:t>
            </w:r>
            <w:r>
              <w:rPr>
                <w:rFonts w:hint="eastAsia" w:ascii="宋体" w:hAnsi="宋体" w:eastAsia="宋体" w:cs="宋体"/>
                <w:color w:val="auto"/>
                <w:kern w:val="0"/>
                <w:sz w:val="24"/>
                <w:szCs w:val="24"/>
                <w:highlight w:val="none"/>
                <w:lang w:val="en-US" w:eastAsia="zh-CN" w:bidi="ar"/>
              </w:rPr>
              <w:t>，</w:t>
            </w:r>
            <w:r>
              <w:rPr>
                <w:rFonts w:hint="eastAsia"/>
                <w:color w:val="auto"/>
                <w:highlight w:val="none"/>
                <w:lang w:val="en-US" w:eastAsia="zh-CN"/>
              </w:rPr>
              <w:t>本项目一期碎石消耗量为86440</w:t>
            </w:r>
            <w:r>
              <w:rPr>
                <w:rFonts w:hint="default"/>
                <w:color w:val="auto"/>
                <w:highlight w:val="none"/>
                <w:lang w:val="en-US" w:eastAsia="zh-CN"/>
              </w:rPr>
              <w:t>t/a</w:t>
            </w:r>
            <w:r>
              <w:rPr>
                <w:rFonts w:hint="eastAsia"/>
                <w:color w:val="auto"/>
                <w:highlight w:val="none"/>
                <w:lang w:val="en-US" w:eastAsia="zh-CN"/>
              </w:rPr>
              <w:t>，二期碎石消耗量为172880</w:t>
            </w:r>
            <w:r>
              <w:rPr>
                <w:rFonts w:hint="default"/>
                <w:color w:val="auto"/>
                <w:highlight w:val="none"/>
                <w:lang w:val="en-US" w:eastAsia="zh-CN"/>
              </w:rPr>
              <w:t>t/a</w:t>
            </w:r>
            <w:r>
              <w:rPr>
                <w:rFonts w:hint="eastAsia"/>
                <w:color w:val="auto"/>
                <w:highlight w:val="none"/>
                <w:lang w:val="en-US" w:eastAsia="zh-CN"/>
              </w:rPr>
              <w:t>，则项目一期</w:t>
            </w:r>
            <w:r>
              <w:rPr>
                <w:rFonts w:hint="eastAsia" w:ascii="Times New Roman" w:hAnsi="Times New Roman" w:eastAsia="宋体" w:cs="Times New Roman"/>
                <w:color w:val="auto"/>
                <w:highlight w:val="none"/>
                <w:lang w:val="en-US" w:eastAsia="zh-CN"/>
              </w:rPr>
              <w:t>骨料烘干粉尘</w:t>
            </w:r>
            <w:r>
              <w:rPr>
                <w:rFonts w:hint="eastAsia"/>
                <w:color w:val="auto"/>
                <w:highlight w:val="none"/>
                <w:lang w:val="en-US" w:eastAsia="zh-CN"/>
              </w:rPr>
              <w:t>产生量为4.322</w:t>
            </w:r>
            <w:r>
              <w:rPr>
                <w:rFonts w:hint="default"/>
                <w:color w:val="auto"/>
                <w:highlight w:val="none"/>
                <w:lang w:val="en-US" w:eastAsia="zh-CN"/>
              </w:rPr>
              <w:t>t/a</w:t>
            </w:r>
            <w:r>
              <w:rPr>
                <w:rFonts w:hint="eastAsia"/>
                <w:color w:val="auto"/>
                <w:highlight w:val="none"/>
                <w:lang w:val="en-US" w:eastAsia="zh-CN"/>
              </w:rPr>
              <w:t>，二期</w:t>
            </w:r>
            <w:r>
              <w:rPr>
                <w:rFonts w:hint="eastAsia" w:ascii="Times New Roman" w:hAnsi="Times New Roman" w:eastAsia="宋体" w:cs="Times New Roman"/>
                <w:color w:val="auto"/>
                <w:highlight w:val="none"/>
                <w:lang w:val="en-US" w:eastAsia="zh-CN"/>
              </w:rPr>
              <w:t>骨料烘干粉尘</w:t>
            </w:r>
            <w:r>
              <w:rPr>
                <w:rFonts w:hint="eastAsia"/>
                <w:color w:val="auto"/>
                <w:highlight w:val="none"/>
                <w:lang w:val="en-US" w:eastAsia="zh-CN"/>
              </w:rPr>
              <w:t>产生量为8.644</w:t>
            </w:r>
            <w:r>
              <w:rPr>
                <w:rFonts w:hint="default"/>
                <w:color w:val="auto"/>
                <w:highlight w:val="none"/>
                <w:lang w:val="en-US" w:eastAsia="zh-CN"/>
              </w:rPr>
              <w:t>t/a</w:t>
            </w:r>
            <w:r>
              <w:rPr>
                <w:rFonts w:hint="eastAsia"/>
                <w:color w:val="auto"/>
                <w:highlight w:val="none"/>
                <w:lang w:val="en-US" w:eastAsia="zh-CN"/>
              </w:rPr>
              <w:t>。</w:t>
            </w:r>
          </w:p>
          <w:p w14:paraId="100928D9">
            <w:pPr>
              <w:widowControl/>
              <w:ind w:firstLine="480"/>
              <w:jc w:val="left"/>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②主燃烧器燃烧烟气</w:t>
            </w:r>
          </w:p>
          <w:p w14:paraId="0F892927">
            <w:pPr>
              <w:widowControl/>
              <w:ind w:firstLine="480"/>
              <w:jc w:val="left"/>
              <w:rPr>
                <w:rFonts w:hint="eastAsia"/>
                <w:color w:val="auto"/>
                <w:highlight w:val="none"/>
              </w:rPr>
            </w:pPr>
            <w:r>
              <w:rPr>
                <w:rFonts w:hint="eastAsia" w:ascii="Times New Roman" w:hAnsi="Times New Roman" w:eastAsia="宋体" w:cs="Times New Roman"/>
                <w:color w:val="auto"/>
                <w:highlight w:val="none"/>
                <w:lang w:val="en-US" w:eastAsia="zh-CN"/>
              </w:rPr>
              <w:t>项目采用燃烧器（燃料为天然气</w:t>
            </w:r>
            <w:r>
              <w:rPr>
                <w:rFonts w:hint="eastAsia" w:cs="Times New Roman"/>
                <w:color w:val="auto"/>
                <w:highlight w:val="none"/>
                <w:lang w:val="en-US" w:eastAsia="zh-CN"/>
              </w:rPr>
              <w:t>，低位热值约为36MJ/m</w:t>
            </w:r>
            <w:r>
              <w:rPr>
                <w:rFonts w:hint="eastAsia" w:cs="Times New Roman"/>
                <w:color w:val="auto"/>
                <w:highlight w:val="none"/>
                <w:vertAlign w:val="superscript"/>
                <w:lang w:val="en-US" w:eastAsia="zh-CN"/>
              </w:rPr>
              <w:t>3</w:t>
            </w:r>
            <w:r>
              <w:rPr>
                <w:rFonts w:hint="eastAsia" w:ascii="Times New Roman" w:hAnsi="Times New Roman" w:eastAsia="宋体" w:cs="Times New Roman"/>
                <w:color w:val="auto"/>
                <w:highlight w:val="none"/>
                <w:lang w:val="en-US" w:eastAsia="zh-CN"/>
              </w:rPr>
              <w:t>）向烘干滚筒加热，项目采用燃烧器（燃料为天然气）向烘干滚筒加热，然后对骨料（碎石）进行烘干处理，其滚筒内产生的废气包含主燃烧器燃烧烟气。主燃烧器燃烧烟气</w:t>
            </w:r>
            <w:r>
              <w:rPr>
                <w:rFonts w:hint="eastAsia"/>
                <w:color w:val="auto"/>
                <w:highlight w:val="none"/>
              </w:rPr>
              <w:t>参考</w:t>
            </w:r>
            <w:r>
              <w:rPr>
                <w:rFonts w:hint="eastAsia"/>
                <w:color w:val="auto"/>
                <w:kern w:val="0"/>
                <w:highlight w:val="none"/>
              </w:rPr>
              <w:t>《</w:t>
            </w:r>
            <w:r>
              <w:rPr>
                <w:rFonts w:hint="eastAsia"/>
                <w:color w:val="auto"/>
                <w:kern w:val="0"/>
                <w:highlight w:val="none"/>
              </w:rPr>
              <w:fldChar w:fldCharType="begin"/>
            </w:r>
            <w:r>
              <w:rPr>
                <w:rFonts w:hint="eastAsia"/>
                <w:color w:val="auto"/>
                <w:kern w:val="0"/>
                <w:highlight w:val="none"/>
              </w:rPr>
              <w:instrText xml:space="preserve"> HYPERLINK "https://www.mee.gov.cn/ywgz/fgbz/bz/bzwb/pwxk/202004/W020200401325055992721.pdf" </w:instrText>
            </w:r>
            <w:r>
              <w:rPr>
                <w:rFonts w:hint="eastAsia"/>
                <w:color w:val="auto"/>
                <w:kern w:val="0"/>
                <w:highlight w:val="none"/>
              </w:rPr>
              <w:fldChar w:fldCharType="separate"/>
            </w:r>
            <w:r>
              <w:rPr>
                <w:rFonts w:hint="eastAsia"/>
                <w:color w:val="auto"/>
                <w:kern w:val="0"/>
                <w:highlight w:val="none"/>
              </w:rPr>
              <w:t>排污许可证申请与核发技术规范 工业炉窑</w:t>
            </w:r>
            <w:r>
              <w:rPr>
                <w:rFonts w:hint="eastAsia"/>
                <w:color w:val="auto"/>
                <w:kern w:val="0"/>
                <w:highlight w:val="none"/>
              </w:rPr>
              <w:fldChar w:fldCharType="end"/>
            </w:r>
            <w:r>
              <w:rPr>
                <w:rFonts w:hint="eastAsia"/>
                <w:color w:val="auto"/>
                <w:kern w:val="0"/>
                <w:highlight w:val="none"/>
              </w:rPr>
              <w:t>》（HJ1121—2020）</w:t>
            </w:r>
            <w:r>
              <w:rPr>
                <w:rFonts w:hint="eastAsia"/>
                <w:color w:val="auto"/>
                <w:highlight w:val="none"/>
              </w:rPr>
              <w:t>中</w:t>
            </w:r>
            <w:r>
              <w:rPr>
                <w:rFonts w:hint="eastAsia"/>
                <w:color w:val="auto"/>
                <w:highlight w:val="none"/>
                <w:lang w:val="en-US" w:eastAsia="zh-CN"/>
              </w:rPr>
              <w:t>表6的</w:t>
            </w:r>
            <w:r>
              <w:rPr>
                <w:rFonts w:hint="eastAsia"/>
                <w:color w:val="auto"/>
                <w:highlight w:val="none"/>
              </w:rPr>
              <w:t>“天然气”燃烧的颗粒物、二氧化硫和氮氧化物的产污系数分别为0.172</w:t>
            </w:r>
            <w:r>
              <w:rPr>
                <w:color w:val="auto"/>
                <w:highlight w:val="none"/>
              </w:rPr>
              <w:t>g/</w:t>
            </w:r>
            <w:r>
              <w:rPr>
                <w:rFonts w:hint="eastAsia"/>
                <w:color w:val="auto"/>
                <w:highlight w:val="none"/>
              </w:rPr>
              <w:t>m</w:t>
            </w:r>
            <w:r>
              <w:rPr>
                <w:rFonts w:hint="eastAsia"/>
                <w:color w:val="auto"/>
                <w:highlight w:val="none"/>
                <w:vertAlign w:val="superscript"/>
              </w:rPr>
              <w:t>3</w:t>
            </w:r>
            <w:r>
              <w:rPr>
                <w:rFonts w:hint="eastAsia"/>
                <w:color w:val="auto"/>
                <w:highlight w:val="none"/>
              </w:rPr>
              <w:t>燃料、0.172</w:t>
            </w:r>
            <w:r>
              <w:rPr>
                <w:color w:val="auto"/>
                <w:highlight w:val="none"/>
              </w:rPr>
              <w:t>g/</w:t>
            </w:r>
            <w:r>
              <w:rPr>
                <w:rFonts w:hint="eastAsia"/>
                <w:color w:val="auto"/>
                <w:highlight w:val="none"/>
              </w:rPr>
              <w:t>m</w:t>
            </w:r>
            <w:r>
              <w:rPr>
                <w:color w:val="auto"/>
                <w:highlight w:val="none"/>
                <w:vertAlign w:val="superscript"/>
              </w:rPr>
              <w:t>3</w:t>
            </w:r>
            <w:r>
              <w:rPr>
                <w:rFonts w:hint="eastAsia"/>
                <w:color w:val="auto"/>
                <w:highlight w:val="none"/>
              </w:rPr>
              <w:t>燃料和2.577</w:t>
            </w:r>
            <w:r>
              <w:rPr>
                <w:color w:val="auto"/>
                <w:highlight w:val="none"/>
              </w:rPr>
              <w:t>g/</w:t>
            </w:r>
            <w:r>
              <w:rPr>
                <w:rFonts w:hint="eastAsia"/>
                <w:color w:val="auto"/>
                <w:highlight w:val="none"/>
              </w:rPr>
              <w:t>m</w:t>
            </w:r>
            <w:r>
              <w:rPr>
                <w:color w:val="auto"/>
                <w:highlight w:val="none"/>
                <w:vertAlign w:val="superscript"/>
              </w:rPr>
              <w:t>3</w:t>
            </w:r>
            <w:r>
              <w:rPr>
                <w:rFonts w:hint="eastAsia"/>
                <w:color w:val="auto"/>
                <w:highlight w:val="none"/>
              </w:rPr>
              <w:t>燃料，</w:t>
            </w:r>
            <w:r>
              <w:rPr>
                <w:rFonts w:hint="eastAsia"/>
                <w:color w:val="auto"/>
                <w:highlight w:val="none"/>
                <w:lang w:val="en-US" w:eastAsia="zh-CN"/>
              </w:rPr>
              <w:t>该工段一期天然气使用量为34.5万m</w:t>
            </w:r>
            <w:r>
              <w:rPr>
                <w:rFonts w:hint="eastAsia"/>
                <w:color w:val="auto"/>
                <w:highlight w:val="none"/>
                <w:vertAlign w:val="superscript"/>
                <w:lang w:val="en-US" w:eastAsia="zh-CN"/>
              </w:rPr>
              <w:t>3</w:t>
            </w:r>
            <w:r>
              <w:rPr>
                <w:rFonts w:hint="eastAsia"/>
                <w:color w:val="auto"/>
                <w:highlight w:val="none"/>
                <w:lang w:val="en-US" w:eastAsia="zh-CN"/>
              </w:rPr>
              <w:t>/a，二期天然气使用量为69万m</w:t>
            </w:r>
            <w:r>
              <w:rPr>
                <w:rFonts w:hint="eastAsia"/>
                <w:color w:val="auto"/>
                <w:highlight w:val="none"/>
                <w:vertAlign w:val="superscript"/>
                <w:lang w:val="en-US" w:eastAsia="zh-CN"/>
              </w:rPr>
              <w:t>3</w:t>
            </w:r>
            <w:r>
              <w:rPr>
                <w:rFonts w:hint="eastAsia"/>
                <w:color w:val="auto"/>
                <w:highlight w:val="none"/>
                <w:lang w:val="en-US" w:eastAsia="zh-CN"/>
              </w:rPr>
              <w:t>/a，</w:t>
            </w:r>
            <w:r>
              <w:rPr>
                <w:rFonts w:hint="eastAsia"/>
                <w:color w:val="auto"/>
                <w:highlight w:val="none"/>
              </w:rPr>
              <w:t>即</w:t>
            </w:r>
            <w:r>
              <w:rPr>
                <w:rFonts w:hint="eastAsia"/>
                <w:color w:val="auto"/>
                <w:highlight w:val="none"/>
                <w:lang w:val="en-US" w:eastAsia="zh-CN"/>
              </w:rPr>
              <w:t>该工段一期</w:t>
            </w:r>
            <w:r>
              <w:rPr>
                <w:rFonts w:hint="eastAsia"/>
                <w:color w:val="auto"/>
                <w:highlight w:val="none"/>
              </w:rPr>
              <w:t>天然气燃烧产生的颗粒物、SO</w:t>
            </w:r>
            <w:r>
              <w:rPr>
                <w:rFonts w:hint="eastAsia"/>
                <w:color w:val="auto"/>
                <w:highlight w:val="none"/>
                <w:vertAlign w:val="subscript"/>
              </w:rPr>
              <w:t>2</w:t>
            </w:r>
            <w:r>
              <w:rPr>
                <w:rFonts w:hint="eastAsia"/>
                <w:color w:val="auto"/>
                <w:highlight w:val="none"/>
              </w:rPr>
              <w:t>和</w:t>
            </w:r>
            <w:r>
              <w:rPr>
                <w:color w:val="auto"/>
                <w:highlight w:val="none"/>
              </w:rPr>
              <w:t>NO</w:t>
            </w:r>
            <w:r>
              <w:rPr>
                <w:color w:val="auto"/>
                <w:highlight w:val="none"/>
                <w:vertAlign w:val="subscript"/>
              </w:rPr>
              <w:t>X</w:t>
            </w:r>
            <w:r>
              <w:rPr>
                <w:rFonts w:hint="eastAsia"/>
                <w:color w:val="auto"/>
                <w:highlight w:val="none"/>
              </w:rPr>
              <w:t>量分别为0.0</w:t>
            </w:r>
            <w:r>
              <w:rPr>
                <w:rFonts w:hint="eastAsia"/>
                <w:color w:val="auto"/>
                <w:highlight w:val="none"/>
                <w:lang w:val="en-US" w:eastAsia="zh-CN"/>
              </w:rPr>
              <w:t>6</w:t>
            </w:r>
            <w:r>
              <w:rPr>
                <w:rFonts w:hint="eastAsia"/>
                <w:color w:val="auto"/>
                <w:highlight w:val="none"/>
              </w:rPr>
              <w:t>t</w:t>
            </w:r>
            <w:r>
              <w:rPr>
                <w:color w:val="auto"/>
                <w:highlight w:val="none"/>
              </w:rPr>
              <w:t>/a</w:t>
            </w:r>
            <w:r>
              <w:rPr>
                <w:rFonts w:hint="eastAsia"/>
                <w:color w:val="auto"/>
                <w:highlight w:val="none"/>
              </w:rPr>
              <w:t>、0.0</w:t>
            </w:r>
            <w:r>
              <w:rPr>
                <w:rFonts w:hint="eastAsia"/>
                <w:color w:val="auto"/>
                <w:highlight w:val="none"/>
                <w:lang w:val="en-US" w:eastAsia="zh-CN"/>
              </w:rPr>
              <w:t>6</w:t>
            </w:r>
            <w:r>
              <w:rPr>
                <w:rFonts w:hint="eastAsia"/>
                <w:color w:val="auto"/>
                <w:highlight w:val="none"/>
              </w:rPr>
              <w:t>t</w:t>
            </w:r>
            <w:r>
              <w:rPr>
                <w:color w:val="auto"/>
                <w:highlight w:val="none"/>
              </w:rPr>
              <w:t>/a</w:t>
            </w:r>
            <w:r>
              <w:rPr>
                <w:rFonts w:hint="eastAsia"/>
                <w:color w:val="auto"/>
                <w:highlight w:val="none"/>
              </w:rPr>
              <w:t>、0.</w:t>
            </w:r>
            <w:r>
              <w:rPr>
                <w:rFonts w:hint="eastAsia"/>
                <w:color w:val="auto"/>
                <w:highlight w:val="none"/>
                <w:lang w:val="en-US" w:eastAsia="zh-CN"/>
              </w:rPr>
              <w:t>89</w:t>
            </w:r>
            <w:r>
              <w:rPr>
                <w:rFonts w:hint="eastAsia"/>
                <w:color w:val="auto"/>
                <w:highlight w:val="none"/>
              </w:rPr>
              <w:t>t</w:t>
            </w:r>
            <w:r>
              <w:rPr>
                <w:color w:val="auto"/>
                <w:highlight w:val="none"/>
              </w:rPr>
              <w:t>/a</w:t>
            </w:r>
            <w:r>
              <w:rPr>
                <w:rFonts w:hint="eastAsia"/>
                <w:color w:val="auto"/>
                <w:highlight w:val="none"/>
                <w:lang w:eastAsia="zh-CN"/>
              </w:rPr>
              <w:t>，</w:t>
            </w:r>
            <w:r>
              <w:rPr>
                <w:rFonts w:hint="eastAsia"/>
                <w:color w:val="auto"/>
                <w:highlight w:val="none"/>
                <w:lang w:val="en-US" w:eastAsia="zh-CN"/>
              </w:rPr>
              <w:t>二期</w:t>
            </w:r>
            <w:r>
              <w:rPr>
                <w:rFonts w:hint="eastAsia"/>
                <w:color w:val="auto"/>
                <w:highlight w:val="none"/>
              </w:rPr>
              <w:t>天然气燃烧产生的颗粒物、SO</w:t>
            </w:r>
            <w:r>
              <w:rPr>
                <w:rFonts w:hint="eastAsia"/>
                <w:color w:val="auto"/>
                <w:highlight w:val="none"/>
                <w:vertAlign w:val="subscript"/>
              </w:rPr>
              <w:t>2</w:t>
            </w:r>
            <w:r>
              <w:rPr>
                <w:rFonts w:hint="eastAsia"/>
                <w:color w:val="auto"/>
                <w:highlight w:val="none"/>
              </w:rPr>
              <w:t>和</w:t>
            </w:r>
            <w:r>
              <w:rPr>
                <w:color w:val="auto"/>
                <w:highlight w:val="none"/>
              </w:rPr>
              <w:t>NO</w:t>
            </w:r>
            <w:r>
              <w:rPr>
                <w:color w:val="auto"/>
                <w:highlight w:val="none"/>
                <w:vertAlign w:val="subscript"/>
              </w:rPr>
              <w:t>X</w:t>
            </w:r>
            <w:r>
              <w:rPr>
                <w:rFonts w:hint="eastAsia"/>
                <w:color w:val="auto"/>
                <w:highlight w:val="none"/>
              </w:rPr>
              <w:t>量分别为</w:t>
            </w:r>
            <w:r>
              <w:rPr>
                <w:rFonts w:hint="eastAsia"/>
                <w:color w:val="auto"/>
                <w:highlight w:val="none"/>
                <w:lang w:val="en-US" w:eastAsia="zh-CN"/>
              </w:rPr>
              <w:t>0.12</w:t>
            </w:r>
            <w:r>
              <w:rPr>
                <w:rFonts w:hint="eastAsia"/>
                <w:color w:val="auto"/>
                <w:highlight w:val="none"/>
              </w:rPr>
              <w:t>t</w:t>
            </w:r>
            <w:r>
              <w:rPr>
                <w:color w:val="auto"/>
                <w:highlight w:val="none"/>
              </w:rPr>
              <w:t>/a</w:t>
            </w:r>
            <w:r>
              <w:rPr>
                <w:rFonts w:hint="eastAsia"/>
                <w:color w:val="auto"/>
                <w:highlight w:val="none"/>
              </w:rPr>
              <w:t>、0.</w:t>
            </w:r>
            <w:r>
              <w:rPr>
                <w:rFonts w:hint="eastAsia"/>
                <w:color w:val="auto"/>
                <w:highlight w:val="none"/>
                <w:lang w:val="en-US" w:eastAsia="zh-CN"/>
              </w:rPr>
              <w:t>12</w:t>
            </w:r>
            <w:r>
              <w:rPr>
                <w:rFonts w:hint="eastAsia"/>
                <w:color w:val="auto"/>
                <w:highlight w:val="none"/>
              </w:rPr>
              <w:t>t</w:t>
            </w:r>
            <w:r>
              <w:rPr>
                <w:color w:val="auto"/>
                <w:highlight w:val="none"/>
              </w:rPr>
              <w:t>/a</w:t>
            </w:r>
            <w:r>
              <w:rPr>
                <w:rFonts w:hint="eastAsia"/>
                <w:color w:val="auto"/>
                <w:highlight w:val="none"/>
              </w:rPr>
              <w:t>、</w:t>
            </w:r>
            <w:r>
              <w:rPr>
                <w:rFonts w:hint="eastAsia"/>
                <w:color w:val="auto"/>
                <w:highlight w:val="none"/>
                <w:lang w:val="en-US" w:eastAsia="zh-CN"/>
              </w:rPr>
              <w:t>1.78</w:t>
            </w:r>
            <w:r>
              <w:rPr>
                <w:rFonts w:hint="eastAsia"/>
                <w:color w:val="auto"/>
                <w:highlight w:val="none"/>
              </w:rPr>
              <w:t>t</w:t>
            </w:r>
            <w:r>
              <w:rPr>
                <w:color w:val="auto"/>
                <w:highlight w:val="none"/>
              </w:rPr>
              <w:t>/a</w:t>
            </w:r>
            <w:r>
              <w:rPr>
                <w:rFonts w:hint="eastAsia"/>
                <w:color w:val="auto"/>
                <w:highlight w:val="none"/>
              </w:rPr>
              <w:t>。</w:t>
            </w:r>
          </w:p>
          <w:p w14:paraId="600443EB">
            <w:pPr>
              <w:widowControl/>
              <w:ind w:firstLine="480"/>
              <w:jc w:val="left"/>
              <w:rPr>
                <w:rFonts w:hint="eastAsia" w:ascii="宋体" w:hAnsi="宋体" w:cs="宋体"/>
                <w:color w:val="auto"/>
                <w:kern w:val="0"/>
                <w:highlight w:val="none"/>
                <w:lang w:bidi="ar"/>
              </w:rPr>
            </w:pPr>
            <w:r>
              <w:rPr>
                <w:rFonts w:hint="default" w:ascii="Times New Roman" w:hAnsi="Times New Roman" w:cs="Times New Roman"/>
                <w:color w:val="auto"/>
                <w:highlight w:val="none"/>
                <w:lang w:val="en-US" w:eastAsia="zh-CN"/>
              </w:rPr>
              <w:t>本项目</w:t>
            </w:r>
            <w:r>
              <w:rPr>
                <w:rFonts w:hint="eastAsia"/>
                <w:color w:val="auto"/>
                <w:highlight w:val="none"/>
                <w:lang w:val="en-US" w:eastAsia="zh-CN"/>
              </w:rPr>
              <w:t>该工段</w:t>
            </w:r>
            <w:r>
              <w:rPr>
                <w:rFonts w:hint="default" w:ascii="Times New Roman" w:hAnsi="Times New Roman" w:cs="Times New Roman"/>
                <w:color w:val="auto"/>
                <w:highlight w:val="none"/>
                <w:lang w:val="en-US" w:eastAsia="zh-CN"/>
              </w:rPr>
              <w:t>一期设</w:t>
            </w: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lang w:val="en-US" w:eastAsia="zh-CN"/>
              </w:rPr>
              <w:t>根排气筒</w:t>
            </w:r>
            <w:r>
              <w:rPr>
                <w:rFonts w:hint="eastAsia" w:ascii="Times New Roman" w:hAnsi="Times New Roman" w:cs="Times New Roman"/>
                <w:color w:val="auto"/>
                <w:highlight w:val="none"/>
                <w:lang w:val="en-US" w:eastAsia="zh-CN"/>
              </w:rPr>
              <w:t>（DA001）</w:t>
            </w:r>
            <w:r>
              <w:rPr>
                <w:rFonts w:hint="default" w:ascii="Times New Roman" w:hAnsi="Times New Roman" w:cs="Times New Roman"/>
                <w:color w:val="auto"/>
                <w:highlight w:val="none"/>
                <w:lang w:val="en-US" w:eastAsia="zh-CN"/>
              </w:rPr>
              <w:t>，二期设</w:t>
            </w: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lang w:val="en-US" w:eastAsia="zh-CN"/>
              </w:rPr>
              <w:t>根排气筒</w:t>
            </w:r>
            <w:r>
              <w:rPr>
                <w:rFonts w:hint="eastAsia" w:ascii="Times New Roman" w:hAnsi="Times New Roman" w:cs="Times New Roman"/>
                <w:color w:val="auto"/>
                <w:highlight w:val="none"/>
                <w:lang w:val="en-US" w:eastAsia="zh-CN"/>
              </w:rPr>
              <w:t>（DA004）</w:t>
            </w:r>
            <w:r>
              <w:rPr>
                <w:rFonts w:hint="default" w:ascii="Times New Roman" w:hAnsi="Times New Roman" w:cs="Times New Roman"/>
                <w:color w:val="auto"/>
                <w:highlight w:val="none"/>
                <w:lang w:val="en-US" w:eastAsia="zh-CN"/>
              </w:rPr>
              <w:t>。</w:t>
            </w:r>
            <w:r>
              <w:rPr>
                <w:rFonts w:hint="eastAsia"/>
                <w:color w:val="auto"/>
                <w:highlight w:val="none"/>
                <w:lang w:val="en-US" w:eastAsia="zh-CN"/>
              </w:rPr>
              <w:t>该工段</w:t>
            </w:r>
            <w:r>
              <w:rPr>
                <w:rFonts w:hint="eastAsia"/>
                <w:color w:val="auto"/>
                <w:highlight w:val="none"/>
              </w:rPr>
              <w:t>废气</w:t>
            </w:r>
            <w:r>
              <w:rPr>
                <w:rFonts w:hint="eastAsia"/>
                <w:color w:val="auto"/>
                <w:highlight w:val="none"/>
                <w:lang w:val="en-US" w:eastAsia="zh-CN"/>
              </w:rPr>
              <w:t>经负压</w:t>
            </w:r>
            <w:r>
              <w:rPr>
                <w:rFonts w:hint="eastAsia"/>
                <w:color w:val="auto"/>
                <w:highlight w:val="none"/>
              </w:rPr>
              <w:t>收集后经“</w:t>
            </w:r>
            <w:r>
              <w:rPr>
                <w:rFonts w:hint="eastAsia"/>
                <w:color w:val="auto"/>
                <w:highlight w:val="none"/>
                <w:lang w:val="en-US" w:eastAsia="zh-CN"/>
              </w:rPr>
              <w:t>布袋除尘器</w:t>
            </w:r>
            <w:r>
              <w:rPr>
                <w:rFonts w:hint="eastAsia"/>
                <w:color w:val="auto"/>
                <w:highlight w:val="none"/>
              </w:rPr>
              <w:t>”处理</w:t>
            </w:r>
            <w:r>
              <w:rPr>
                <w:rFonts w:hint="eastAsia"/>
                <w:color w:val="auto"/>
                <w:highlight w:val="none"/>
                <w:lang w:val="en-US" w:eastAsia="zh-CN"/>
              </w:rPr>
              <w:t>后通过20m高排气筒</w:t>
            </w:r>
            <w:r>
              <w:rPr>
                <w:rFonts w:hint="eastAsia"/>
                <w:color w:val="auto"/>
                <w:highlight w:val="none"/>
              </w:rPr>
              <w:t>排放</w:t>
            </w:r>
            <w:r>
              <w:rPr>
                <w:rFonts w:hint="eastAsia"/>
                <w:color w:val="auto"/>
                <w:highlight w:val="none"/>
                <w:lang w:eastAsia="zh-CN"/>
              </w:rPr>
              <w:t>，</w:t>
            </w:r>
            <w:r>
              <w:rPr>
                <w:rFonts w:hint="eastAsia"/>
                <w:color w:val="auto"/>
                <w:highlight w:val="none"/>
                <w:lang w:val="en-US" w:eastAsia="zh-CN"/>
              </w:rPr>
              <w:t>该工段一期</w:t>
            </w:r>
            <w:r>
              <w:rPr>
                <w:rFonts w:hint="eastAsia" w:ascii="宋体" w:hAnsi="宋体" w:cs="宋体"/>
                <w:color w:val="auto"/>
                <w:kern w:val="0"/>
                <w:highlight w:val="none"/>
                <w:lang w:bidi="ar"/>
              </w:rPr>
              <w:t>设计风量</w:t>
            </w:r>
            <w:r>
              <w:rPr>
                <w:rFonts w:hint="eastAsia" w:ascii="宋体" w:hAnsi="宋体" w:cs="宋体"/>
                <w:color w:val="auto"/>
                <w:kern w:val="0"/>
                <w:highlight w:val="none"/>
                <w:lang w:val="en-US" w:eastAsia="zh-CN" w:bidi="ar"/>
              </w:rPr>
              <w:t>为</w:t>
            </w:r>
            <w:r>
              <w:rPr>
                <w:rFonts w:hint="eastAsia"/>
                <w:color w:val="auto"/>
                <w:highlight w:val="none"/>
                <w:lang w:val="en-US" w:eastAsia="zh-CN"/>
              </w:rPr>
              <w:t>30</w:t>
            </w:r>
            <w:r>
              <w:rPr>
                <w:rFonts w:hint="eastAsia"/>
                <w:color w:val="auto"/>
                <w:kern w:val="0"/>
                <w:highlight w:val="none"/>
                <w:lang w:val="en-US" w:eastAsia="zh-CN" w:bidi="ar"/>
              </w:rPr>
              <w:t>00</w:t>
            </w:r>
            <w:r>
              <w:rPr>
                <w:color w:val="auto"/>
                <w:kern w:val="0"/>
                <w:highlight w:val="none"/>
                <w:lang w:bidi="ar"/>
              </w:rPr>
              <w:t>m</w:t>
            </w:r>
            <w:r>
              <w:rPr>
                <w:rFonts w:hint="eastAsia"/>
                <w:color w:val="auto"/>
                <w:kern w:val="0"/>
                <w:highlight w:val="none"/>
                <w:vertAlign w:val="superscript"/>
                <w:lang w:bidi="ar"/>
              </w:rPr>
              <w:t>3</w:t>
            </w:r>
            <w:r>
              <w:rPr>
                <w:color w:val="auto"/>
                <w:kern w:val="0"/>
                <w:highlight w:val="none"/>
                <w:lang w:bidi="ar"/>
              </w:rPr>
              <w:t>/h</w:t>
            </w:r>
            <w:r>
              <w:rPr>
                <w:rFonts w:hint="eastAsia"/>
                <w:color w:val="auto"/>
                <w:kern w:val="0"/>
                <w:highlight w:val="none"/>
                <w:lang w:eastAsia="zh-CN" w:bidi="ar"/>
              </w:rPr>
              <w:t>，</w:t>
            </w:r>
            <w:r>
              <w:rPr>
                <w:rFonts w:hint="eastAsia"/>
                <w:color w:val="auto"/>
                <w:kern w:val="0"/>
                <w:highlight w:val="none"/>
                <w:lang w:val="en-US" w:eastAsia="zh-CN" w:bidi="ar"/>
              </w:rPr>
              <w:t>二期风量</w:t>
            </w:r>
            <w:r>
              <w:rPr>
                <w:rFonts w:hint="eastAsia" w:ascii="宋体" w:hAnsi="宋体" w:cs="宋体"/>
                <w:color w:val="auto"/>
                <w:kern w:val="0"/>
                <w:highlight w:val="none"/>
                <w:lang w:bidi="ar"/>
              </w:rPr>
              <w:t>设计风量</w:t>
            </w:r>
            <w:r>
              <w:rPr>
                <w:rFonts w:hint="eastAsia" w:ascii="宋体" w:hAnsi="宋体" w:cs="宋体"/>
                <w:color w:val="auto"/>
                <w:kern w:val="0"/>
                <w:highlight w:val="none"/>
                <w:lang w:val="en-US" w:eastAsia="zh-CN" w:bidi="ar"/>
              </w:rPr>
              <w:t>为</w:t>
            </w:r>
            <w:r>
              <w:rPr>
                <w:rFonts w:hint="default" w:ascii="Times New Roman" w:hAnsi="Times New Roman" w:cs="Times New Roman"/>
                <w:color w:val="auto"/>
                <w:kern w:val="0"/>
                <w:highlight w:val="none"/>
                <w:lang w:val="en-US" w:eastAsia="zh-CN" w:bidi="ar"/>
              </w:rPr>
              <w:t>5000</w:t>
            </w:r>
            <w:r>
              <w:rPr>
                <w:color w:val="auto"/>
                <w:kern w:val="0"/>
                <w:highlight w:val="none"/>
                <w:lang w:bidi="ar"/>
              </w:rPr>
              <w:t>m</w:t>
            </w:r>
            <w:r>
              <w:rPr>
                <w:rFonts w:hint="eastAsia"/>
                <w:color w:val="auto"/>
                <w:kern w:val="0"/>
                <w:highlight w:val="none"/>
                <w:vertAlign w:val="superscript"/>
                <w:lang w:bidi="ar"/>
              </w:rPr>
              <w:t>3</w:t>
            </w:r>
            <w:r>
              <w:rPr>
                <w:color w:val="auto"/>
                <w:kern w:val="0"/>
                <w:highlight w:val="none"/>
                <w:lang w:bidi="ar"/>
              </w:rPr>
              <w:t>/h</w:t>
            </w:r>
            <w:r>
              <w:rPr>
                <w:rFonts w:hint="eastAsia"/>
                <w:color w:val="auto"/>
                <w:highlight w:val="none"/>
              </w:rPr>
              <w:t>。</w:t>
            </w:r>
            <w:r>
              <w:rPr>
                <w:rFonts w:hint="eastAsia"/>
                <w:color w:val="auto"/>
                <w:highlight w:val="none"/>
                <w:lang w:val="en-US" w:eastAsia="zh-CN"/>
              </w:rPr>
              <w:t>根据《</w:t>
            </w:r>
            <w:r>
              <w:rPr>
                <w:rFonts w:hint="eastAsia"/>
                <w:color w:val="auto"/>
                <w:highlight w:val="none"/>
              </w:rPr>
              <w:t>3021 水泥制品制造（含 3022 砼结构构件制造、3029 其他水泥类似制品制造）行业系数手册</w:t>
            </w:r>
            <w:r>
              <w:rPr>
                <w:rFonts w:hint="eastAsia"/>
                <w:color w:val="auto"/>
                <w:highlight w:val="none"/>
                <w:lang w:val="en-US" w:eastAsia="zh-CN"/>
              </w:rPr>
              <w:t>》，布袋除尘器对颗粒物的平均去除效率为99.7%。</w:t>
            </w:r>
            <w:r>
              <w:rPr>
                <w:rFonts w:hint="default" w:ascii="Times New Roman" w:hAnsi="Times New Roman" w:cs="Times New Roman"/>
                <w:color w:val="auto"/>
                <w:highlight w:val="none"/>
                <w:lang w:val="en-US" w:eastAsia="zh-CN"/>
              </w:rPr>
              <w:t>本项目</w:t>
            </w:r>
            <w:r>
              <w:rPr>
                <w:rFonts w:hint="eastAsia" w:ascii="Times New Roman" w:hAnsi="Times New Roman" w:cs="Times New Roman"/>
                <w:color w:val="auto"/>
                <w:highlight w:val="none"/>
                <w:lang w:val="en-US" w:eastAsia="zh-CN"/>
              </w:rPr>
              <w:t>该工段</w:t>
            </w:r>
            <w:r>
              <w:rPr>
                <w:rFonts w:hint="default" w:ascii="Times New Roman" w:hAnsi="Times New Roman" w:cs="Times New Roman"/>
                <w:color w:val="auto"/>
                <w:highlight w:val="none"/>
                <w:lang w:val="en-US" w:eastAsia="zh-CN"/>
              </w:rPr>
              <w:t>运行时间为</w:t>
            </w:r>
            <w:r>
              <w:rPr>
                <w:rFonts w:hint="eastAsia" w:ascii="Times New Roman" w:hAnsi="Times New Roman" w:cs="Times New Roman"/>
                <w:color w:val="auto"/>
                <w:highlight w:val="none"/>
                <w:lang w:val="en-US" w:eastAsia="zh-CN"/>
              </w:rPr>
              <w:t>3840</w:t>
            </w:r>
            <w:r>
              <w:rPr>
                <w:rFonts w:hint="default" w:ascii="Times New Roman" w:hAnsi="Times New Roman" w:cs="Times New Roman"/>
                <w:color w:val="auto"/>
                <w:highlight w:val="none"/>
                <w:lang w:val="en-US" w:eastAsia="zh-CN"/>
              </w:rPr>
              <w:t>h，计算得本项目</w:t>
            </w:r>
            <w:r>
              <w:rPr>
                <w:rFonts w:hint="eastAsia" w:ascii="Times New Roman" w:hAnsi="Times New Roman" w:cs="Times New Roman"/>
                <w:color w:val="auto"/>
                <w:highlight w:val="none"/>
                <w:lang w:val="en-US" w:eastAsia="zh-CN"/>
              </w:rPr>
              <w:t>骨料烘干</w:t>
            </w:r>
            <w:r>
              <w:rPr>
                <w:rFonts w:hint="default" w:ascii="Times New Roman" w:hAnsi="Times New Roman" w:cs="Times New Roman"/>
                <w:color w:val="auto"/>
                <w:highlight w:val="none"/>
                <w:lang w:val="en-US" w:eastAsia="zh-CN"/>
              </w:rPr>
              <w:t>废气排放情况见表4.2-</w:t>
            </w:r>
            <w:r>
              <w:rPr>
                <w:rFonts w:hint="eastAsia"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eastAsia="zh-CN"/>
              </w:rPr>
              <w:t>~表4.2-</w:t>
            </w:r>
            <w:r>
              <w:rPr>
                <w:rFonts w:hint="eastAsia" w:ascii="Times New Roman" w:hAnsi="Times New Roman" w:cs="Times New Roman"/>
                <w:color w:val="auto"/>
                <w:highlight w:val="none"/>
                <w:lang w:val="en-US" w:eastAsia="zh-CN"/>
              </w:rPr>
              <w:t>6</w:t>
            </w:r>
            <w:r>
              <w:rPr>
                <w:rFonts w:hint="default" w:ascii="Times New Roman" w:hAnsi="Times New Roman" w:cs="Times New Roman"/>
                <w:color w:val="auto"/>
                <w:highlight w:val="none"/>
                <w:lang w:val="en-US" w:eastAsia="zh-CN"/>
              </w:rPr>
              <w:t>。</w:t>
            </w:r>
          </w:p>
          <w:p w14:paraId="0F043766">
            <w:pPr>
              <w:widowControl w:val="0"/>
              <w:kinsoku/>
              <w:autoSpaceDE/>
              <w:autoSpaceDN/>
              <w:adjustRightInd/>
              <w:snapToGrid/>
              <w:spacing w:line="360" w:lineRule="auto"/>
              <w:ind w:firstLine="0" w:firstLineChars="0"/>
              <w:jc w:val="center"/>
              <w:textAlignment w:val="auto"/>
              <w:rPr>
                <w:rFonts w:ascii="Times New Roman" w:hAnsi="Times New Roman" w:eastAsia="宋体" w:cs="Times New Roman"/>
                <w:b/>
                <w:bCs/>
                <w:snapToGrid/>
                <w:color w:val="auto"/>
                <w:kern w:val="2"/>
                <w:sz w:val="24"/>
                <w:szCs w:val="24"/>
                <w:highlight w:val="none"/>
                <w:lang w:eastAsia="zh-CN"/>
              </w:rPr>
            </w:pPr>
            <w:r>
              <w:rPr>
                <w:rFonts w:ascii="Times New Roman" w:hAnsi="Times New Roman" w:eastAsia="宋体" w:cs="Times New Roman"/>
                <w:b/>
                <w:bCs/>
                <w:snapToGrid/>
                <w:color w:val="auto"/>
                <w:kern w:val="2"/>
                <w:sz w:val="24"/>
                <w:szCs w:val="24"/>
                <w:highlight w:val="none"/>
                <w:lang w:eastAsia="zh-CN"/>
              </w:rPr>
              <w:t>表4.2-</w:t>
            </w:r>
            <w:r>
              <w:rPr>
                <w:rFonts w:hint="eastAsia" w:cs="Times New Roman"/>
                <w:b/>
                <w:bCs/>
                <w:snapToGrid/>
                <w:color w:val="auto"/>
                <w:kern w:val="2"/>
                <w:sz w:val="24"/>
                <w:szCs w:val="24"/>
                <w:highlight w:val="none"/>
                <w:lang w:val="en-US" w:eastAsia="zh-CN"/>
              </w:rPr>
              <w:t>4</w:t>
            </w:r>
            <w:r>
              <w:rPr>
                <w:rFonts w:ascii="Times New Roman" w:hAnsi="Times New Roman" w:eastAsia="宋体" w:cs="Times New Roman"/>
                <w:b/>
                <w:bCs/>
                <w:snapToGrid/>
                <w:color w:val="auto"/>
                <w:kern w:val="2"/>
                <w:sz w:val="24"/>
                <w:szCs w:val="24"/>
                <w:highlight w:val="none"/>
                <w:lang w:eastAsia="zh-CN"/>
              </w:rPr>
              <w:t xml:space="preserve">  </w:t>
            </w:r>
            <w:r>
              <w:rPr>
                <w:rFonts w:hint="eastAsia"/>
                <w:b/>
                <w:bCs/>
                <w:color w:val="auto"/>
                <w:highlight w:val="none"/>
                <w:lang w:val="en-US" w:eastAsia="zh-CN"/>
              </w:rPr>
              <w:t>骨料烘干废气（一期）</w:t>
            </w:r>
            <w:r>
              <w:rPr>
                <w:rFonts w:ascii="Times New Roman" w:hAnsi="Times New Roman" w:eastAsia="宋体" w:cs="Times New Roman"/>
                <w:b/>
                <w:bCs/>
                <w:snapToGrid/>
                <w:color w:val="auto"/>
                <w:kern w:val="2"/>
                <w:sz w:val="24"/>
                <w:szCs w:val="24"/>
                <w:highlight w:val="none"/>
                <w:lang w:eastAsia="zh-CN"/>
              </w:rPr>
              <w:t>排放情况一览表</w:t>
            </w:r>
          </w:p>
          <w:tbl>
            <w:tblPr>
              <w:tblStyle w:val="129"/>
              <w:tblW w:w="839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661"/>
              <w:gridCol w:w="676"/>
              <w:gridCol w:w="909"/>
              <w:gridCol w:w="909"/>
              <w:gridCol w:w="745"/>
              <w:gridCol w:w="699"/>
              <w:gridCol w:w="875"/>
              <w:gridCol w:w="875"/>
              <w:gridCol w:w="745"/>
              <w:gridCol w:w="613"/>
              <w:gridCol w:w="687"/>
            </w:tblGrid>
            <w:tr w14:paraId="31D2A4A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74" w:hRule="atLeast"/>
                <w:jc w:val="center"/>
              </w:trPr>
              <w:tc>
                <w:tcPr>
                  <w:tcW w:w="393" w:type="pct"/>
                  <w:tcBorders>
                    <w:tl2br w:val="nil"/>
                    <w:tr2bl w:val="nil"/>
                  </w:tcBorders>
                  <w:noWrap w:val="0"/>
                  <w:vAlign w:val="center"/>
                </w:tcPr>
                <w:p w14:paraId="5332ED32">
                  <w:pPr>
                    <w:pStyle w:val="98"/>
                    <w:widowControl w:val="0"/>
                    <w:kinsoku/>
                    <w:autoSpaceDE/>
                    <w:autoSpaceDN/>
                    <w:adjustRightInd/>
                    <w:snapToGrid/>
                    <w:jc w:val="center"/>
                    <w:textAlignment w:val="auto"/>
                    <w:rPr>
                      <w:rFonts w:hint="eastAsia" w:ascii="Times New Roman" w:hAnsi="Times New Roman" w:cs="Times New Roman"/>
                      <w:b/>
                      <w:bCs/>
                      <w:snapToGrid/>
                      <w:color w:val="auto"/>
                      <w:kern w:val="2"/>
                      <w:szCs w:val="24"/>
                      <w:highlight w:val="none"/>
                      <w:lang w:eastAsia="zh-CN"/>
                    </w:rPr>
                  </w:pPr>
                  <w:r>
                    <w:rPr>
                      <w:rFonts w:hint="eastAsia" w:ascii="Times New Roman" w:hAnsi="Times New Roman" w:cs="Times New Roman"/>
                      <w:b/>
                      <w:bCs/>
                      <w:snapToGrid/>
                      <w:color w:val="auto"/>
                      <w:kern w:val="2"/>
                      <w:szCs w:val="24"/>
                      <w:highlight w:val="none"/>
                      <w:lang w:eastAsia="zh-CN"/>
                    </w:rPr>
                    <w:t>污染物</w:t>
                  </w:r>
                </w:p>
              </w:tc>
              <w:tc>
                <w:tcPr>
                  <w:tcW w:w="402" w:type="pct"/>
                  <w:tcBorders>
                    <w:tl2br w:val="nil"/>
                    <w:tr2bl w:val="nil"/>
                  </w:tcBorders>
                  <w:noWrap w:val="0"/>
                  <w:vAlign w:val="center"/>
                </w:tcPr>
                <w:p w14:paraId="06288621">
                  <w:pPr>
                    <w:pStyle w:val="98"/>
                    <w:widowControl w:val="0"/>
                    <w:kinsoku/>
                    <w:autoSpaceDE/>
                    <w:autoSpaceDN/>
                    <w:adjustRightInd/>
                    <w:snapToGrid/>
                    <w:jc w:val="center"/>
                    <w:textAlignment w:val="auto"/>
                    <w:rPr>
                      <w:rFonts w:hint="eastAsia" w:ascii="Times New Roman" w:hAnsi="Times New Roman" w:cs="Times New Roman"/>
                      <w:b/>
                      <w:bCs/>
                      <w:snapToGrid/>
                      <w:color w:val="auto"/>
                      <w:kern w:val="2"/>
                      <w:szCs w:val="24"/>
                      <w:highlight w:val="none"/>
                      <w:lang w:eastAsia="zh-CN"/>
                    </w:rPr>
                  </w:pPr>
                  <w:r>
                    <w:rPr>
                      <w:rFonts w:hint="eastAsia" w:ascii="Times New Roman" w:hAnsi="Times New Roman" w:cs="Times New Roman"/>
                      <w:b/>
                      <w:bCs/>
                      <w:snapToGrid/>
                      <w:color w:val="auto"/>
                      <w:kern w:val="2"/>
                      <w:szCs w:val="24"/>
                      <w:highlight w:val="none"/>
                      <w:lang w:eastAsia="zh-CN"/>
                    </w:rPr>
                    <w:t>排放形式</w:t>
                  </w:r>
                </w:p>
              </w:tc>
              <w:tc>
                <w:tcPr>
                  <w:tcW w:w="541" w:type="pct"/>
                  <w:tcBorders>
                    <w:tl2br w:val="nil"/>
                    <w:tr2bl w:val="nil"/>
                  </w:tcBorders>
                  <w:noWrap w:val="0"/>
                  <w:vAlign w:val="center"/>
                </w:tcPr>
                <w:p w14:paraId="60C35EA9">
                  <w:pPr>
                    <w:pStyle w:val="107"/>
                    <w:widowControl/>
                    <w:ind w:firstLine="0" w:firstLineChars="0"/>
                    <w:jc w:val="center"/>
                    <w:rPr>
                      <w:rFonts w:hint="eastAsia" w:ascii="Times New Roman" w:hAnsi="Times New Roman" w:eastAsia="宋体"/>
                      <w:b/>
                      <w:bCs/>
                      <w:color w:val="auto"/>
                      <w:sz w:val="21"/>
                      <w:szCs w:val="21"/>
                      <w:highlight w:val="none"/>
                    </w:rPr>
                  </w:pPr>
                  <w:r>
                    <w:rPr>
                      <w:rFonts w:hint="eastAsia" w:ascii="Times New Roman" w:hAnsi="Times New Roman" w:eastAsia="宋体"/>
                      <w:b/>
                      <w:bCs/>
                      <w:color w:val="auto"/>
                      <w:sz w:val="21"/>
                      <w:szCs w:val="21"/>
                      <w:highlight w:val="none"/>
                    </w:rPr>
                    <w:t>排放时间</w:t>
                  </w:r>
                </w:p>
                <w:p w14:paraId="0F064E13">
                  <w:pPr>
                    <w:pStyle w:val="98"/>
                    <w:widowControl w:val="0"/>
                    <w:kinsoku/>
                    <w:autoSpaceDE/>
                    <w:autoSpaceDN/>
                    <w:adjustRightInd/>
                    <w:snapToGrid/>
                    <w:jc w:val="center"/>
                    <w:textAlignment w:val="auto"/>
                    <w:rPr>
                      <w:rFonts w:hint="default" w:ascii="Times New Roman" w:hAnsi="Times New Roman" w:cs="Times New Roman"/>
                      <w:b/>
                      <w:bCs/>
                      <w:snapToGrid/>
                      <w:color w:val="auto"/>
                      <w:kern w:val="2"/>
                      <w:szCs w:val="24"/>
                      <w:highlight w:val="none"/>
                      <w:lang w:val="en-US" w:eastAsia="zh-CN"/>
                    </w:rPr>
                  </w:pPr>
                  <w:r>
                    <w:rPr>
                      <w:rFonts w:hint="eastAsia" w:ascii="Times New Roman" w:hAnsi="Times New Roman" w:eastAsia="宋体"/>
                      <w:b/>
                      <w:bCs/>
                      <w:color w:val="auto"/>
                      <w:sz w:val="21"/>
                      <w:szCs w:val="21"/>
                      <w:highlight w:val="none"/>
                    </w:rPr>
                    <w:t>h</w:t>
                  </w:r>
                </w:p>
              </w:tc>
              <w:tc>
                <w:tcPr>
                  <w:tcW w:w="541" w:type="pct"/>
                  <w:tcBorders>
                    <w:tl2br w:val="nil"/>
                    <w:tr2bl w:val="nil"/>
                  </w:tcBorders>
                  <w:noWrap w:val="0"/>
                  <w:vAlign w:val="center"/>
                </w:tcPr>
                <w:p w14:paraId="4DD3430F">
                  <w:pPr>
                    <w:pStyle w:val="98"/>
                    <w:widowControl w:val="0"/>
                    <w:kinsoku/>
                    <w:autoSpaceDE/>
                    <w:autoSpaceDN/>
                    <w:adjustRightInd/>
                    <w:snapToGrid/>
                    <w:jc w:val="center"/>
                    <w:textAlignment w:val="auto"/>
                    <w:rPr>
                      <w:rFonts w:hint="default" w:ascii="Times New Roman" w:hAnsi="Times New Roman" w:cs="Times New Roman"/>
                      <w:b/>
                      <w:bCs/>
                      <w:snapToGrid/>
                      <w:color w:val="auto"/>
                      <w:kern w:val="2"/>
                      <w:szCs w:val="24"/>
                      <w:highlight w:val="none"/>
                      <w:lang w:val="en-US" w:eastAsia="zh-CN"/>
                    </w:rPr>
                  </w:pPr>
                  <w:r>
                    <w:rPr>
                      <w:rFonts w:hint="eastAsia" w:ascii="Times New Roman" w:hAnsi="Times New Roman" w:cs="Times New Roman"/>
                      <w:b/>
                      <w:bCs/>
                      <w:snapToGrid/>
                      <w:color w:val="auto"/>
                      <w:kern w:val="2"/>
                      <w:szCs w:val="24"/>
                      <w:highlight w:val="none"/>
                      <w:lang w:val="en-US" w:eastAsia="zh-CN"/>
                    </w:rPr>
                    <w:t>风机风量m</w:t>
                  </w:r>
                  <w:r>
                    <w:rPr>
                      <w:rFonts w:hint="eastAsia" w:ascii="Times New Roman" w:hAnsi="Times New Roman" w:cs="Times New Roman"/>
                      <w:b/>
                      <w:bCs/>
                      <w:snapToGrid/>
                      <w:color w:val="auto"/>
                      <w:kern w:val="2"/>
                      <w:szCs w:val="24"/>
                      <w:highlight w:val="none"/>
                      <w:vertAlign w:val="superscript"/>
                      <w:lang w:val="en-US" w:eastAsia="zh-CN"/>
                    </w:rPr>
                    <w:t>3</w:t>
                  </w:r>
                  <w:r>
                    <w:rPr>
                      <w:rFonts w:hint="eastAsia" w:ascii="Times New Roman" w:hAnsi="Times New Roman" w:cs="Times New Roman"/>
                      <w:b/>
                      <w:bCs/>
                      <w:snapToGrid/>
                      <w:color w:val="auto"/>
                      <w:kern w:val="2"/>
                      <w:szCs w:val="24"/>
                      <w:highlight w:val="none"/>
                      <w:lang w:val="en-US" w:eastAsia="zh-CN"/>
                    </w:rPr>
                    <w:t>/h</w:t>
                  </w:r>
                </w:p>
              </w:tc>
              <w:tc>
                <w:tcPr>
                  <w:tcW w:w="443" w:type="pct"/>
                  <w:tcBorders>
                    <w:tl2br w:val="nil"/>
                    <w:tr2bl w:val="nil"/>
                  </w:tcBorders>
                  <w:noWrap w:val="0"/>
                  <w:vAlign w:val="center"/>
                </w:tcPr>
                <w:p w14:paraId="3EFE17C9">
                  <w:pPr>
                    <w:pStyle w:val="98"/>
                    <w:widowControl w:val="0"/>
                    <w:kinsoku/>
                    <w:autoSpaceDE/>
                    <w:autoSpaceDN/>
                    <w:adjustRightInd/>
                    <w:snapToGrid/>
                    <w:jc w:val="center"/>
                    <w:textAlignment w:val="auto"/>
                    <w:rPr>
                      <w:rFonts w:hint="default" w:ascii="Times New Roman" w:hAnsi="Times New Roman" w:cs="Times New Roman"/>
                      <w:b/>
                      <w:bCs/>
                      <w:snapToGrid/>
                      <w:color w:val="auto"/>
                      <w:kern w:val="2"/>
                      <w:szCs w:val="24"/>
                      <w:highlight w:val="none"/>
                      <w:lang w:val="en-US" w:eastAsia="zh-CN"/>
                    </w:rPr>
                  </w:pPr>
                  <w:r>
                    <w:rPr>
                      <w:rFonts w:hint="eastAsia" w:ascii="Times New Roman" w:hAnsi="Times New Roman" w:cs="Times New Roman"/>
                      <w:b/>
                      <w:bCs/>
                      <w:snapToGrid/>
                      <w:color w:val="auto"/>
                      <w:kern w:val="2"/>
                      <w:szCs w:val="24"/>
                      <w:highlight w:val="none"/>
                      <w:lang w:eastAsia="zh-CN"/>
                    </w:rPr>
                    <w:t>产生量 t/a</w:t>
                  </w:r>
                </w:p>
              </w:tc>
              <w:tc>
                <w:tcPr>
                  <w:tcW w:w="416" w:type="pct"/>
                  <w:tcBorders>
                    <w:tl2br w:val="nil"/>
                    <w:tr2bl w:val="nil"/>
                  </w:tcBorders>
                  <w:noWrap w:val="0"/>
                  <w:vAlign w:val="center"/>
                </w:tcPr>
                <w:p w14:paraId="7A7FFA24">
                  <w:pPr>
                    <w:pStyle w:val="98"/>
                    <w:widowControl w:val="0"/>
                    <w:kinsoku/>
                    <w:autoSpaceDE/>
                    <w:autoSpaceDN/>
                    <w:adjustRightInd/>
                    <w:snapToGrid/>
                    <w:jc w:val="center"/>
                    <w:textAlignment w:val="auto"/>
                    <w:rPr>
                      <w:rFonts w:hint="default" w:ascii="Times New Roman" w:hAnsi="Times New Roman" w:cs="Times New Roman"/>
                      <w:b/>
                      <w:bCs/>
                      <w:snapToGrid/>
                      <w:color w:val="auto"/>
                      <w:kern w:val="2"/>
                      <w:szCs w:val="24"/>
                      <w:highlight w:val="none"/>
                      <w:lang w:val="en-US" w:eastAsia="zh-CN"/>
                    </w:rPr>
                  </w:pPr>
                  <w:r>
                    <w:rPr>
                      <w:rFonts w:hint="eastAsia" w:ascii="Times New Roman" w:hAnsi="Times New Roman" w:cs="Times New Roman"/>
                      <w:b/>
                      <w:bCs/>
                      <w:snapToGrid/>
                      <w:color w:val="auto"/>
                      <w:kern w:val="2"/>
                      <w:szCs w:val="24"/>
                      <w:highlight w:val="none"/>
                      <w:lang w:val="en-US" w:eastAsia="zh-CN"/>
                    </w:rPr>
                    <w:t>产生速率</w:t>
                  </w:r>
                  <w:r>
                    <w:rPr>
                      <w:rFonts w:hint="eastAsia" w:ascii="Times New Roman" w:hAnsi="Times New Roman" w:cs="Times New Roman"/>
                      <w:b/>
                      <w:bCs/>
                      <w:snapToGrid/>
                      <w:color w:val="auto"/>
                      <w:kern w:val="2"/>
                      <w:szCs w:val="24"/>
                      <w:highlight w:val="none"/>
                      <w:lang w:eastAsia="zh-CN"/>
                    </w:rPr>
                    <w:t>kg/h</w:t>
                  </w:r>
                </w:p>
              </w:tc>
              <w:tc>
                <w:tcPr>
                  <w:tcW w:w="521" w:type="pct"/>
                  <w:tcBorders>
                    <w:tl2br w:val="nil"/>
                    <w:tr2bl w:val="nil"/>
                  </w:tcBorders>
                  <w:noWrap w:val="0"/>
                  <w:vAlign w:val="center"/>
                </w:tcPr>
                <w:p w14:paraId="2359D735">
                  <w:pPr>
                    <w:pStyle w:val="98"/>
                    <w:widowControl w:val="0"/>
                    <w:kinsoku/>
                    <w:autoSpaceDE/>
                    <w:autoSpaceDN/>
                    <w:adjustRightInd/>
                    <w:snapToGrid/>
                    <w:jc w:val="center"/>
                    <w:textAlignment w:val="auto"/>
                    <w:rPr>
                      <w:rFonts w:hint="eastAsia" w:ascii="Times New Roman" w:hAnsi="Times New Roman" w:cs="Times New Roman"/>
                      <w:b/>
                      <w:bCs/>
                      <w:snapToGrid/>
                      <w:color w:val="auto"/>
                      <w:kern w:val="2"/>
                      <w:szCs w:val="24"/>
                      <w:highlight w:val="none"/>
                      <w:lang w:eastAsia="zh-CN"/>
                    </w:rPr>
                  </w:pPr>
                  <w:r>
                    <w:rPr>
                      <w:rFonts w:hint="eastAsia" w:ascii="Times New Roman" w:hAnsi="Times New Roman" w:cs="Times New Roman"/>
                      <w:b/>
                      <w:bCs/>
                      <w:snapToGrid/>
                      <w:color w:val="auto"/>
                      <w:kern w:val="2"/>
                      <w:szCs w:val="24"/>
                      <w:highlight w:val="none"/>
                      <w:lang w:val="en-US" w:eastAsia="zh-CN"/>
                    </w:rPr>
                    <w:t>产生</w:t>
                  </w:r>
                  <w:r>
                    <w:rPr>
                      <w:rFonts w:hint="eastAsia" w:ascii="Times New Roman" w:hAnsi="Times New Roman" w:cs="Times New Roman"/>
                      <w:b/>
                      <w:bCs/>
                      <w:snapToGrid/>
                      <w:color w:val="auto"/>
                      <w:kern w:val="2"/>
                      <w:szCs w:val="24"/>
                      <w:highlight w:val="none"/>
                      <w:lang w:eastAsia="zh-CN"/>
                    </w:rPr>
                    <w:t>浓度</w:t>
                  </w:r>
                </w:p>
                <w:p w14:paraId="33700CC0">
                  <w:pPr>
                    <w:pStyle w:val="98"/>
                    <w:widowControl w:val="0"/>
                    <w:kinsoku/>
                    <w:autoSpaceDE/>
                    <w:autoSpaceDN/>
                    <w:adjustRightInd/>
                    <w:snapToGrid/>
                    <w:jc w:val="center"/>
                    <w:textAlignment w:val="auto"/>
                    <w:rPr>
                      <w:rFonts w:hint="eastAsia" w:ascii="Times New Roman" w:hAnsi="Times New Roman" w:cs="Times New Roman"/>
                      <w:b/>
                      <w:bCs/>
                      <w:snapToGrid/>
                      <w:color w:val="auto"/>
                      <w:kern w:val="2"/>
                      <w:szCs w:val="24"/>
                      <w:highlight w:val="none"/>
                      <w:lang w:val="en-US" w:eastAsia="zh-CN"/>
                    </w:rPr>
                  </w:pPr>
                  <w:r>
                    <w:rPr>
                      <w:rFonts w:hint="eastAsia" w:ascii="Times New Roman" w:hAnsi="Times New Roman" w:cs="Times New Roman"/>
                      <w:b/>
                      <w:bCs/>
                      <w:snapToGrid/>
                      <w:color w:val="auto"/>
                      <w:kern w:val="2"/>
                      <w:szCs w:val="24"/>
                      <w:highlight w:val="none"/>
                      <w:lang w:eastAsia="zh-CN"/>
                    </w:rPr>
                    <w:t>mg/ m</w:t>
                  </w:r>
                  <w:r>
                    <w:rPr>
                      <w:rFonts w:hint="eastAsia" w:ascii="Times New Roman" w:hAnsi="Times New Roman" w:cs="Times New Roman"/>
                      <w:b/>
                      <w:bCs/>
                      <w:snapToGrid/>
                      <w:color w:val="auto"/>
                      <w:kern w:val="2"/>
                      <w:szCs w:val="24"/>
                      <w:highlight w:val="none"/>
                      <w:vertAlign w:val="superscript"/>
                      <w:lang w:eastAsia="zh-CN"/>
                    </w:rPr>
                    <w:t>3</w:t>
                  </w:r>
                </w:p>
              </w:tc>
              <w:tc>
                <w:tcPr>
                  <w:tcW w:w="521" w:type="pct"/>
                  <w:tcBorders>
                    <w:tl2br w:val="nil"/>
                    <w:tr2bl w:val="nil"/>
                  </w:tcBorders>
                  <w:noWrap w:val="0"/>
                  <w:vAlign w:val="center"/>
                </w:tcPr>
                <w:p w14:paraId="71B4C2F1">
                  <w:pPr>
                    <w:pStyle w:val="98"/>
                    <w:widowControl w:val="0"/>
                    <w:kinsoku/>
                    <w:autoSpaceDE/>
                    <w:autoSpaceDN/>
                    <w:adjustRightInd/>
                    <w:snapToGrid/>
                    <w:jc w:val="center"/>
                    <w:textAlignment w:val="auto"/>
                    <w:rPr>
                      <w:rFonts w:hint="eastAsia" w:ascii="Times New Roman" w:hAnsi="Times New Roman" w:cs="Times New Roman"/>
                      <w:b/>
                      <w:bCs/>
                      <w:snapToGrid/>
                      <w:color w:val="auto"/>
                      <w:kern w:val="2"/>
                      <w:szCs w:val="24"/>
                      <w:highlight w:val="none"/>
                      <w:lang w:eastAsia="zh-CN"/>
                    </w:rPr>
                  </w:pPr>
                  <w:r>
                    <w:rPr>
                      <w:rFonts w:hint="eastAsia" w:ascii="Times New Roman" w:hAnsi="Times New Roman" w:cs="Times New Roman"/>
                      <w:b/>
                      <w:bCs/>
                      <w:snapToGrid/>
                      <w:color w:val="auto"/>
                      <w:kern w:val="2"/>
                      <w:szCs w:val="24"/>
                      <w:highlight w:val="none"/>
                      <w:lang w:eastAsia="zh-CN"/>
                    </w:rPr>
                    <w:t>治理措施及处理效率</w:t>
                  </w:r>
                </w:p>
              </w:tc>
              <w:tc>
                <w:tcPr>
                  <w:tcW w:w="443" w:type="pct"/>
                  <w:tcBorders>
                    <w:tl2br w:val="nil"/>
                    <w:tr2bl w:val="nil"/>
                  </w:tcBorders>
                  <w:noWrap w:val="0"/>
                  <w:vAlign w:val="center"/>
                </w:tcPr>
                <w:p w14:paraId="520B67E2">
                  <w:pPr>
                    <w:pStyle w:val="98"/>
                    <w:widowControl w:val="0"/>
                    <w:kinsoku/>
                    <w:autoSpaceDE/>
                    <w:autoSpaceDN/>
                    <w:adjustRightInd/>
                    <w:snapToGrid/>
                    <w:jc w:val="center"/>
                    <w:textAlignment w:val="auto"/>
                    <w:rPr>
                      <w:rFonts w:hint="eastAsia" w:ascii="Times New Roman" w:hAnsi="Times New Roman" w:cs="Times New Roman"/>
                      <w:b/>
                      <w:bCs/>
                      <w:snapToGrid/>
                      <w:color w:val="auto"/>
                      <w:kern w:val="2"/>
                      <w:szCs w:val="24"/>
                      <w:highlight w:val="none"/>
                      <w:lang w:eastAsia="zh-CN"/>
                    </w:rPr>
                  </w:pPr>
                  <w:r>
                    <w:rPr>
                      <w:rFonts w:hint="eastAsia" w:ascii="Times New Roman" w:hAnsi="Times New Roman" w:cs="Times New Roman"/>
                      <w:b/>
                      <w:bCs/>
                      <w:snapToGrid/>
                      <w:color w:val="auto"/>
                      <w:kern w:val="2"/>
                      <w:szCs w:val="24"/>
                      <w:highlight w:val="none"/>
                      <w:lang w:eastAsia="zh-CN"/>
                    </w:rPr>
                    <w:t>排放量t/a</w:t>
                  </w:r>
                </w:p>
              </w:tc>
              <w:tc>
                <w:tcPr>
                  <w:tcW w:w="365" w:type="pct"/>
                  <w:tcBorders>
                    <w:tl2br w:val="nil"/>
                    <w:tr2bl w:val="nil"/>
                  </w:tcBorders>
                  <w:noWrap w:val="0"/>
                  <w:vAlign w:val="center"/>
                </w:tcPr>
                <w:p w14:paraId="581F6989">
                  <w:pPr>
                    <w:pStyle w:val="98"/>
                    <w:widowControl w:val="0"/>
                    <w:kinsoku/>
                    <w:autoSpaceDE/>
                    <w:autoSpaceDN/>
                    <w:adjustRightInd/>
                    <w:snapToGrid/>
                    <w:jc w:val="center"/>
                    <w:textAlignment w:val="auto"/>
                    <w:rPr>
                      <w:rFonts w:hint="eastAsia" w:ascii="Times New Roman" w:hAnsi="Times New Roman" w:cs="Times New Roman"/>
                      <w:b/>
                      <w:bCs/>
                      <w:snapToGrid/>
                      <w:color w:val="auto"/>
                      <w:kern w:val="2"/>
                      <w:szCs w:val="24"/>
                      <w:highlight w:val="none"/>
                      <w:lang w:eastAsia="zh-CN"/>
                    </w:rPr>
                  </w:pPr>
                  <w:r>
                    <w:rPr>
                      <w:rFonts w:hint="eastAsia" w:ascii="Times New Roman" w:hAnsi="Times New Roman" w:cs="Times New Roman"/>
                      <w:b/>
                      <w:bCs/>
                      <w:snapToGrid/>
                      <w:color w:val="auto"/>
                      <w:kern w:val="2"/>
                      <w:szCs w:val="24"/>
                      <w:highlight w:val="none"/>
                      <w:lang w:eastAsia="zh-CN"/>
                    </w:rPr>
                    <w:t>排放速率kg/h</w:t>
                  </w:r>
                </w:p>
              </w:tc>
              <w:tc>
                <w:tcPr>
                  <w:tcW w:w="409" w:type="pct"/>
                  <w:tcBorders>
                    <w:tl2br w:val="nil"/>
                    <w:tr2bl w:val="nil"/>
                  </w:tcBorders>
                  <w:noWrap w:val="0"/>
                  <w:vAlign w:val="center"/>
                </w:tcPr>
                <w:p w14:paraId="1C3A93EB">
                  <w:pPr>
                    <w:pStyle w:val="98"/>
                    <w:widowControl w:val="0"/>
                    <w:kinsoku/>
                    <w:autoSpaceDE/>
                    <w:autoSpaceDN/>
                    <w:adjustRightInd/>
                    <w:snapToGrid/>
                    <w:jc w:val="center"/>
                    <w:textAlignment w:val="auto"/>
                    <w:rPr>
                      <w:rFonts w:hint="eastAsia" w:ascii="Times New Roman" w:hAnsi="Times New Roman" w:cs="Times New Roman"/>
                      <w:b/>
                      <w:bCs/>
                      <w:snapToGrid/>
                      <w:color w:val="auto"/>
                      <w:kern w:val="2"/>
                      <w:szCs w:val="24"/>
                      <w:highlight w:val="none"/>
                      <w:lang w:eastAsia="zh-CN"/>
                    </w:rPr>
                  </w:pPr>
                  <w:r>
                    <w:rPr>
                      <w:rFonts w:hint="eastAsia" w:ascii="Times New Roman" w:hAnsi="Times New Roman" w:cs="Times New Roman"/>
                      <w:b/>
                      <w:bCs/>
                      <w:snapToGrid/>
                      <w:color w:val="auto"/>
                      <w:kern w:val="2"/>
                      <w:szCs w:val="24"/>
                      <w:highlight w:val="none"/>
                      <w:lang w:eastAsia="zh-CN"/>
                    </w:rPr>
                    <w:t>排放浓度</w:t>
                  </w:r>
                </w:p>
                <w:p w14:paraId="6C14F121">
                  <w:pPr>
                    <w:pStyle w:val="98"/>
                    <w:widowControl w:val="0"/>
                    <w:kinsoku/>
                    <w:autoSpaceDE/>
                    <w:autoSpaceDN/>
                    <w:adjustRightInd/>
                    <w:snapToGrid/>
                    <w:jc w:val="center"/>
                    <w:textAlignment w:val="auto"/>
                    <w:rPr>
                      <w:rFonts w:hint="eastAsia" w:ascii="Times New Roman" w:hAnsi="Times New Roman" w:cs="Times New Roman"/>
                      <w:b/>
                      <w:bCs/>
                      <w:snapToGrid/>
                      <w:color w:val="auto"/>
                      <w:kern w:val="2"/>
                      <w:szCs w:val="24"/>
                      <w:highlight w:val="none"/>
                      <w:lang w:eastAsia="zh-CN"/>
                    </w:rPr>
                  </w:pPr>
                  <w:r>
                    <w:rPr>
                      <w:rFonts w:hint="eastAsia" w:ascii="Times New Roman" w:hAnsi="Times New Roman" w:cs="Times New Roman"/>
                      <w:b/>
                      <w:bCs/>
                      <w:snapToGrid/>
                      <w:color w:val="auto"/>
                      <w:kern w:val="2"/>
                      <w:szCs w:val="24"/>
                      <w:highlight w:val="none"/>
                      <w:lang w:eastAsia="zh-CN"/>
                    </w:rPr>
                    <w:t>mg/ m</w:t>
                  </w:r>
                  <w:r>
                    <w:rPr>
                      <w:rFonts w:hint="eastAsia" w:ascii="Times New Roman" w:hAnsi="Times New Roman" w:cs="Times New Roman"/>
                      <w:b/>
                      <w:bCs/>
                      <w:snapToGrid/>
                      <w:color w:val="auto"/>
                      <w:kern w:val="2"/>
                      <w:szCs w:val="24"/>
                      <w:highlight w:val="none"/>
                      <w:vertAlign w:val="superscript"/>
                      <w:lang w:eastAsia="zh-CN"/>
                    </w:rPr>
                    <w:t>3</w:t>
                  </w:r>
                </w:p>
              </w:tc>
            </w:tr>
            <w:tr w14:paraId="1C985FB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74" w:hRule="atLeast"/>
                <w:jc w:val="center"/>
              </w:trPr>
              <w:tc>
                <w:tcPr>
                  <w:tcW w:w="393" w:type="pct"/>
                  <w:tcBorders>
                    <w:tl2br w:val="nil"/>
                    <w:tr2bl w:val="nil"/>
                  </w:tcBorders>
                  <w:noWrap w:val="0"/>
                  <w:vAlign w:val="center"/>
                </w:tcPr>
                <w:p w14:paraId="4B615D8D">
                  <w:pPr>
                    <w:pStyle w:val="98"/>
                    <w:widowControl w:val="0"/>
                    <w:kinsoku/>
                    <w:autoSpaceDE/>
                    <w:autoSpaceDN/>
                    <w:adjustRightInd/>
                    <w:snapToGrid/>
                    <w:jc w:val="center"/>
                    <w:textAlignment w:val="auto"/>
                    <w:rPr>
                      <w:rFonts w:hint="eastAsia" w:ascii="Times New Roman" w:hAnsi="Times New Roman" w:eastAsia="宋体" w:cs="Times New Roman"/>
                      <w:snapToGrid/>
                      <w:color w:val="auto"/>
                      <w:kern w:val="2"/>
                      <w:szCs w:val="24"/>
                      <w:highlight w:val="none"/>
                      <w:lang w:eastAsia="zh-CN"/>
                    </w:rPr>
                  </w:pPr>
                  <w:r>
                    <w:rPr>
                      <w:rFonts w:hint="eastAsia" w:ascii="Times New Roman" w:hAnsi="Times New Roman" w:eastAsia="宋体" w:cs="Times New Roman"/>
                      <w:snapToGrid/>
                      <w:color w:val="auto"/>
                      <w:kern w:val="2"/>
                      <w:szCs w:val="24"/>
                      <w:highlight w:val="none"/>
                      <w:lang w:eastAsia="zh-CN"/>
                    </w:rPr>
                    <w:t>颗粒物</w:t>
                  </w:r>
                </w:p>
              </w:tc>
              <w:tc>
                <w:tcPr>
                  <w:tcW w:w="402" w:type="pct"/>
                  <w:vMerge w:val="restart"/>
                  <w:tcBorders>
                    <w:tl2br w:val="nil"/>
                    <w:tr2bl w:val="nil"/>
                  </w:tcBorders>
                  <w:noWrap w:val="0"/>
                  <w:vAlign w:val="center"/>
                </w:tcPr>
                <w:p w14:paraId="69E050E8">
                  <w:pPr>
                    <w:pStyle w:val="98"/>
                    <w:widowControl w:val="0"/>
                    <w:kinsoku/>
                    <w:autoSpaceDE/>
                    <w:autoSpaceDN/>
                    <w:adjustRightInd/>
                    <w:snapToGrid/>
                    <w:jc w:val="center"/>
                    <w:textAlignment w:val="auto"/>
                    <w:rPr>
                      <w:rFonts w:hint="eastAsia" w:ascii="Times New Roman" w:hAnsi="Times New Roman" w:cs="Times New Roman"/>
                      <w:snapToGrid/>
                      <w:color w:val="auto"/>
                      <w:kern w:val="2"/>
                      <w:szCs w:val="24"/>
                      <w:highlight w:val="none"/>
                      <w:lang w:eastAsia="zh-CN"/>
                    </w:rPr>
                  </w:pPr>
                  <w:r>
                    <w:rPr>
                      <w:rFonts w:hint="eastAsia" w:ascii="Times New Roman" w:hAnsi="Times New Roman" w:cs="Times New Roman"/>
                      <w:snapToGrid/>
                      <w:color w:val="auto"/>
                      <w:kern w:val="2"/>
                      <w:szCs w:val="24"/>
                      <w:highlight w:val="none"/>
                      <w:lang w:eastAsia="zh-CN"/>
                    </w:rPr>
                    <w:t>有组织</w:t>
                  </w:r>
                </w:p>
              </w:tc>
              <w:tc>
                <w:tcPr>
                  <w:tcW w:w="541" w:type="pct"/>
                  <w:vMerge w:val="restart"/>
                  <w:tcBorders>
                    <w:tl2br w:val="nil"/>
                    <w:tr2bl w:val="nil"/>
                  </w:tcBorders>
                  <w:noWrap w:val="0"/>
                  <w:vAlign w:val="center"/>
                </w:tcPr>
                <w:p w14:paraId="7EB7BBF7">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3840</w:t>
                  </w:r>
                </w:p>
              </w:tc>
              <w:tc>
                <w:tcPr>
                  <w:tcW w:w="541" w:type="pct"/>
                  <w:vMerge w:val="restart"/>
                  <w:tcBorders>
                    <w:tl2br w:val="nil"/>
                    <w:tr2bl w:val="nil"/>
                  </w:tcBorders>
                  <w:noWrap w:val="0"/>
                  <w:vAlign w:val="center"/>
                </w:tcPr>
                <w:p w14:paraId="1B1928F3">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3000</w:t>
                  </w:r>
                </w:p>
              </w:tc>
              <w:tc>
                <w:tcPr>
                  <w:tcW w:w="443" w:type="pct"/>
                  <w:tcBorders>
                    <w:tl2br w:val="nil"/>
                    <w:tr2bl w:val="nil"/>
                  </w:tcBorders>
                  <w:noWrap w:val="0"/>
                  <w:vAlign w:val="center"/>
                </w:tcPr>
                <w:p w14:paraId="6BA6D02D">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4.3</w:t>
                  </w:r>
                  <w:r>
                    <w:rPr>
                      <w:rFonts w:hint="eastAsia" w:cs="Times New Roman"/>
                      <w:snapToGrid/>
                      <w:color w:val="auto"/>
                      <w:kern w:val="2"/>
                      <w:szCs w:val="24"/>
                      <w:highlight w:val="none"/>
                      <w:lang w:val="en-US" w:eastAsia="zh-CN"/>
                    </w:rPr>
                    <w:t>7</w:t>
                  </w:r>
                  <w:r>
                    <w:rPr>
                      <w:rFonts w:hint="eastAsia" w:ascii="Times New Roman" w:hAnsi="Times New Roman" w:cs="Times New Roman"/>
                      <w:snapToGrid/>
                      <w:color w:val="auto"/>
                      <w:kern w:val="2"/>
                      <w:szCs w:val="24"/>
                      <w:highlight w:val="none"/>
                      <w:lang w:val="en-US" w:eastAsia="zh-CN"/>
                    </w:rPr>
                    <w:t>2</w:t>
                  </w:r>
                </w:p>
              </w:tc>
              <w:tc>
                <w:tcPr>
                  <w:tcW w:w="416" w:type="pct"/>
                  <w:tcBorders>
                    <w:tl2br w:val="nil"/>
                    <w:tr2bl w:val="nil"/>
                  </w:tcBorders>
                  <w:noWrap w:val="0"/>
                  <w:vAlign w:val="center"/>
                </w:tcPr>
                <w:p w14:paraId="0DBA9821">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1.14</w:t>
                  </w:r>
                </w:p>
              </w:tc>
              <w:tc>
                <w:tcPr>
                  <w:tcW w:w="521" w:type="pct"/>
                  <w:tcBorders>
                    <w:tl2br w:val="nil"/>
                    <w:tr2bl w:val="nil"/>
                  </w:tcBorders>
                  <w:noWrap w:val="0"/>
                  <w:vAlign w:val="center"/>
                </w:tcPr>
                <w:p w14:paraId="409C5FFF">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380</w:t>
                  </w:r>
                </w:p>
              </w:tc>
              <w:tc>
                <w:tcPr>
                  <w:tcW w:w="521" w:type="pct"/>
                  <w:tcBorders>
                    <w:tl2br w:val="nil"/>
                    <w:tr2bl w:val="nil"/>
                  </w:tcBorders>
                  <w:noWrap w:val="0"/>
                  <w:vAlign w:val="center"/>
                </w:tcPr>
                <w:p w14:paraId="7ACF8AA8">
                  <w:pPr>
                    <w:pStyle w:val="98"/>
                    <w:widowControl w:val="0"/>
                    <w:kinsoku/>
                    <w:autoSpaceDE/>
                    <w:autoSpaceDN/>
                    <w:adjustRightInd/>
                    <w:snapToGrid/>
                    <w:jc w:val="center"/>
                    <w:textAlignment w:val="auto"/>
                    <w:rPr>
                      <w:rFonts w:hint="eastAsia" w:ascii="Times New Roman" w:hAnsi="Times New Roman" w:cs="Times New Roman"/>
                      <w:snapToGrid/>
                      <w:color w:val="auto"/>
                      <w:kern w:val="2"/>
                      <w:szCs w:val="24"/>
                      <w:highlight w:val="none"/>
                      <w:lang w:eastAsia="zh-CN"/>
                    </w:rPr>
                  </w:pPr>
                  <w:r>
                    <w:rPr>
                      <w:rFonts w:hint="eastAsia" w:ascii="Times New Roman" w:hAnsi="Times New Roman" w:cs="Times New Roman"/>
                      <w:snapToGrid/>
                      <w:color w:val="auto"/>
                      <w:kern w:val="2"/>
                      <w:szCs w:val="24"/>
                      <w:highlight w:val="none"/>
                      <w:lang w:eastAsia="zh-CN"/>
                    </w:rPr>
                    <w:t>袋式除尘  器（9</w:t>
                  </w:r>
                  <w:r>
                    <w:rPr>
                      <w:rFonts w:hint="eastAsia" w:ascii="Times New Roman" w:hAnsi="Times New Roman" w:cs="Times New Roman"/>
                      <w:snapToGrid/>
                      <w:color w:val="auto"/>
                      <w:kern w:val="2"/>
                      <w:szCs w:val="24"/>
                      <w:highlight w:val="none"/>
                      <w:lang w:val="en-US" w:eastAsia="zh-CN"/>
                    </w:rPr>
                    <w:t>9.7</w:t>
                  </w:r>
                  <w:r>
                    <w:rPr>
                      <w:rFonts w:hint="eastAsia" w:ascii="Times New Roman" w:hAnsi="Times New Roman" w:cs="Times New Roman"/>
                      <w:snapToGrid/>
                      <w:color w:val="auto"/>
                      <w:kern w:val="2"/>
                      <w:szCs w:val="24"/>
                      <w:highlight w:val="none"/>
                      <w:lang w:eastAsia="zh-CN"/>
                    </w:rPr>
                    <w:t>%）</w:t>
                  </w:r>
                </w:p>
              </w:tc>
              <w:tc>
                <w:tcPr>
                  <w:tcW w:w="443" w:type="pct"/>
                  <w:tcBorders>
                    <w:tl2br w:val="nil"/>
                    <w:tr2bl w:val="nil"/>
                  </w:tcBorders>
                  <w:noWrap w:val="0"/>
                  <w:vAlign w:val="center"/>
                </w:tcPr>
                <w:p w14:paraId="1DC8ADA7">
                  <w:pPr>
                    <w:pStyle w:val="98"/>
                    <w:widowControl w:val="0"/>
                    <w:kinsoku/>
                    <w:autoSpaceDE/>
                    <w:autoSpaceDN/>
                    <w:adjustRightInd/>
                    <w:snapToGrid/>
                    <w:ind w:firstLine="0" w:firstLineChars="0"/>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0.013</w:t>
                  </w:r>
                </w:p>
              </w:tc>
              <w:tc>
                <w:tcPr>
                  <w:tcW w:w="365" w:type="pct"/>
                  <w:tcBorders>
                    <w:tl2br w:val="nil"/>
                    <w:tr2bl w:val="nil"/>
                  </w:tcBorders>
                  <w:noWrap w:val="0"/>
                  <w:vAlign w:val="center"/>
                </w:tcPr>
                <w:p w14:paraId="3451F7A5">
                  <w:pPr>
                    <w:pStyle w:val="98"/>
                    <w:widowControl w:val="0"/>
                    <w:kinsoku/>
                    <w:autoSpaceDE/>
                    <w:autoSpaceDN/>
                    <w:adjustRightInd/>
                    <w:snapToGrid/>
                    <w:ind w:firstLine="0" w:firstLineChars="0"/>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0.0034</w:t>
                  </w:r>
                </w:p>
              </w:tc>
              <w:tc>
                <w:tcPr>
                  <w:tcW w:w="409" w:type="pct"/>
                  <w:tcBorders>
                    <w:tl2br w:val="nil"/>
                    <w:tr2bl w:val="nil"/>
                  </w:tcBorders>
                  <w:noWrap w:val="0"/>
                  <w:vAlign w:val="center"/>
                </w:tcPr>
                <w:p w14:paraId="294FBEB4">
                  <w:pPr>
                    <w:pStyle w:val="98"/>
                    <w:widowControl w:val="0"/>
                    <w:kinsoku/>
                    <w:autoSpaceDE/>
                    <w:autoSpaceDN/>
                    <w:adjustRightInd/>
                    <w:snapToGrid/>
                    <w:ind w:firstLine="0" w:firstLineChars="0"/>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1.13</w:t>
                  </w:r>
                </w:p>
              </w:tc>
            </w:tr>
            <w:tr w14:paraId="05DAEB7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jc w:val="center"/>
              </w:trPr>
              <w:tc>
                <w:tcPr>
                  <w:tcW w:w="393" w:type="pct"/>
                  <w:tcBorders>
                    <w:tl2br w:val="nil"/>
                    <w:tr2bl w:val="nil"/>
                  </w:tcBorders>
                  <w:noWrap w:val="0"/>
                  <w:vAlign w:val="center"/>
                </w:tcPr>
                <w:p w14:paraId="301259D0">
                  <w:pPr>
                    <w:pStyle w:val="98"/>
                    <w:widowControl w:val="0"/>
                    <w:kinsoku/>
                    <w:autoSpaceDE/>
                    <w:autoSpaceDN/>
                    <w:adjustRightInd/>
                    <w:snapToGrid/>
                    <w:jc w:val="center"/>
                    <w:textAlignment w:val="auto"/>
                    <w:rPr>
                      <w:rFonts w:hint="eastAsia" w:ascii="Times New Roman" w:hAnsi="Times New Roman" w:eastAsia="宋体" w:cs="Times New Roman"/>
                      <w:snapToGrid/>
                      <w:color w:val="auto"/>
                      <w:kern w:val="2"/>
                      <w:szCs w:val="24"/>
                      <w:highlight w:val="none"/>
                      <w:lang w:eastAsia="zh-CN"/>
                    </w:rPr>
                  </w:pPr>
                  <w:r>
                    <w:rPr>
                      <w:rFonts w:hint="eastAsia" w:ascii="Times New Roman" w:hAnsi="Times New Roman" w:eastAsia="宋体" w:cs="Times New Roman"/>
                      <w:snapToGrid/>
                      <w:color w:val="auto"/>
                      <w:kern w:val="2"/>
                      <w:szCs w:val="24"/>
                      <w:highlight w:val="none"/>
                      <w:lang w:eastAsia="zh-CN"/>
                    </w:rPr>
                    <w:t>SO</w:t>
                  </w:r>
                  <w:r>
                    <w:rPr>
                      <w:rFonts w:hint="eastAsia" w:ascii="Times New Roman" w:hAnsi="Times New Roman" w:eastAsia="宋体" w:cs="Times New Roman"/>
                      <w:snapToGrid/>
                      <w:color w:val="auto"/>
                      <w:kern w:val="2"/>
                      <w:szCs w:val="24"/>
                      <w:highlight w:val="none"/>
                      <w:vertAlign w:val="subscript"/>
                      <w:lang w:eastAsia="zh-CN"/>
                    </w:rPr>
                    <w:t>2</w:t>
                  </w:r>
                </w:p>
              </w:tc>
              <w:tc>
                <w:tcPr>
                  <w:tcW w:w="402" w:type="pct"/>
                  <w:vMerge w:val="continue"/>
                  <w:tcBorders>
                    <w:tl2br w:val="nil"/>
                    <w:tr2bl w:val="nil"/>
                  </w:tcBorders>
                  <w:noWrap w:val="0"/>
                  <w:vAlign w:val="center"/>
                </w:tcPr>
                <w:p w14:paraId="3D809CBA">
                  <w:pPr>
                    <w:pStyle w:val="98"/>
                    <w:widowControl w:val="0"/>
                    <w:kinsoku/>
                    <w:autoSpaceDE/>
                    <w:autoSpaceDN/>
                    <w:adjustRightInd/>
                    <w:snapToGrid/>
                    <w:jc w:val="center"/>
                    <w:textAlignment w:val="auto"/>
                    <w:rPr>
                      <w:rFonts w:hint="eastAsia" w:ascii="Times New Roman" w:hAnsi="Times New Roman" w:cs="Times New Roman"/>
                      <w:snapToGrid/>
                      <w:color w:val="auto"/>
                      <w:kern w:val="2"/>
                      <w:szCs w:val="24"/>
                      <w:highlight w:val="none"/>
                      <w:lang w:eastAsia="zh-CN"/>
                    </w:rPr>
                  </w:pPr>
                </w:p>
              </w:tc>
              <w:tc>
                <w:tcPr>
                  <w:tcW w:w="541" w:type="pct"/>
                  <w:vMerge w:val="continue"/>
                  <w:tcBorders>
                    <w:tl2br w:val="nil"/>
                    <w:tr2bl w:val="nil"/>
                  </w:tcBorders>
                  <w:noWrap w:val="0"/>
                  <w:vAlign w:val="center"/>
                </w:tcPr>
                <w:p w14:paraId="40B7567A">
                  <w:pPr>
                    <w:pStyle w:val="98"/>
                    <w:widowControl w:val="0"/>
                    <w:kinsoku/>
                    <w:autoSpaceDE/>
                    <w:autoSpaceDN/>
                    <w:adjustRightInd/>
                    <w:snapToGrid/>
                    <w:jc w:val="center"/>
                    <w:textAlignment w:val="auto"/>
                    <w:rPr>
                      <w:rFonts w:hint="eastAsia" w:ascii="Times New Roman" w:hAnsi="Times New Roman" w:cs="Times New Roman"/>
                      <w:snapToGrid/>
                      <w:color w:val="auto"/>
                      <w:kern w:val="2"/>
                      <w:szCs w:val="24"/>
                      <w:highlight w:val="none"/>
                      <w:lang w:eastAsia="zh-CN"/>
                    </w:rPr>
                  </w:pPr>
                </w:p>
              </w:tc>
              <w:tc>
                <w:tcPr>
                  <w:tcW w:w="541" w:type="pct"/>
                  <w:vMerge w:val="continue"/>
                  <w:tcBorders>
                    <w:tl2br w:val="nil"/>
                    <w:tr2bl w:val="nil"/>
                  </w:tcBorders>
                  <w:noWrap w:val="0"/>
                  <w:vAlign w:val="center"/>
                </w:tcPr>
                <w:p w14:paraId="24F3D289">
                  <w:pPr>
                    <w:pStyle w:val="98"/>
                    <w:widowControl w:val="0"/>
                    <w:kinsoku/>
                    <w:autoSpaceDE/>
                    <w:autoSpaceDN/>
                    <w:adjustRightInd/>
                    <w:snapToGrid/>
                    <w:jc w:val="center"/>
                    <w:textAlignment w:val="auto"/>
                    <w:rPr>
                      <w:rFonts w:hint="eastAsia" w:ascii="Times New Roman" w:hAnsi="Times New Roman" w:cs="Times New Roman"/>
                      <w:snapToGrid/>
                      <w:color w:val="auto"/>
                      <w:kern w:val="2"/>
                      <w:szCs w:val="24"/>
                      <w:highlight w:val="none"/>
                      <w:lang w:eastAsia="zh-CN"/>
                    </w:rPr>
                  </w:pPr>
                </w:p>
              </w:tc>
              <w:tc>
                <w:tcPr>
                  <w:tcW w:w="443" w:type="pct"/>
                  <w:tcBorders>
                    <w:tl2br w:val="nil"/>
                    <w:tr2bl w:val="nil"/>
                  </w:tcBorders>
                  <w:noWrap w:val="0"/>
                  <w:vAlign w:val="center"/>
                </w:tcPr>
                <w:p w14:paraId="49C8BF13">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0.06</w:t>
                  </w:r>
                </w:p>
              </w:tc>
              <w:tc>
                <w:tcPr>
                  <w:tcW w:w="416" w:type="pct"/>
                  <w:tcBorders>
                    <w:tl2br w:val="nil"/>
                    <w:tr2bl w:val="nil"/>
                  </w:tcBorders>
                  <w:noWrap w:val="0"/>
                  <w:vAlign w:val="center"/>
                </w:tcPr>
                <w:p w14:paraId="70D56AF5">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0.016</w:t>
                  </w:r>
                </w:p>
              </w:tc>
              <w:tc>
                <w:tcPr>
                  <w:tcW w:w="875" w:type="dxa"/>
                  <w:tcBorders>
                    <w:tl2br w:val="nil"/>
                    <w:tr2bl w:val="nil"/>
                  </w:tcBorders>
                  <w:noWrap w:val="0"/>
                  <w:vAlign w:val="center"/>
                </w:tcPr>
                <w:p w14:paraId="25BEF77B">
                  <w:pPr>
                    <w:pStyle w:val="98"/>
                    <w:widowControl w:val="0"/>
                    <w:kinsoku/>
                    <w:autoSpaceDE/>
                    <w:autoSpaceDN/>
                    <w:adjustRightInd/>
                    <w:snapToGrid/>
                    <w:ind w:firstLine="0" w:firstLineChars="0"/>
                    <w:jc w:val="center"/>
                    <w:textAlignment w:val="auto"/>
                    <w:rPr>
                      <w:rFonts w:hint="eastAsia"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5.33</w:t>
                  </w:r>
                </w:p>
              </w:tc>
              <w:tc>
                <w:tcPr>
                  <w:tcW w:w="521" w:type="pct"/>
                  <w:tcBorders>
                    <w:tl2br w:val="nil"/>
                    <w:tr2bl w:val="nil"/>
                  </w:tcBorders>
                  <w:noWrap w:val="0"/>
                  <w:vAlign w:val="center"/>
                </w:tcPr>
                <w:p w14:paraId="44465A84">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w:t>
                  </w:r>
                </w:p>
              </w:tc>
              <w:tc>
                <w:tcPr>
                  <w:tcW w:w="443" w:type="pct"/>
                  <w:tcBorders>
                    <w:tl2br w:val="nil"/>
                    <w:tr2bl w:val="nil"/>
                  </w:tcBorders>
                  <w:noWrap w:val="0"/>
                  <w:vAlign w:val="center"/>
                </w:tcPr>
                <w:p w14:paraId="1B477A7E">
                  <w:pPr>
                    <w:pStyle w:val="98"/>
                    <w:widowControl w:val="0"/>
                    <w:kinsoku/>
                    <w:autoSpaceDE/>
                    <w:autoSpaceDN/>
                    <w:adjustRightInd/>
                    <w:snapToGrid/>
                    <w:ind w:firstLine="0" w:firstLineChars="0"/>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0.06</w:t>
                  </w:r>
                </w:p>
              </w:tc>
              <w:tc>
                <w:tcPr>
                  <w:tcW w:w="365" w:type="pct"/>
                  <w:tcBorders>
                    <w:tl2br w:val="nil"/>
                    <w:tr2bl w:val="nil"/>
                  </w:tcBorders>
                  <w:noWrap w:val="0"/>
                  <w:vAlign w:val="center"/>
                </w:tcPr>
                <w:p w14:paraId="53D5A073">
                  <w:pPr>
                    <w:pStyle w:val="98"/>
                    <w:widowControl w:val="0"/>
                    <w:kinsoku/>
                    <w:autoSpaceDE/>
                    <w:autoSpaceDN/>
                    <w:adjustRightInd/>
                    <w:snapToGrid/>
                    <w:ind w:firstLine="0" w:firstLineChars="0"/>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0.016</w:t>
                  </w:r>
                </w:p>
              </w:tc>
              <w:tc>
                <w:tcPr>
                  <w:tcW w:w="409" w:type="pct"/>
                  <w:tcBorders>
                    <w:tl2br w:val="nil"/>
                    <w:tr2bl w:val="nil"/>
                  </w:tcBorders>
                  <w:noWrap w:val="0"/>
                  <w:vAlign w:val="center"/>
                </w:tcPr>
                <w:p w14:paraId="35D8881F">
                  <w:pPr>
                    <w:pStyle w:val="98"/>
                    <w:widowControl w:val="0"/>
                    <w:kinsoku/>
                    <w:autoSpaceDE/>
                    <w:autoSpaceDN/>
                    <w:adjustRightInd/>
                    <w:snapToGrid/>
                    <w:ind w:firstLine="0" w:firstLineChars="0"/>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5.33</w:t>
                  </w:r>
                </w:p>
              </w:tc>
            </w:tr>
            <w:tr w14:paraId="598E8AF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7" w:hRule="atLeast"/>
                <w:jc w:val="center"/>
              </w:trPr>
              <w:tc>
                <w:tcPr>
                  <w:tcW w:w="393" w:type="pct"/>
                  <w:tcBorders>
                    <w:tl2br w:val="nil"/>
                    <w:tr2bl w:val="nil"/>
                  </w:tcBorders>
                  <w:noWrap w:val="0"/>
                  <w:vAlign w:val="center"/>
                </w:tcPr>
                <w:p w14:paraId="6031C60A">
                  <w:pPr>
                    <w:pStyle w:val="98"/>
                    <w:widowControl w:val="0"/>
                    <w:kinsoku/>
                    <w:autoSpaceDE/>
                    <w:autoSpaceDN/>
                    <w:adjustRightInd/>
                    <w:snapToGrid/>
                    <w:jc w:val="center"/>
                    <w:textAlignment w:val="auto"/>
                    <w:rPr>
                      <w:rFonts w:hint="eastAsia" w:ascii="Times New Roman" w:hAnsi="Times New Roman" w:eastAsia="宋体" w:cs="Times New Roman"/>
                      <w:snapToGrid/>
                      <w:color w:val="auto"/>
                      <w:kern w:val="2"/>
                      <w:szCs w:val="24"/>
                      <w:highlight w:val="none"/>
                      <w:lang w:eastAsia="zh-CN"/>
                    </w:rPr>
                  </w:pPr>
                  <w:r>
                    <w:rPr>
                      <w:rFonts w:hint="eastAsia" w:ascii="Times New Roman" w:hAnsi="Times New Roman" w:eastAsia="宋体" w:cs="Times New Roman"/>
                      <w:snapToGrid/>
                      <w:color w:val="auto"/>
                      <w:kern w:val="2"/>
                      <w:szCs w:val="24"/>
                      <w:highlight w:val="none"/>
                      <w:lang w:eastAsia="zh-CN"/>
                    </w:rPr>
                    <w:t>NO</w:t>
                  </w:r>
                  <w:r>
                    <w:rPr>
                      <w:rFonts w:hint="eastAsia" w:ascii="Times New Roman" w:hAnsi="Times New Roman" w:eastAsia="宋体" w:cs="Times New Roman"/>
                      <w:snapToGrid/>
                      <w:color w:val="auto"/>
                      <w:kern w:val="2"/>
                      <w:szCs w:val="24"/>
                      <w:highlight w:val="none"/>
                      <w:vertAlign w:val="subscript"/>
                      <w:lang w:eastAsia="zh-CN"/>
                    </w:rPr>
                    <w:t>X</w:t>
                  </w:r>
                </w:p>
              </w:tc>
              <w:tc>
                <w:tcPr>
                  <w:tcW w:w="402" w:type="pct"/>
                  <w:vMerge w:val="continue"/>
                  <w:tcBorders>
                    <w:tl2br w:val="nil"/>
                    <w:tr2bl w:val="nil"/>
                  </w:tcBorders>
                  <w:noWrap w:val="0"/>
                  <w:vAlign w:val="center"/>
                </w:tcPr>
                <w:p w14:paraId="5EEAD270">
                  <w:pPr>
                    <w:pStyle w:val="98"/>
                    <w:widowControl w:val="0"/>
                    <w:kinsoku/>
                    <w:autoSpaceDE/>
                    <w:autoSpaceDN/>
                    <w:adjustRightInd/>
                    <w:snapToGrid/>
                    <w:jc w:val="center"/>
                    <w:textAlignment w:val="auto"/>
                    <w:rPr>
                      <w:rFonts w:hint="eastAsia" w:ascii="Times New Roman" w:hAnsi="Times New Roman" w:cs="Times New Roman"/>
                      <w:snapToGrid/>
                      <w:color w:val="auto"/>
                      <w:kern w:val="2"/>
                      <w:szCs w:val="24"/>
                      <w:highlight w:val="none"/>
                      <w:lang w:eastAsia="zh-CN"/>
                    </w:rPr>
                  </w:pPr>
                </w:p>
              </w:tc>
              <w:tc>
                <w:tcPr>
                  <w:tcW w:w="541" w:type="pct"/>
                  <w:vMerge w:val="continue"/>
                  <w:tcBorders>
                    <w:tl2br w:val="nil"/>
                    <w:tr2bl w:val="nil"/>
                  </w:tcBorders>
                  <w:noWrap w:val="0"/>
                  <w:vAlign w:val="center"/>
                </w:tcPr>
                <w:p w14:paraId="3CAED102">
                  <w:pPr>
                    <w:pStyle w:val="98"/>
                    <w:widowControl w:val="0"/>
                    <w:kinsoku/>
                    <w:autoSpaceDE/>
                    <w:autoSpaceDN/>
                    <w:adjustRightInd/>
                    <w:snapToGrid/>
                    <w:jc w:val="center"/>
                    <w:textAlignment w:val="auto"/>
                    <w:rPr>
                      <w:rFonts w:hint="eastAsia" w:ascii="Times New Roman" w:hAnsi="Times New Roman" w:cs="Times New Roman"/>
                      <w:snapToGrid/>
                      <w:color w:val="auto"/>
                      <w:kern w:val="2"/>
                      <w:szCs w:val="24"/>
                      <w:highlight w:val="none"/>
                      <w:lang w:eastAsia="zh-CN"/>
                    </w:rPr>
                  </w:pPr>
                </w:p>
              </w:tc>
              <w:tc>
                <w:tcPr>
                  <w:tcW w:w="541" w:type="pct"/>
                  <w:vMerge w:val="continue"/>
                  <w:tcBorders>
                    <w:tl2br w:val="nil"/>
                    <w:tr2bl w:val="nil"/>
                  </w:tcBorders>
                  <w:noWrap w:val="0"/>
                  <w:vAlign w:val="center"/>
                </w:tcPr>
                <w:p w14:paraId="32421FDC">
                  <w:pPr>
                    <w:pStyle w:val="98"/>
                    <w:widowControl w:val="0"/>
                    <w:kinsoku/>
                    <w:autoSpaceDE/>
                    <w:autoSpaceDN/>
                    <w:adjustRightInd/>
                    <w:snapToGrid/>
                    <w:jc w:val="center"/>
                    <w:textAlignment w:val="auto"/>
                    <w:rPr>
                      <w:rFonts w:hint="eastAsia" w:ascii="Times New Roman" w:hAnsi="Times New Roman" w:cs="Times New Roman"/>
                      <w:snapToGrid/>
                      <w:color w:val="auto"/>
                      <w:kern w:val="2"/>
                      <w:szCs w:val="24"/>
                      <w:highlight w:val="none"/>
                      <w:lang w:eastAsia="zh-CN"/>
                    </w:rPr>
                  </w:pPr>
                </w:p>
              </w:tc>
              <w:tc>
                <w:tcPr>
                  <w:tcW w:w="443" w:type="pct"/>
                  <w:tcBorders>
                    <w:tl2br w:val="nil"/>
                    <w:tr2bl w:val="nil"/>
                  </w:tcBorders>
                  <w:noWrap w:val="0"/>
                  <w:vAlign w:val="center"/>
                </w:tcPr>
                <w:p w14:paraId="2054086D">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0.89</w:t>
                  </w:r>
                </w:p>
              </w:tc>
              <w:tc>
                <w:tcPr>
                  <w:tcW w:w="416" w:type="pct"/>
                  <w:tcBorders>
                    <w:tl2br w:val="nil"/>
                    <w:tr2bl w:val="nil"/>
                  </w:tcBorders>
                  <w:noWrap w:val="0"/>
                  <w:vAlign w:val="center"/>
                </w:tcPr>
                <w:p w14:paraId="5A38AE26">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0.23</w:t>
                  </w:r>
                </w:p>
              </w:tc>
              <w:tc>
                <w:tcPr>
                  <w:tcW w:w="875" w:type="dxa"/>
                  <w:tcBorders>
                    <w:tl2br w:val="nil"/>
                    <w:tr2bl w:val="nil"/>
                  </w:tcBorders>
                  <w:noWrap w:val="0"/>
                  <w:vAlign w:val="center"/>
                </w:tcPr>
                <w:p w14:paraId="328DC8DA">
                  <w:pPr>
                    <w:pStyle w:val="98"/>
                    <w:widowControl w:val="0"/>
                    <w:kinsoku/>
                    <w:autoSpaceDE/>
                    <w:autoSpaceDN/>
                    <w:adjustRightInd/>
                    <w:snapToGrid/>
                    <w:ind w:firstLine="0" w:firstLineChars="0"/>
                    <w:jc w:val="center"/>
                    <w:textAlignment w:val="auto"/>
                    <w:rPr>
                      <w:rFonts w:hint="eastAsia"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76.7</w:t>
                  </w:r>
                </w:p>
              </w:tc>
              <w:tc>
                <w:tcPr>
                  <w:tcW w:w="521" w:type="pct"/>
                  <w:tcBorders>
                    <w:tl2br w:val="nil"/>
                    <w:tr2bl w:val="nil"/>
                  </w:tcBorders>
                  <w:noWrap w:val="0"/>
                  <w:vAlign w:val="center"/>
                </w:tcPr>
                <w:p w14:paraId="0E17A5C3">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w:t>
                  </w:r>
                </w:p>
              </w:tc>
              <w:tc>
                <w:tcPr>
                  <w:tcW w:w="443" w:type="pct"/>
                  <w:tcBorders>
                    <w:tl2br w:val="nil"/>
                    <w:tr2bl w:val="nil"/>
                  </w:tcBorders>
                  <w:noWrap w:val="0"/>
                  <w:vAlign w:val="center"/>
                </w:tcPr>
                <w:p w14:paraId="370506A1">
                  <w:pPr>
                    <w:pStyle w:val="98"/>
                    <w:widowControl w:val="0"/>
                    <w:kinsoku/>
                    <w:autoSpaceDE/>
                    <w:autoSpaceDN/>
                    <w:adjustRightInd/>
                    <w:snapToGrid/>
                    <w:ind w:firstLine="0" w:firstLineChars="0"/>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0.89</w:t>
                  </w:r>
                </w:p>
              </w:tc>
              <w:tc>
                <w:tcPr>
                  <w:tcW w:w="365" w:type="pct"/>
                  <w:tcBorders>
                    <w:tl2br w:val="nil"/>
                    <w:tr2bl w:val="nil"/>
                  </w:tcBorders>
                  <w:noWrap w:val="0"/>
                  <w:vAlign w:val="center"/>
                </w:tcPr>
                <w:p w14:paraId="1BE78596">
                  <w:pPr>
                    <w:pStyle w:val="98"/>
                    <w:widowControl w:val="0"/>
                    <w:kinsoku/>
                    <w:autoSpaceDE/>
                    <w:autoSpaceDN/>
                    <w:adjustRightInd/>
                    <w:snapToGrid/>
                    <w:ind w:firstLine="0" w:firstLineChars="0"/>
                    <w:jc w:val="center"/>
                    <w:textAlignment w:val="auto"/>
                    <w:rPr>
                      <w:rFonts w:hint="eastAsia" w:ascii="Times New Roman" w:hAnsi="Times New Roman" w:cs="Times New Roman"/>
                      <w:snapToGrid/>
                      <w:color w:val="auto"/>
                      <w:kern w:val="2"/>
                      <w:szCs w:val="24"/>
                      <w:highlight w:val="none"/>
                      <w:lang w:eastAsia="zh-CN"/>
                    </w:rPr>
                  </w:pPr>
                  <w:r>
                    <w:rPr>
                      <w:rFonts w:hint="eastAsia" w:ascii="Times New Roman" w:hAnsi="Times New Roman" w:cs="Times New Roman"/>
                      <w:snapToGrid/>
                      <w:color w:val="auto"/>
                      <w:kern w:val="2"/>
                      <w:szCs w:val="24"/>
                      <w:highlight w:val="none"/>
                      <w:lang w:val="en-US" w:eastAsia="zh-CN"/>
                    </w:rPr>
                    <w:t>0.23</w:t>
                  </w:r>
                </w:p>
              </w:tc>
              <w:tc>
                <w:tcPr>
                  <w:tcW w:w="409" w:type="pct"/>
                  <w:tcBorders>
                    <w:tl2br w:val="nil"/>
                    <w:tr2bl w:val="nil"/>
                  </w:tcBorders>
                  <w:noWrap w:val="0"/>
                  <w:vAlign w:val="center"/>
                </w:tcPr>
                <w:p w14:paraId="3EA8B61D">
                  <w:pPr>
                    <w:pStyle w:val="98"/>
                    <w:widowControl w:val="0"/>
                    <w:kinsoku/>
                    <w:autoSpaceDE/>
                    <w:autoSpaceDN/>
                    <w:adjustRightInd/>
                    <w:snapToGrid/>
                    <w:ind w:firstLine="0" w:firstLineChars="0"/>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76.7</w:t>
                  </w:r>
                </w:p>
              </w:tc>
            </w:tr>
          </w:tbl>
          <w:p w14:paraId="7CCAC462">
            <w:pPr>
              <w:ind w:left="0" w:leftChars="0" w:firstLine="0" w:firstLineChars="0"/>
              <w:rPr>
                <w:rFonts w:ascii="Times New Roman" w:hAnsi="Times New Roman" w:eastAsia="宋体" w:cs="Times New Roman"/>
                <w:b/>
                <w:bCs/>
                <w:snapToGrid/>
                <w:color w:val="auto"/>
                <w:kern w:val="2"/>
                <w:sz w:val="24"/>
                <w:szCs w:val="24"/>
                <w:highlight w:val="none"/>
                <w:lang w:eastAsia="zh-CN"/>
              </w:rPr>
            </w:pPr>
          </w:p>
          <w:p w14:paraId="7FF4F99C">
            <w:pPr>
              <w:ind w:left="0" w:leftChars="0" w:firstLine="0" w:firstLineChars="0"/>
              <w:jc w:val="center"/>
              <w:rPr>
                <w:rFonts w:hint="eastAsia"/>
                <w:b/>
                <w:bCs/>
                <w:color w:val="auto"/>
                <w:highlight w:val="none"/>
              </w:rPr>
            </w:pPr>
            <w:r>
              <w:rPr>
                <w:rFonts w:ascii="Times New Roman" w:hAnsi="Times New Roman" w:eastAsia="宋体" w:cs="Times New Roman"/>
                <w:b/>
                <w:bCs/>
                <w:snapToGrid/>
                <w:color w:val="auto"/>
                <w:kern w:val="2"/>
                <w:sz w:val="24"/>
                <w:szCs w:val="24"/>
                <w:highlight w:val="none"/>
                <w:lang w:eastAsia="zh-CN"/>
              </w:rPr>
              <w:t>表4.2-</w:t>
            </w:r>
            <w:r>
              <w:rPr>
                <w:rFonts w:hint="eastAsia" w:ascii="Times New Roman" w:hAnsi="Times New Roman" w:eastAsia="宋体" w:cs="Times New Roman"/>
                <w:b/>
                <w:bCs/>
                <w:snapToGrid/>
                <w:color w:val="auto"/>
                <w:kern w:val="2"/>
                <w:sz w:val="24"/>
                <w:szCs w:val="24"/>
                <w:highlight w:val="none"/>
                <w:lang w:val="en-US" w:eastAsia="zh-CN"/>
              </w:rPr>
              <w:t>5</w:t>
            </w:r>
            <w:r>
              <w:rPr>
                <w:rFonts w:ascii="Times New Roman" w:hAnsi="Times New Roman" w:eastAsia="宋体" w:cs="Times New Roman"/>
                <w:b/>
                <w:bCs/>
                <w:snapToGrid/>
                <w:color w:val="auto"/>
                <w:kern w:val="2"/>
                <w:sz w:val="24"/>
                <w:szCs w:val="24"/>
                <w:highlight w:val="none"/>
                <w:lang w:eastAsia="zh-CN"/>
              </w:rPr>
              <w:t xml:space="preserve">  </w:t>
            </w:r>
            <w:r>
              <w:rPr>
                <w:rFonts w:hint="eastAsia"/>
                <w:b/>
                <w:bCs/>
                <w:color w:val="auto"/>
                <w:highlight w:val="none"/>
                <w:lang w:val="en-US" w:eastAsia="zh-CN"/>
              </w:rPr>
              <w:t>骨料烘干废气（二期）</w:t>
            </w:r>
            <w:r>
              <w:rPr>
                <w:rFonts w:ascii="Times New Roman" w:hAnsi="Times New Roman" w:eastAsia="宋体" w:cs="Times New Roman"/>
                <w:b/>
                <w:bCs/>
                <w:snapToGrid/>
                <w:color w:val="auto"/>
                <w:kern w:val="2"/>
                <w:sz w:val="24"/>
                <w:szCs w:val="24"/>
                <w:highlight w:val="none"/>
                <w:lang w:eastAsia="zh-CN"/>
              </w:rPr>
              <w:t>排放情况一览表</w:t>
            </w:r>
          </w:p>
          <w:tbl>
            <w:tblPr>
              <w:tblStyle w:val="129"/>
              <w:tblW w:w="839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661"/>
              <w:gridCol w:w="676"/>
              <w:gridCol w:w="909"/>
              <w:gridCol w:w="909"/>
              <w:gridCol w:w="745"/>
              <w:gridCol w:w="699"/>
              <w:gridCol w:w="875"/>
              <w:gridCol w:w="875"/>
              <w:gridCol w:w="745"/>
              <w:gridCol w:w="613"/>
              <w:gridCol w:w="687"/>
            </w:tblGrid>
            <w:tr w14:paraId="1BBD92C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74" w:hRule="atLeast"/>
                <w:jc w:val="center"/>
              </w:trPr>
              <w:tc>
                <w:tcPr>
                  <w:tcW w:w="393" w:type="pct"/>
                  <w:tcBorders>
                    <w:tl2br w:val="nil"/>
                    <w:tr2bl w:val="nil"/>
                  </w:tcBorders>
                  <w:noWrap w:val="0"/>
                  <w:vAlign w:val="center"/>
                </w:tcPr>
                <w:p w14:paraId="3FEA2E78">
                  <w:pPr>
                    <w:pStyle w:val="98"/>
                    <w:widowControl w:val="0"/>
                    <w:kinsoku/>
                    <w:autoSpaceDE/>
                    <w:autoSpaceDN/>
                    <w:adjustRightInd/>
                    <w:snapToGrid/>
                    <w:jc w:val="center"/>
                    <w:textAlignment w:val="auto"/>
                    <w:rPr>
                      <w:rFonts w:hint="eastAsia" w:ascii="Times New Roman" w:hAnsi="Times New Roman" w:cs="Times New Roman"/>
                      <w:b/>
                      <w:bCs/>
                      <w:snapToGrid/>
                      <w:color w:val="auto"/>
                      <w:kern w:val="2"/>
                      <w:szCs w:val="24"/>
                      <w:highlight w:val="none"/>
                      <w:lang w:eastAsia="zh-CN"/>
                    </w:rPr>
                  </w:pPr>
                  <w:r>
                    <w:rPr>
                      <w:rFonts w:hint="eastAsia" w:ascii="Times New Roman" w:hAnsi="Times New Roman" w:cs="Times New Roman"/>
                      <w:b/>
                      <w:bCs/>
                      <w:snapToGrid/>
                      <w:color w:val="auto"/>
                      <w:kern w:val="2"/>
                      <w:szCs w:val="24"/>
                      <w:highlight w:val="none"/>
                      <w:lang w:eastAsia="zh-CN"/>
                    </w:rPr>
                    <w:t>污染物</w:t>
                  </w:r>
                </w:p>
              </w:tc>
              <w:tc>
                <w:tcPr>
                  <w:tcW w:w="402" w:type="pct"/>
                  <w:tcBorders>
                    <w:tl2br w:val="nil"/>
                    <w:tr2bl w:val="nil"/>
                  </w:tcBorders>
                  <w:noWrap w:val="0"/>
                  <w:vAlign w:val="center"/>
                </w:tcPr>
                <w:p w14:paraId="03C9E3F3">
                  <w:pPr>
                    <w:pStyle w:val="98"/>
                    <w:widowControl w:val="0"/>
                    <w:kinsoku/>
                    <w:autoSpaceDE/>
                    <w:autoSpaceDN/>
                    <w:adjustRightInd/>
                    <w:snapToGrid/>
                    <w:jc w:val="center"/>
                    <w:textAlignment w:val="auto"/>
                    <w:rPr>
                      <w:rFonts w:hint="eastAsia" w:ascii="Times New Roman" w:hAnsi="Times New Roman" w:cs="Times New Roman"/>
                      <w:b/>
                      <w:bCs/>
                      <w:snapToGrid/>
                      <w:color w:val="auto"/>
                      <w:kern w:val="2"/>
                      <w:szCs w:val="24"/>
                      <w:highlight w:val="none"/>
                      <w:lang w:eastAsia="zh-CN"/>
                    </w:rPr>
                  </w:pPr>
                  <w:r>
                    <w:rPr>
                      <w:rFonts w:hint="eastAsia" w:ascii="Times New Roman" w:hAnsi="Times New Roman" w:cs="Times New Roman"/>
                      <w:b/>
                      <w:bCs/>
                      <w:snapToGrid/>
                      <w:color w:val="auto"/>
                      <w:kern w:val="2"/>
                      <w:szCs w:val="24"/>
                      <w:highlight w:val="none"/>
                      <w:lang w:eastAsia="zh-CN"/>
                    </w:rPr>
                    <w:t>排放形式</w:t>
                  </w:r>
                </w:p>
              </w:tc>
              <w:tc>
                <w:tcPr>
                  <w:tcW w:w="541" w:type="pct"/>
                  <w:tcBorders>
                    <w:tl2br w:val="nil"/>
                    <w:tr2bl w:val="nil"/>
                  </w:tcBorders>
                  <w:noWrap w:val="0"/>
                  <w:vAlign w:val="center"/>
                </w:tcPr>
                <w:p w14:paraId="4B3B7643">
                  <w:pPr>
                    <w:pStyle w:val="107"/>
                    <w:widowControl/>
                    <w:ind w:firstLine="0" w:firstLineChars="0"/>
                    <w:jc w:val="center"/>
                    <w:rPr>
                      <w:rFonts w:hint="eastAsia" w:ascii="Times New Roman" w:hAnsi="Times New Roman" w:eastAsia="宋体"/>
                      <w:b/>
                      <w:bCs/>
                      <w:color w:val="auto"/>
                      <w:sz w:val="21"/>
                      <w:szCs w:val="21"/>
                      <w:highlight w:val="none"/>
                    </w:rPr>
                  </w:pPr>
                  <w:r>
                    <w:rPr>
                      <w:rFonts w:hint="eastAsia" w:ascii="Times New Roman" w:hAnsi="Times New Roman" w:eastAsia="宋体"/>
                      <w:b/>
                      <w:bCs/>
                      <w:color w:val="auto"/>
                      <w:sz w:val="21"/>
                      <w:szCs w:val="21"/>
                      <w:highlight w:val="none"/>
                    </w:rPr>
                    <w:t>排放时间</w:t>
                  </w:r>
                </w:p>
                <w:p w14:paraId="16166289">
                  <w:pPr>
                    <w:pStyle w:val="98"/>
                    <w:widowControl w:val="0"/>
                    <w:kinsoku/>
                    <w:autoSpaceDE/>
                    <w:autoSpaceDN/>
                    <w:adjustRightInd/>
                    <w:snapToGrid/>
                    <w:jc w:val="center"/>
                    <w:textAlignment w:val="auto"/>
                    <w:rPr>
                      <w:rFonts w:hint="default" w:ascii="Times New Roman" w:hAnsi="Times New Roman" w:cs="Times New Roman"/>
                      <w:b/>
                      <w:bCs/>
                      <w:snapToGrid/>
                      <w:color w:val="auto"/>
                      <w:kern w:val="2"/>
                      <w:szCs w:val="24"/>
                      <w:highlight w:val="none"/>
                      <w:lang w:val="en-US" w:eastAsia="zh-CN"/>
                    </w:rPr>
                  </w:pPr>
                  <w:r>
                    <w:rPr>
                      <w:rFonts w:hint="eastAsia" w:ascii="Times New Roman" w:hAnsi="Times New Roman" w:eastAsia="宋体"/>
                      <w:b/>
                      <w:bCs/>
                      <w:color w:val="auto"/>
                      <w:sz w:val="21"/>
                      <w:szCs w:val="21"/>
                      <w:highlight w:val="none"/>
                    </w:rPr>
                    <w:t>h</w:t>
                  </w:r>
                </w:p>
              </w:tc>
              <w:tc>
                <w:tcPr>
                  <w:tcW w:w="541" w:type="pct"/>
                  <w:tcBorders>
                    <w:tl2br w:val="nil"/>
                    <w:tr2bl w:val="nil"/>
                  </w:tcBorders>
                  <w:noWrap w:val="0"/>
                  <w:vAlign w:val="center"/>
                </w:tcPr>
                <w:p w14:paraId="37EC2FBD">
                  <w:pPr>
                    <w:pStyle w:val="98"/>
                    <w:widowControl w:val="0"/>
                    <w:kinsoku/>
                    <w:autoSpaceDE/>
                    <w:autoSpaceDN/>
                    <w:adjustRightInd/>
                    <w:snapToGrid/>
                    <w:jc w:val="center"/>
                    <w:textAlignment w:val="auto"/>
                    <w:rPr>
                      <w:rFonts w:hint="default" w:ascii="Times New Roman" w:hAnsi="Times New Roman" w:cs="Times New Roman"/>
                      <w:b/>
                      <w:bCs/>
                      <w:snapToGrid/>
                      <w:color w:val="auto"/>
                      <w:kern w:val="2"/>
                      <w:szCs w:val="24"/>
                      <w:highlight w:val="none"/>
                      <w:lang w:val="en-US" w:eastAsia="zh-CN"/>
                    </w:rPr>
                  </w:pPr>
                  <w:r>
                    <w:rPr>
                      <w:rFonts w:hint="eastAsia" w:ascii="Times New Roman" w:hAnsi="Times New Roman" w:cs="Times New Roman"/>
                      <w:b/>
                      <w:bCs/>
                      <w:snapToGrid/>
                      <w:color w:val="auto"/>
                      <w:kern w:val="2"/>
                      <w:szCs w:val="24"/>
                      <w:highlight w:val="none"/>
                      <w:lang w:val="en-US" w:eastAsia="zh-CN"/>
                    </w:rPr>
                    <w:t>风机风量m</w:t>
                  </w:r>
                  <w:r>
                    <w:rPr>
                      <w:rFonts w:hint="eastAsia" w:ascii="Times New Roman" w:hAnsi="Times New Roman" w:cs="Times New Roman"/>
                      <w:b/>
                      <w:bCs/>
                      <w:snapToGrid/>
                      <w:color w:val="auto"/>
                      <w:kern w:val="2"/>
                      <w:szCs w:val="24"/>
                      <w:highlight w:val="none"/>
                      <w:vertAlign w:val="superscript"/>
                      <w:lang w:val="en-US" w:eastAsia="zh-CN"/>
                    </w:rPr>
                    <w:t>3</w:t>
                  </w:r>
                  <w:r>
                    <w:rPr>
                      <w:rFonts w:hint="eastAsia" w:ascii="Times New Roman" w:hAnsi="Times New Roman" w:cs="Times New Roman"/>
                      <w:b/>
                      <w:bCs/>
                      <w:snapToGrid/>
                      <w:color w:val="auto"/>
                      <w:kern w:val="2"/>
                      <w:szCs w:val="24"/>
                      <w:highlight w:val="none"/>
                      <w:lang w:val="en-US" w:eastAsia="zh-CN"/>
                    </w:rPr>
                    <w:t>/h</w:t>
                  </w:r>
                </w:p>
              </w:tc>
              <w:tc>
                <w:tcPr>
                  <w:tcW w:w="443" w:type="pct"/>
                  <w:tcBorders>
                    <w:tl2br w:val="nil"/>
                    <w:tr2bl w:val="nil"/>
                  </w:tcBorders>
                  <w:noWrap w:val="0"/>
                  <w:vAlign w:val="center"/>
                </w:tcPr>
                <w:p w14:paraId="2CCA781D">
                  <w:pPr>
                    <w:pStyle w:val="98"/>
                    <w:widowControl w:val="0"/>
                    <w:kinsoku/>
                    <w:autoSpaceDE/>
                    <w:autoSpaceDN/>
                    <w:adjustRightInd/>
                    <w:snapToGrid/>
                    <w:jc w:val="center"/>
                    <w:textAlignment w:val="auto"/>
                    <w:rPr>
                      <w:rFonts w:hint="default" w:ascii="Times New Roman" w:hAnsi="Times New Roman" w:cs="Times New Roman"/>
                      <w:b/>
                      <w:bCs/>
                      <w:snapToGrid/>
                      <w:color w:val="auto"/>
                      <w:kern w:val="2"/>
                      <w:szCs w:val="24"/>
                      <w:highlight w:val="none"/>
                      <w:lang w:val="en-US" w:eastAsia="zh-CN"/>
                    </w:rPr>
                  </w:pPr>
                  <w:r>
                    <w:rPr>
                      <w:rFonts w:hint="eastAsia" w:ascii="Times New Roman" w:hAnsi="Times New Roman" w:cs="Times New Roman"/>
                      <w:b/>
                      <w:bCs/>
                      <w:snapToGrid/>
                      <w:color w:val="auto"/>
                      <w:kern w:val="2"/>
                      <w:szCs w:val="24"/>
                      <w:highlight w:val="none"/>
                      <w:lang w:eastAsia="zh-CN"/>
                    </w:rPr>
                    <w:t>产生量 t/a</w:t>
                  </w:r>
                </w:p>
              </w:tc>
              <w:tc>
                <w:tcPr>
                  <w:tcW w:w="416" w:type="pct"/>
                  <w:tcBorders>
                    <w:tl2br w:val="nil"/>
                    <w:tr2bl w:val="nil"/>
                  </w:tcBorders>
                  <w:noWrap w:val="0"/>
                  <w:vAlign w:val="center"/>
                </w:tcPr>
                <w:p w14:paraId="05E80782">
                  <w:pPr>
                    <w:pStyle w:val="98"/>
                    <w:widowControl w:val="0"/>
                    <w:kinsoku/>
                    <w:autoSpaceDE/>
                    <w:autoSpaceDN/>
                    <w:adjustRightInd/>
                    <w:snapToGrid/>
                    <w:jc w:val="center"/>
                    <w:textAlignment w:val="auto"/>
                    <w:rPr>
                      <w:rFonts w:hint="default" w:ascii="Times New Roman" w:hAnsi="Times New Roman" w:cs="Times New Roman"/>
                      <w:b/>
                      <w:bCs/>
                      <w:snapToGrid/>
                      <w:color w:val="auto"/>
                      <w:kern w:val="2"/>
                      <w:szCs w:val="24"/>
                      <w:highlight w:val="none"/>
                      <w:lang w:val="en-US" w:eastAsia="zh-CN"/>
                    </w:rPr>
                  </w:pPr>
                  <w:r>
                    <w:rPr>
                      <w:rFonts w:hint="eastAsia" w:ascii="Times New Roman" w:hAnsi="Times New Roman" w:cs="Times New Roman"/>
                      <w:b/>
                      <w:bCs/>
                      <w:snapToGrid/>
                      <w:color w:val="auto"/>
                      <w:kern w:val="2"/>
                      <w:szCs w:val="24"/>
                      <w:highlight w:val="none"/>
                      <w:lang w:val="en-US" w:eastAsia="zh-CN"/>
                    </w:rPr>
                    <w:t>产生速率</w:t>
                  </w:r>
                  <w:r>
                    <w:rPr>
                      <w:rFonts w:hint="eastAsia" w:ascii="Times New Roman" w:hAnsi="Times New Roman" w:cs="Times New Roman"/>
                      <w:b/>
                      <w:bCs/>
                      <w:snapToGrid/>
                      <w:color w:val="auto"/>
                      <w:kern w:val="2"/>
                      <w:szCs w:val="24"/>
                      <w:highlight w:val="none"/>
                      <w:lang w:eastAsia="zh-CN"/>
                    </w:rPr>
                    <w:t>kg/h</w:t>
                  </w:r>
                </w:p>
              </w:tc>
              <w:tc>
                <w:tcPr>
                  <w:tcW w:w="521" w:type="pct"/>
                  <w:tcBorders>
                    <w:tl2br w:val="nil"/>
                    <w:tr2bl w:val="nil"/>
                  </w:tcBorders>
                  <w:noWrap w:val="0"/>
                  <w:vAlign w:val="center"/>
                </w:tcPr>
                <w:p w14:paraId="49B69533">
                  <w:pPr>
                    <w:pStyle w:val="98"/>
                    <w:widowControl w:val="0"/>
                    <w:kinsoku/>
                    <w:autoSpaceDE/>
                    <w:autoSpaceDN/>
                    <w:adjustRightInd/>
                    <w:snapToGrid/>
                    <w:jc w:val="center"/>
                    <w:textAlignment w:val="auto"/>
                    <w:rPr>
                      <w:rFonts w:hint="eastAsia" w:ascii="Times New Roman" w:hAnsi="Times New Roman" w:cs="Times New Roman"/>
                      <w:b/>
                      <w:bCs/>
                      <w:snapToGrid/>
                      <w:color w:val="auto"/>
                      <w:kern w:val="2"/>
                      <w:szCs w:val="24"/>
                      <w:highlight w:val="none"/>
                      <w:lang w:eastAsia="zh-CN"/>
                    </w:rPr>
                  </w:pPr>
                  <w:r>
                    <w:rPr>
                      <w:rFonts w:hint="eastAsia" w:ascii="Times New Roman" w:hAnsi="Times New Roman" w:cs="Times New Roman"/>
                      <w:b/>
                      <w:bCs/>
                      <w:snapToGrid/>
                      <w:color w:val="auto"/>
                      <w:kern w:val="2"/>
                      <w:szCs w:val="24"/>
                      <w:highlight w:val="none"/>
                      <w:lang w:val="en-US" w:eastAsia="zh-CN"/>
                    </w:rPr>
                    <w:t>产生</w:t>
                  </w:r>
                  <w:r>
                    <w:rPr>
                      <w:rFonts w:hint="eastAsia" w:ascii="Times New Roman" w:hAnsi="Times New Roman" w:cs="Times New Roman"/>
                      <w:b/>
                      <w:bCs/>
                      <w:snapToGrid/>
                      <w:color w:val="auto"/>
                      <w:kern w:val="2"/>
                      <w:szCs w:val="24"/>
                      <w:highlight w:val="none"/>
                      <w:lang w:eastAsia="zh-CN"/>
                    </w:rPr>
                    <w:t>浓度</w:t>
                  </w:r>
                </w:p>
                <w:p w14:paraId="256E86E1">
                  <w:pPr>
                    <w:pStyle w:val="98"/>
                    <w:widowControl w:val="0"/>
                    <w:kinsoku/>
                    <w:autoSpaceDE/>
                    <w:autoSpaceDN/>
                    <w:adjustRightInd/>
                    <w:snapToGrid/>
                    <w:jc w:val="center"/>
                    <w:textAlignment w:val="auto"/>
                    <w:rPr>
                      <w:rFonts w:hint="eastAsia" w:ascii="Times New Roman" w:hAnsi="Times New Roman" w:cs="Times New Roman"/>
                      <w:b/>
                      <w:bCs/>
                      <w:snapToGrid/>
                      <w:color w:val="auto"/>
                      <w:kern w:val="2"/>
                      <w:szCs w:val="24"/>
                      <w:highlight w:val="none"/>
                      <w:lang w:val="en-US" w:eastAsia="zh-CN"/>
                    </w:rPr>
                  </w:pPr>
                  <w:r>
                    <w:rPr>
                      <w:rFonts w:hint="eastAsia" w:ascii="Times New Roman" w:hAnsi="Times New Roman" w:cs="Times New Roman"/>
                      <w:b/>
                      <w:bCs/>
                      <w:snapToGrid/>
                      <w:color w:val="auto"/>
                      <w:kern w:val="2"/>
                      <w:szCs w:val="24"/>
                      <w:highlight w:val="none"/>
                      <w:lang w:eastAsia="zh-CN"/>
                    </w:rPr>
                    <w:t>mg/ m</w:t>
                  </w:r>
                  <w:r>
                    <w:rPr>
                      <w:rFonts w:hint="eastAsia" w:ascii="Times New Roman" w:hAnsi="Times New Roman" w:cs="Times New Roman"/>
                      <w:b/>
                      <w:bCs/>
                      <w:snapToGrid/>
                      <w:color w:val="auto"/>
                      <w:kern w:val="2"/>
                      <w:szCs w:val="24"/>
                      <w:highlight w:val="none"/>
                      <w:vertAlign w:val="superscript"/>
                      <w:lang w:eastAsia="zh-CN"/>
                    </w:rPr>
                    <w:t>3</w:t>
                  </w:r>
                </w:p>
              </w:tc>
              <w:tc>
                <w:tcPr>
                  <w:tcW w:w="521" w:type="pct"/>
                  <w:tcBorders>
                    <w:tl2br w:val="nil"/>
                    <w:tr2bl w:val="nil"/>
                  </w:tcBorders>
                  <w:noWrap w:val="0"/>
                  <w:vAlign w:val="center"/>
                </w:tcPr>
                <w:p w14:paraId="23E8EC3B">
                  <w:pPr>
                    <w:pStyle w:val="98"/>
                    <w:widowControl w:val="0"/>
                    <w:kinsoku/>
                    <w:autoSpaceDE/>
                    <w:autoSpaceDN/>
                    <w:adjustRightInd/>
                    <w:snapToGrid/>
                    <w:jc w:val="center"/>
                    <w:textAlignment w:val="auto"/>
                    <w:rPr>
                      <w:rFonts w:hint="eastAsia" w:ascii="Times New Roman" w:hAnsi="Times New Roman" w:cs="Times New Roman"/>
                      <w:b/>
                      <w:bCs/>
                      <w:snapToGrid/>
                      <w:color w:val="auto"/>
                      <w:kern w:val="2"/>
                      <w:szCs w:val="24"/>
                      <w:highlight w:val="none"/>
                      <w:lang w:eastAsia="zh-CN"/>
                    </w:rPr>
                  </w:pPr>
                  <w:r>
                    <w:rPr>
                      <w:rFonts w:hint="eastAsia" w:ascii="Times New Roman" w:hAnsi="Times New Roman" w:cs="Times New Roman"/>
                      <w:b/>
                      <w:bCs/>
                      <w:snapToGrid/>
                      <w:color w:val="auto"/>
                      <w:kern w:val="2"/>
                      <w:szCs w:val="24"/>
                      <w:highlight w:val="none"/>
                      <w:lang w:eastAsia="zh-CN"/>
                    </w:rPr>
                    <w:t>治理措施及处理效率</w:t>
                  </w:r>
                </w:p>
              </w:tc>
              <w:tc>
                <w:tcPr>
                  <w:tcW w:w="443" w:type="pct"/>
                  <w:tcBorders>
                    <w:tl2br w:val="nil"/>
                    <w:tr2bl w:val="nil"/>
                  </w:tcBorders>
                  <w:noWrap w:val="0"/>
                  <w:vAlign w:val="center"/>
                </w:tcPr>
                <w:p w14:paraId="76BE35CE">
                  <w:pPr>
                    <w:pStyle w:val="98"/>
                    <w:widowControl w:val="0"/>
                    <w:kinsoku/>
                    <w:autoSpaceDE/>
                    <w:autoSpaceDN/>
                    <w:adjustRightInd/>
                    <w:snapToGrid/>
                    <w:jc w:val="center"/>
                    <w:textAlignment w:val="auto"/>
                    <w:rPr>
                      <w:rFonts w:hint="eastAsia" w:ascii="Times New Roman" w:hAnsi="Times New Roman" w:cs="Times New Roman"/>
                      <w:b/>
                      <w:bCs/>
                      <w:snapToGrid/>
                      <w:color w:val="auto"/>
                      <w:kern w:val="2"/>
                      <w:szCs w:val="24"/>
                      <w:highlight w:val="none"/>
                      <w:lang w:eastAsia="zh-CN"/>
                    </w:rPr>
                  </w:pPr>
                  <w:r>
                    <w:rPr>
                      <w:rFonts w:hint="eastAsia" w:ascii="Times New Roman" w:hAnsi="Times New Roman" w:cs="Times New Roman"/>
                      <w:b/>
                      <w:bCs/>
                      <w:snapToGrid/>
                      <w:color w:val="auto"/>
                      <w:kern w:val="2"/>
                      <w:szCs w:val="24"/>
                      <w:highlight w:val="none"/>
                      <w:lang w:eastAsia="zh-CN"/>
                    </w:rPr>
                    <w:t>排放量t/a</w:t>
                  </w:r>
                </w:p>
              </w:tc>
              <w:tc>
                <w:tcPr>
                  <w:tcW w:w="365" w:type="pct"/>
                  <w:tcBorders>
                    <w:tl2br w:val="nil"/>
                    <w:tr2bl w:val="nil"/>
                  </w:tcBorders>
                  <w:noWrap w:val="0"/>
                  <w:vAlign w:val="center"/>
                </w:tcPr>
                <w:p w14:paraId="2057AA35">
                  <w:pPr>
                    <w:pStyle w:val="98"/>
                    <w:widowControl w:val="0"/>
                    <w:kinsoku/>
                    <w:autoSpaceDE/>
                    <w:autoSpaceDN/>
                    <w:adjustRightInd/>
                    <w:snapToGrid/>
                    <w:jc w:val="center"/>
                    <w:textAlignment w:val="auto"/>
                    <w:rPr>
                      <w:rFonts w:hint="eastAsia" w:ascii="Times New Roman" w:hAnsi="Times New Roman" w:cs="Times New Roman"/>
                      <w:b/>
                      <w:bCs/>
                      <w:snapToGrid/>
                      <w:color w:val="auto"/>
                      <w:kern w:val="2"/>
                      <w:szCs w:val="24"/>
                      <w:highlight w:val="none"/>
                      <w:lang w:eastAsia="zh-CN"/>
                    </w:rPr>
                  </w:pPr>
                  <w:r>
                    <w:rPr>
                      <w:rFonts w:hint="eastAsia" w:ascii="Times New Roman" w:hAnsi="Times New Roman" w:cs="Times New Roman"/>
                      <w:b/>
                      <w:bCs/>
                      <w:snapToGrid/>
                      <w:color w:val="auto"/>
                      <w:kern w:val="2"/>
                      <w:szCs w:val="24"/>
                      <w:highlight w:val="none"/>
                      <w:lang w:eastAsia="zh-CN"/>
                    </w:rPr>
                    <w:t>排放速率kg/h</w:t>
                  </w:r>
                </w:p>
              </w:tc>
              <w:tc>
                <w:tcPr>
                  <w:tcW w:w="409" w:type="pct"/>
                  <w:tcBorders>
                    <w:tl2br w:val="nil"/>
                    <w:tr2bl w:val="nil"/>
                  </w:tcBorders>
                  <w:noWrap w:val="0"/>
                  <w:vAlign w:val="center"/>
                </w:tcPr>
                <w:p w14:paraId="3623CB96">
                  <w:pPr>
                    <w:pStyle w:val="98"/>
                    <w:widowControl w:val="0"/>
                    <w:kinsoku/>
                    <w:autoSpaceDE/>
                    <w:autoSpaceDN/>
                    <w:adjustRightInd/>
                    <w:snapToGrid/>
                    <w:jc w:val="center"/>
                    <w:textAlignment w:val="auto"/>
                    <w:rPr>
                      <w:rFonts w:hint="eastAsia" w:ascii="Times New Roman" w:hAnsi="Times New Roman" w:cs="Times New Roman"/>
                      <w:b/>
                      <w:bCs/>
                      <w:snapToGrid/>
                      <w:color w:val="auto"/>
                      <w:kern w:val="2"/>
                      <w:szCs w:val="24"/>
                      <w:highlight w:val="none"/>
                      <w:lang w:eastAsia="zh-CN"/>
                    </w:rPr>
                  </w:pPr>
                  <w:r>
                    <w:rPr>
                      <w:rFonts w:hint="eastAsia" w:ascii="Times New Roman" w:hAnsi="Times New Roman" w:cs="Times New Roman"/>
                      <w:b/>
                      <w:bCs/>
                      <w:snapToGrid/>
                      <w:color w:val="auto"/>
                      <w:kern w:val="2"/>
                      <w:szCs w:val="24"/>
                      <w:highlight w:val="none"/>
                      <w:lang w:eastAsia="zh-CN"/>
                    </w:rPr>
                    <w:t>排放浓度</w:t>
                  </w:r>
                </w:p>
                <w:p w14:paraId="4881A32E">
                  <w:pPr>
                    <w:pStyle w:val="98"/>
                    <w:widowControl w:val="0"/>
                    <w:kinsoku/>
                    <w:autoSpaceDE/>
                    <w:autoSpaceDN/>
                    <w:adjustRightInd/>
                    <w:snapToGrid/>
                    <w:jc w:val="center"/>
                    <w:textAlignment w:val="auto"/>
                    <w:rPr>
                      <w:rFonts w:hint="eastAsia" w:ascii="Times New Roman" w:hAnsi="Times New Roman" w:cs="Times New Roman"/>
                      <w:b/>
                      <w:bCs/>
                      <w:snapToGrid/>
                      <w:color w:val="auto"/>
                      <w:kern w:val="2"/>
                      <w:szCs w:val="24"/>
                      <w:highlight w:val="none"/>
                      <w:lang w:eastAsia="zh-CN"/>
                    </w:rPr>
                  </w:pPr>
                  <w:r>
                    <w:rPr>
                      <w:rFonts w:hint="eastAsia" w:ascii="Times New Roman" w:hAnsi="Times New Roman" w:cs="Times New Roman"/>
                      <w:b/>
                      <w:bCs/>
                      <w:snapToGrid/>
                      <w:color w:val="auto"/>
                      <w:kern w:val="2"/>
                      <w:szCs w:val="24"/>
                      <w:highlight w:val="none"/>
                      <w:lang w:eastAsia="zh-CN"/>
                    </w:rPr>
                    <w:t>mg/ m</w:t>
                  </w:r>
                  <w:r>
                    <w:rPr>
                      <w:rFonts w:hint="eastAsia" w:ascii="Times New Roman" w:hAnsi="Times New Roman" w:cs="Times New Roman"/>
                      <w:b/>
                      <w:bCs/>
                      <w:snapToGrid/>
                      <w:color w:val="auto"/>
                      <w:kern w:val="2"/>
                      <w:szCs w:val="24"/>
                      <w:highlight w:val="none"/>
                      <w:vertAlign w:val="superscript"/>
                      <w:lang w:eastAsia="zh-CN"/>
                    </w:rPr>
                    <w:t>3</w:t>
                  </w:r>
                </w:p>
              </w:tc>
            </w:tr>
            <w:tr w14:paraId="356C6A1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74" w:hRule="atLeast"/>
                <w:jc w:val="center"/>
              </w:trPr>
              <w:tc>
                <w:tcPr>
                  <w:tcW w:w="393" w:type="pct"/>
                  <w:tcBorders>
                    <w:tl2br w:val="nil"/>
                    <w:tr2bl w:val="nil"/>
                  </w:tcBorders>
                  <w:noWrap w:val="0"/>
                  <w:vAlign w:val="center"/>
                </w:tcPr>
                <w:p w14:paraId="4DB9E496">
                  <w:pPr>
                    <w:pStyle w:val="98"/>
                    <w:widowControl w:val="0"/>
                    <w:kinsoku/>
                    <w:autoSpaceDE/>
                    <w:autoSpaceDN/>
                    <w:adjustRightInd/>
                    <w:snapToGrid/>
                    <w:jc w:val="center"/>
                    <w:textAlignment w:val="auto"/>
                    <w:rPr>
                      <w:rFonts w:hint="eastAsia" w:ascii="Times New Roman" w:hAnsi="Times New Roman" w:eastAsia="宋体" w:cs="Times New Roman"/>
                      <w:snapToGrid/>
                      <w:color w:val="auto"/>
                      <w:kern w:val="2"/>
                      <w:szCs w:val="24"/>
                      <w:highlight w:val="none"/>
                      <w:lang w:eastAsia="zh-CN"/>
                    </w:rPr>
                  </w:pPr>
                  <w:r>
                    <w:rPr>
                      <w:rFonts w:hint="eastAsia" w:ascii="Times New Roman" w:hAnsi="Times New Roman" w:eastAsia="宋体" w:cs="Times New Roman"/>
                      <w:snapToGrid/>
                      <w:color w:val="auto"/>
                      <w:kern w:val="2"/>
                      <w:szCs w:val="24"/>
                      <w:highlight w:val="none"/>
                      <w:lang w:eastAsia="zh-CN"/>
                    </w:rPr>
                    <w:t>颗粒物</w:t>
                  </w:r>
                </w:p>
              </w:tc>
              <w:tc>
                <w:tcPr>
                  <w:tcW w:w="402" w:type="pct"/>
                  <w:vMerge w:val="restart"/>
                  <w:tcBorders>
                    <w:tl2br w:val="nil"/>
                    <w:tr2bl w:val="nil"/>
                  </w:tcBorders>
                  <w:noWrap w:val="0"/>
                  <w:vAlign w:val="center"/>
                </w:tcPr>
                <w:p w14:paraId="0E99A738">
                  <w:pPr>
                    <w:pStyle w:val="98"/>
                    <w:widowControl w:val="0"/>
                    <w:kinsoku/>
                    <w:autoSpaceDE/>
                    <w:autoSpaceDN/>
                    <w:adjustRightInd/>
                    <w:snapToGrid/>
                    <w:jc w:val="center"/>
                    <w:textAlignment w:val="auto"/>
                    <w:rPr>
                      <w:rFonts w:hint="eastAsia" w:ascii="Times New Roman" w:hAnsi="Times New Roman" w:cs="Times New Roman"/>
                      <w:snapToGrid/>
                      <w:color w:val="auto"/>
                      <w:kern w:val="2"/>
                      <w:szCs w:val="24"/>
                      <w:highlight w:val="none"/>
                      <w:lang w:eastAsia="zh-CN"/>
                    </w:rPr>
                  </w:pPr>
                  <w:r>
                    <w:rPr>
                      <w:rFonts w:hint="eastAsia" w:ascii="Times New Roman" w:hAnsi="Times New Roman" w:cs="Times New Roman"/>
                      <w:snapToGrid/>
                      <w:color w:val="auto"/>
                      <w:kern w:val="2"/>
                      <w:szCs w:val="24"/>
                      <w:highlight w:val="none"/>
                      <w:lang w:eastAsia="zh-CN"/>
                    </w:rPr>
                    <w:t>有组织</w:t>
                  </w:r>
                </w:p>
              </w:tc>
              <w:tc>
                <w:tcPr>
                  <w:tcW w:w="541" w:type="pct"/>
                  <w:vMerge w:val="restart"/>
                  <w:tcBorders>
                    <w:tl2br w:val="nil"/>
                    <w:tr2bl w:val="nil"/>
                  </w:tcBorders>
                  <w:noWrap w:val="0"/>
                  <w:vAlign w:val="center"/>
                </w:tcPr>
                <w:p w14:paraId="58E6AB78">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3840</w:t>
                  </w:r>
                </w:p>
              </w:tc>
              <w:tc>
                <w:tcPr>
                  <w:tcW w:w="541" w:type="pct"/>
                  <w:vMerge w:val="restart"/>
                  <w:tcBorders>
                    <w:tl2br w:val="nil"/>
                    <w:tr2bl w:val="nil"/>
                  </w:tcBorders>
                  <w:noWrap w:val="0"/>
                  <w:vAlign w:val="center"/>
                </w:tcPr>
                <w:p w14:paraId="1BE1586A">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5000</w:t>
                  </w:r>
                </w:p>
              </w:tc>
              <w:tc>
                <w:tcPr>
                  <w:tcW w:w="443" w:type="pct"/>
                  <w:tcBorders>
                    <w:tl2br w:val="nil"/>
                    <w:tr2bl w:val="nil"/>
                  </w:tcBorders>
                  <w:noWrap w:val="0"/>
                  <w:vAlign w:val="center"/>
                </w:tcPr>
                <w:p w14:paraId="4FFBB641">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8.764</w:t>
                  </w:r>
                </w:p>
              </w:tc>
              <w:tc>
                <w:tcPr>
                  <w:tcW w:w="416" w:type="pct"/>
                  <w:tcBorders>
                    <w:tl2br w:val="nil"/>
                    <w:tr2bl w:val="nil"/>
                  </w:tcBorders>
                  <w:noWrap w:val="0"/>
                  <w:vAlign w:val="center"/>
                </w:tcPr>
                <w:p w14:paraId="1AE013CC">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2.28</w:t>
                  </w:r>
                </w:p>
              </w:tc>
              <w:tc>
                <w:tcPr>
                  <w:tcW w:w="521" w:type="pct"/>
                  <w:tcBorders>
                    <w:tl2br w:val="nil"/>
                    <w:tr2bl w:val="nil"/>
                  </w:tcBorders>
                  <w:noWrap w:val="0"/>
                  <w:vAlign w:val="center"/>
                </w:tcPr>
                <w:p w14:paraId="73F8C4F7">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456</w:t>
                  </w:r>
                </w:p>
              </w:tc>
              <w:tc>
                <w:tcPr>
                  <w:tcW w:w="521" w:type="pct"/>
                  <w:tcBorders>
                    <w:tl2br w:val="nil"/>
                    <w:tr2bl w:val="nil"/>
                  </w:tcBorders>
                  <w:noWrap w:val="0"/>
                  <w:vAlign w:val="center"/>
                </w:tcPr>
                <w:p w14:paraId="25D1C80E">
                  <w:pPr>
                    <w:pStyle w:val="98"/>
                    <w:widowControl w:val="0"/>
                    <w:kinsoku/>
                    <w:autoSpaceDE/>
                    <w:autoSpaceDN/>
                    <w:adjustRightInd/>
                    <w:snapToGrid/>
                    <w:jc w:val="center"/>
                    <w:textAlignment w:val="auto"/>
                    <w:rPr>
                      <w:rFonts w:hint="eastAsia" w:ascii="Times New Roman" w:hAnsi="Times New Roman" w:cs="Times New Roman"/>
                      <w:snapToGrid/>
                      <w:color w:val="auto"/>
                      <w:kern w:val="2"/>
                      <w:szCs w:val="24"/>
                      <w:highlight w:val="none"/>
                      <w:lang w:eastAsia="zh-CN"/>
                    </w:rPr>
                  </w:pPr>
                  <w:r>
                    <w:rPr>
                      <w:rFonts w:hint="eastAsia" w:ascii="Times New Roman" w:hAnsi="Times New Roman" w:cs="Times New Roman"/>
                      <w:snapToGrid/>
                      <w:color w:val="auto"/>
                      <w:kern w:val="2"/>
                      <w:szCs w:val="24"/>
                      <w:highlight w:val="none"/>
                      <w:lang w:eastAsia="zh-CN"/>
                    </w:rPr>
                    <w:t>袋式除尘  器（9</w:t>
                  </w:r>
                  <w:r>
                    <w:rPr>
                      <w:rFonts w:hint="eastAsia" w:ascii="Times New Roman" w:hAnsi="Times New Roman" w:cs="Times New Roman"/>
                      <w:snapToGrid/>
                      <w:color w:val="auto"/>
                      <w:kern w:val="2"/>
                      <w:szCs w:val="24"/>
                      <w:highlight w:val="none"/>
                      <w:lang w:val="en-US" w:eastAsia="zh-CN"/>
                    </w:rPr>
                    <w:t>9.7</w:t>
                  </w:r>
                  <w:r>
                    <w:rPr>
                      <w:rFonts w:hint="eastAsia" w:ascii="Times New Roman" w:hAnsi="Times New Roman" w:cs="Times New Roman"/>
                      <w:snapToGrid/>
                      <w:color w:val="auto"/>
                      <w:kern w:val="2"/>
                      <w:szCs w:val="24"/>
                      <w:highlight w:val="none"/>
                      <w:lang w:eastAsia="zh-CN"/>
                    </w:rPr>
                    <w:t>%）</w:t>
                  </w:r>
                </w:p>
              </w:tc>
              <w:tc>
                <w:tcPr>
                  <w:tcW w:w="443" w:type="pct"/>
                  <w:tcBorders>
                    <w:tl2br w:val="nil"/>
                    <w:tr2bl w:val="nil"/>
                  </w:tcBorders>
                  <w:noWrap w:val="0"/>
                  <w:vAlign w:val="center"/>
                </w:tcPr>
                <w:p w14:paraId="676C6E4A">
                  <w:pPr>
                    <w:pStyle w:val="98"/>
                    <w:widowControl w:val="0"/>
                    <w:kinsoku/>
                    <w:autoSpaceDE/>
                    <w:autoSpaceDN/>
                    <w:adjustRightInd/>
                    <w:snapToGrid/>
                    <w:ind w:firstLine="0" w:firstLineChars="0"/>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0.026</w:t>
                  </w:r>
                </w:p>
              </w:tc>
              <w:tc>
                <w:tcPr>
                  <w:tcW w:w="365" w:type="pct"/>
                  <w:tcBorders>
                    <w:tl2br w:val="nil"/>
                    <w:tr2bl w:val="nil"/>
                  </w:tcBorders>
                  <w:noWrap w:val="0"/>
                  <w:vAlign w:val="center"/>
                </w:tcPr>
                <w:p w14:paraId="6D774AB6">
                  <w:pPr>
                    <w:pStyle w:val="98"/>
                    <w:widowControl w:val="0"/>
                    <w:kinsoku/>
                    <w:autoSpaceDE/>
                    <w:autoSpaceDN/>
                    <w:adjustRightInd/>
                    <w:snapToGrid/>
                    <w:ind w:firstLine="0" w:firstLineChars="0"/>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0.007</w:t>
                  </w:r>
                </w:p>
              </w:tc>
              <w:tc>
                <w:tcPr>
                  <w:tcW w:w="409" w:type="pct"/>
                  <w:tcBorders>
                    <w:tl2br w:val="nil"/>
                    <w:tr2bl w:val="nil"/>
                  </w:tcBorders>
                  <w:noWrap w:val="0"/>
                  <w:vAlign w:val="center"/>
                </w:tcPr>
                <w:p w14:paraId="17F2226F">
                  <w:pPr>
                    <w:pStyle w:val="98"/>
                    <w:widowControl w:val="0"/>
                    <w:kinsoku/>
                    <w:autoSpaceDE/>
                    <w:autoSpaceDN/>
                    <w:adjustRightInd/>
                    <w:snapToGrid/>
                    <w:ind w:firstLine="0" w:firstLineChars="0"/>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1.4</w:t>
                  </w:r>
                </w:p>
              </w:tc>
            </w:tr>
            <w:tr w14:paraId="5EF417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jc w:val="center"/>
              </w:trPr>
              <w:tc>
                <w:tcPr>
                  <w:tcW w:w="393" w:type="pct"/>
                  <w:tcBorders>
                    <w:tl2br w:val="nil"/>
                    <w:tr2bl w:val="nil"/>
                  </w:tcBorders>
                  <w:noWrap w:val="0"/>
                  <w:vAlign w:val="center"/>
                </w:tcPr>
                <w:p w14:paraId="0B98B932">
                  <w:pPr>
                    <w:pStyle w:val="98"/>
                    <w:widowControl w:val="0"/>
                    <w:kinsoku/>
                    <w:autoSpaceDE/>
                    <w:autoSpaceDN/>
                    <w:adjustRightInd/>
                    <w:snapToGrid/>
                    <w:jc w:val="center"/>
                    <w:textAlignment w:val="auto"/>
                    <w:rPr>
                      <w:rFonts w:hint="eastAsia" w:ascii="Times New Roman" w:hAnsi="Times New Roman" w:eastAsia="宋体" w:cs="Times New Roman"/>
                      <w:snapToGrid/>
                      <w:color w:val="auto"/>
                      <w:kern w:val="2"/>
                      <w:szCs w:val="24"/>
                      <w:highlight w:val="none"/>
                      <w:lang w:eastAsia="zh-CN"/>
                    </w:rPr>
                  </w:pPr>
                  <w:r>
                    <w:rPr>
                      <w:rFonts w:hint="eastAsia" w:ascii="Times New Roman" w:hAnsi="Times New Roman" w:eastAsia="宋体" w:cs="Times New Roman"/>
                      <w:snapToGrid/>
                      <w:color w:val="auto"/>
                      <w:kern w:val="2"/>
                      <w:szCs w:val="24"/>
                      <w:highlight w:val="none"/>
                      <w:lang w:eastAsia="zh-CN"/>
                    </w:rPr>
                    <w:t>SO</w:t>
                  </w:r>
                  <w:r>
                    <w:rPr>
                      <w:rFonts w:hint="eastAsia" w:ascii="Times New Roman" w:hAnsi="Times New Roman" w:eastAsia="宋体" w:cs="Times New Roman"/>
                      <w:snapToGrid/>
                      <w:color w:val="auto"/>
                      <w:kern w:val="2"/>
                      <w:szCs w:val="24"/>
                      <w:highlight w:val="none"/>
                      <w:vertAlign w:val="subscript"/>
                      <w:lang w:eastAsia="zh-CN"/>
                    </w:rPr>
                    <w:t>2</w:t>
                  </w:r>
                </w:p>
              </w:tc>
              <w:tc>
                <w:tcPr>
                  <w:tcW w:w="402" w:type="pct"/>
                  <w:vMerge w:val="continue"/>
                  <w:tcBorders>
                    <w:tl2br w:val="nil"/>
                    <w:tr2bl w:val="nil"/>
                  </w:tcBorders>
                  <w:noWrap w:val="0"/>
                  <w:vAlign w:val="center"/>
                </w:tcPr>
                <w:p w14:paraId="19225FD2">
                  <w:pPr>
                    <w:pStyle w:val="98"/>
                    <w:widowControl w:val="0"/>
                    <w:kinsoku/>
                    <w:autoSpaceDE/>
                    <w:autoSpaceDN/>
                    <w:adjustRightInd/>
                    <w:snapToGrid/>
                    <w:jc w:val="center"/>
                    <w:textAlignment w:val="auto"/>
                    <w:rPr>
                      <w:rFonts w:hint="eastAsia" w:ascii="Times New Roman" w:hAnsi="Times New Roman" w:cs="Times New Roman"/>
                      <w:snapToGrid/>
                      <w:color w:val="auto"/>
                      <w:kern w:val="2"/>
                      <w:szCs w:val="24"/>
                      <w:highlight w:val="none"/>
                      <w:lang w:eastAsia="zh-CN"/>
                    </w:rPr>
                  </w:pPr>
                </w:p>
              </w:tc>
              <w:tc>
                <w:tcPr>
                  <w:tcW w:w="541" w:type="pct"/>
                  <w:vMerge w:val="continue"/>
                  <w:tcBorders>
                    <w:tl2br w:val="nil"/>
                    <w:tr2bl w:val="nil"/>
                  </w:tcBorders>
                  <w:noWrap w:val="0"/>
                  <w:vAlign w:val="center"/>
                </w:tcPr>
                <w:p w14:paraId="6079B737">
                  <w:pPr>
                    <w:pStyle w:val="98"/>
                    <w:widowControl w:val="0"/>
                    <w:kinsoku/>
                    <w:autoSpaceDE/>
                    <w:autoSpaceDN/>
                    <w:adjustRightInd/>
                    <w:snapToGrid/>
                    <w:jc w:val="center"/>
                    <w:textAlignment w:val="auto"/>
                    <w:rPr>
                      <w:rFonts w:hint="eastAsia" w:ascii="Times New Roman" w:hAnsi="Times New Roman" w:cs="Times New Roman"/>
                      <w:snapToGrid/>
                      <w:color w:val="auto"/>
                      <w:kern w:val="2"/>
                      <w:szCs w:val="24"/>
                      <w:highlight w:val="none"/>
                      <w:lang w:eastAsia="zh-CN"/>
                    </w:rPr>
                  </w:pPr>
                </w:p>
              </w:tc>
              <w:tc>
                <w:tcPr>
                  <w:tcW w:w="541" w:type="pct"/>
                  <w:vMerge w:val="continue"/>
                  <w:tcBorders>
                    <w:tl2br w:val="nil"/>
                    <w:tr2bl w:val="nil"/>
                  </w:tcBorders>
                  <w:noWrap w:val="0"/>
                  <w:vAlign w:val="center"/>
                </w:tcPr>
                <w:p w14:paraId="677C9209">
                  <w:pPr>
                    <w:pStyle w:val="98"/>
                    <w:widowControl w:val="0"/>
                    <w:kinsoku/>
                    <w:autoSpaceDE/>
                    <w:autoSpaceDN/>
                    <w:adjustRightInd/>
                    <w:snapToGrid/>
                    <w:jc w:val="center"/>
                    <w:textAlignment w:val="auto"/>
                    <w:rPr>
                      <w:rFonts w:hint="eastAsia" w:ascii="Times New Roman" w:hAnsi="Times New Roman" w:cs="Times New Roman"/>
                      <w:snapToGrid/>
                      <w:color w:val="auto"/>
                      <w:kern w:val="2"/>
                      <w:szCs w:val="24"/>
                      <w:highlight w:val="none"/>
                      <w:lang w:eastAsia="zh-CN"/>
                    </w:rPr>
                  </w:pPr>
                </w:p>
              </w:tc>
              <w:tc>
                <w:tcPr>
                  <w:tcW w:w="443" w:type="pct"/>
                  <w:tcBorders>
                    <w:tl2br w:val="nil"/>
                    <w:tr2bl w:val="nil"/>
                  </w:tcBorders>
                  <w:noWrap w:val="0"/>
                  <w:vAlign w:val="center"/>
                </w:tcPr>
                <w:p w14:paraId="301D3E4A">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0.12</w:t>
                  </w:r>
                </w:p>
              </w:tc>
              <w:tc>
                <w:tcPr>
                  <w:tcW w:w="416" w:type="pct"/>
                  <w:tcBorders>
                    <w:tl2br w:val="nil"/>
                    <w:tr2bl w:val="nil"/>
                  </w:tcBorders>
                  <w:noWrap w:val="0"/>
                  <w:vAlign w:val="center"/>
                </w:tcPr>
                <w:p w14:paraId="4A8090CD">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0.031</w:t>
                  </w:r>
                </w:p>
              </w:tc>
              <w:tc>
                <w:tcPr>
                  <w:tcW w:w="875" w:type="dxa"/>
                  <w:tcBorders>
                    <w:tl2br w:val="nil"/>
                    <w:tr2bl w:val="nil"/>
                  </w:tcBorders>
                  <w:noWrap w:val="0"/>
                  <w:vAlign w:val="center"/>
                </w:tcPr>
                <w:p w14:paraId="1E19E92F">
                  <w:pPr>
                    <w:pStyle w:val="98"/>
                    <w:widowControl w:val="0"/>
                    <w:kinsoku/>
                    <w:autoSpaceDE/>
                    <w:autoSpaceDN/>
                    <w:adjustRightInd/>
                    <w:snapToGrid/>
                    <w:ind w:firstLine="0" w:firstLineChars="0"/>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6.2</w:t>
                  </w:r>
                </w:p>
              </w:tc>
              <w:tc>
                <w:tcPr>
                  <w:tcW w:w="521" w:type="pct"/>
                  <w:tcBorders>
                    <w:tl2br w:val="nil"/>
                    <w:tr2bl w:val="nil"/>
                  </w:tcBorders>
                  <w:noWrap w:val="0"/>
                  <w:vAlign w:val="center"/>
                </w:tcPr>
                <w:p w14:paraId="39780838">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w:t>
                  </w:r>
                </w:p>
              </w:tc>
              <w:tc>
                <w:tcPr>
                  <w:tcW w:w="745" w:type="dxa"/>
                  <w:tcBorders>
                    <w:tl2br w:val="nil"/>
                    <w:tr2bl w:val="nil"/>
                  </w:tcBorders>
                  <w:noWrap w:val="0"/>
                  <w:vAlign w:val="center"/>
                </w:tcPr>
                <w:p w14:paraId="694CE4F2">
                  <w:pPr>
                    <w:pStyle w:val="98"/>
                    <w:widowControl w:val="0"/>
                    <w:kinsoku/>
                    <w:autoSpaceDE/>
                    <w:autoSpaceDN/>
                    <w:adjustRightInd/>
                    <w:snapToGrid/>
                    <w:ind w:firstLine="0" w:firstLineChars="0"/>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0.12</w:t>
                  </w:r>
                </w:p>
              </w:tc>
              <w:tc>
                <w:tcPr>
                  <w:tcW w:w="613" w:type="dxa"/>
                  <w:tcBorders>
                    <w:tl2br w:val="nil"/>
                    <w:tr2bl w:val="nil"/>
                  </w:tcBorders>
                  <w:noWrap w:val="0"/>
                  <w:vAlign w:val="center"/>
                </w:tcPr>
                <w:p w14:paraId="460F4597">
                  <w:pPr>
                    <w:pStyle w:val="98"/>
                    <w:widowControl w:val="0"/>
                    <w:kinsoku/>
                    <w:autoSpaceDE/>
                    <w:autoSpaceDN/>
                    <w:adjustRightInd/>
                    <w:snapToGrid/>
                    <w:ind w:firstLine="0" w:firstLineChars="0"/>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0.031</w:t>
                  </w:r>
                </w:p>
              </w:tc>
              <w:tc>
                <w:tcPr>
                  <w:tcW w:w="687" w:type="dxa"/>
                  <w:tcBorders>
                    <w:tl2br w:val="nil"/>
                    <w:tr2bl w:val="nil"/>
                  </w:tcBorders>
                  <w:noWrap w:val="0"/>
                  <w:vAlign w:val="center"/>
                </w:tcPr>
                <w:p w14:paraId="379EDE8A">
                  <w:pPr>
                    <w:pStyle w:val="98"/>
                    <w:widowControl w:val="0"/>
                    <w:kinsoku/>
                    <w:autoSpaceDE/>
                    <w:autoSpaceDN/>
                    <w:adjustRightInd/>
                    <w:snapToGrid/>
                    <w:ind w:firstLine="0" w:firstLineChars="0"/>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6.2</w:t>
                  </w:r>
                </w:p>
              </w:tc>
            </w:tr>
            <w:tr w14:paraId="42B7FD5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7" w:hRule="atLeast"/>
                <w:jc w:val="center"/>
              </w:trPr>
              <w:tc>
                <w:tcPr>
                  <w:tcW w:w="393" w:type="pct"/>
                  <w:tcBorders>
                    <w:tl2br w:val="nil"/>
                    <w:tr2bl w:val="nil"/>
                  </w:tcBorders>
                  <w:noWrap w:val="0"/>
                  <w:vAlign w:val="center"/>
                </w:tcPr>
                <w:p w14:paraId="698227B4">
                  <w:pPr>
                    <w:pStyle w:val="98"/>
                    <w:widowControl w:val="0"/>
                    <w:kinsoku/>
                    <w:autoSpaceDE/>
                    <w:autoSpaceDN/>
                    <w:adjustRightInd/>
                    <w:snapToGrid/>
                    <w:jc w:val="center"/>
                    <w:textAlignment w:val="auto"/>
                    <w:rPr>
                      <w:rFonts w:hint="eastAsia" w:ascii="Times New Roman" w:hAnsi="Times New Roman" w:eastAsia="宋体" w:cs="Times New Roman"/>
                      <w:snapToGrid/>
                      <w:color w:val="auto"/>
                      <w:kern w:val="2"/>
                      <w:szCs w:val="24"/>
                      <w:highlight w:val="none"/>
                      <w:lang w:eastAsia="zh-CN"/>
                    </w:rPr>
                  </w:pPr>
                  <w:r>
                    <w:rPr>
                      <w:rFonts w:hint="eastAsia" w:ascii="Times New Roman" w:hAnsi="Times New Roman" w:eastAsia="宋体" w:cs="Times New Roman"/>
                      <w:snapToGrid/>
                      <w:color w:val="auto"/>
                      <w:kern w:val="2"/>
                      <w:szCs w:val="24"/>
                      <w:highlight w:val="none"/>
                      <w:lang w:eastAsia="zh-CN"/>
                    </w:rPr>
                    <w:t>NO</w:t>
                  </w:r>
                  <w:r>
                    <w:rPr>
                      <w:rFonts w:hint="eastAsia" w:ascii="Times New Roman" w:hAnsi="Times New Roman" w:eastAsia="宋体" w:cs="Times New Roman"/>
                      <w:snapToGrid/>
                      <w:color w:val="auto"/>
                      <w:kern w:val="2"/>
                      <w:szCs w:val="24"/>
                      <w:highlight w:val="none"/>
                      <w:vertAlign w:val="subscript"/>
                      <w:lang w:eastAsia="zh-CN"/>
                    </w:rPr>
                    <w:t>X</w:t>
                  </w:r>
                </w:p>
              </w:tc>
              <w:tc>
                <w:tcPr>
                  <w:tcW w:w="402" w:type="pct"/>
                  <w:vMerge w:val="continue"/>
                  <w:tcBorders>
                    <w:tl2br w:val="nil"/>
                    <w:tr2bl w:val="nil"/>
                  </w:tcBorders>
                  <w:noWrap w:val="0"/>
                  <w:vAlign w:val="center"/>
                </w:tcPr>
                <w:p w14:paraId="4FC10C9F">
                  <w:pPr>
                    <w:pStyle w:val="98"/>
                    <w:widowControl w:val="0"/>
                    <w:kinsoku/>
                    <w:autoSpaceDE/>
                    <w:autoSpaceDN/>
                    <w:adjustRightInd/>
                    <w:snapToGrid/>
                    <w:jc w:val="center"/>
                    <w:textAlignment w:val="auto"/>
                    <w:rPr>
                      <w:rFonts w:hint="eastAsia" w:ascii="Times New Roman" w:hAnsi="Times New Roman" w:cs="Times New Roman"/>
                      <w:snapToGrid/>
                      <w:color w:val="auto"/>
                      <w:kern w:val="2"/>
                      <w:szCs w:val="24"/>
                      <w:highlight w:val="none"/>
                      <w:lang w:eastAsia="zh-CN"/>
                    </w:rPr>
                  </w:pPr>
                </w:p>
              </w:tc>
              <w:tc>
                <w:tcPr>
                  <w:tcW w:w="541" w:type="pct"/>
                  <w:vMerge w:val="continue"/>
                  <w:tcBorders>
                    <w:tl2br w:val="nil"/>
                    <w:tr2bl w:val="nil"/>
                  </w:tcBorders>
                  <w:noWrap w:val="0"/>
                  <w:vAlign w:val="center"/>
                </w:tcPr>
                <w:p w14:paraId="1771B9D5">
                  <w:pPr>
                    <w:pStyle w:val="98"/>
                    <w:widowControl w:val="0"/>
                    <w:kinsoku/>
                    <w:autoSpaceDE/>
                    <w:autoSpaceDN/>
                    <w:adjustRightInd/>
                    <w:snapToGrid/>
                    <w:jc w:val="center"/>
                    <w:textAlignment w:val="auto"/>
                    <w:rPr>
                      <w:rFonts w:hint="eastAsia" w:ascii="Times New Roman" w:hAnsi="Times New Roman" w:cs="Times New Roman"/>
                      <w:snapToGrid/>
                      <w:color w:val="auto"/>
                      <w:kern w:val="2"/>
                      <w:szCs w:val="24"/>
                      <w:highlight w:val="none"/>
                      <w:lang w:eastAsia="zh-CN"/>
                    </w:rPr>
                  </w:pPr>
                </w:p>
              </w:tc>
              <w:tc>
                <w:tcPr>
                  <w:tcW w:w="541" w:type="pct"/>
                  <w:vMerge w:val="continue"/>
                  <w:tcBorders>
                    <w:tl2br w:val="nil"/>
                    <w:tr2bl w:val="nil"/>
                  </w:tcBorders>
                  <w:noWrap w:val="0"/>
                  <w:vAlign w:val="center"/>
                </w:tcPr>
                <w:p w14:paraId="66A91771">
                  <w:pPr>
                    <w:pStyle w:val="98"/>
                    <w:widowControl w:val="0"/>
                    <w:kinsoku/>
                    <w:autoSpaceDE/>
                    <w:autoSpaceDN/>
                    <w:adjustRightInd/>
                    <w:snapToGrid/>
                    <w:jc w:val="center"/>
                    <w:textAlignment w:val="auto"/>
                    <w:rPr>
                      <w:rFonts w:hint="eastAsia" w:ascii="Times New Roman" w:hAnsi="Times New Roman" w:cs="Times New Roman"/>
                      <w:snapToGrid/>
                      <w:color w:val="auto"/>
                      <w:kern w:val="2"/>
                      <w:szCs w:val="24"/>
                      <w:highlight w:val="none"/>
                      <w:lang w:eastAsia="zh-CN"/>
                    </w:rPr>
                  </w:pPr>
                </w:p>
              </w:tc>
              <w:tc>
                <w:tcPr>
                  <w:tcW w:w="443" w:type="pct"/>
                  <w:tcBorders>
                    <w:tl2br w:val="nil"/>
                    <w:tr2bl w:val="nil"/>
                  </w:tcBorders>
                  <w:noWrap w:val="0"/>
                  <w:vAlign w:val="center"/>
                </w:tcPr>
                <w:p w14:paraId="46D08DBC">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1.78</w:t>
                  </w:r>
                </w:p>
              </w:tc>
              <w:tc>
                <w:tcPr>
                  <w:tcW w:w="416" w:type="pct"/>
                  <w:tcBorders>
                    <w:tl2br w:val="nil"/>
                    <w:tr2bl w:val="nil"/>
                  </w:tcBorders>
                  <w:noWrap w:val="0"/>
                  <w:vAlign w:val="center"/>
                </w:tcPr>
                <w:p w14:paraId="52692541">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0.46</w:t>
                  </w:r>
                </w:p>
              </w:tc>
              <w:tc>
                <w:tcPr>
                  <w:tcW w:w="875" w:type="dxa"/>
                  <w:tcBorders>
                    <w:tl2br w:val="nil"/>
                    <w:tr2bl w:val="nil"/>
                  </w:tcBorders>
                  <w:noWrap w:val="0"/>
                  <w:vAlign w:val="center"/>
                </w:tcPr>
                <w:p w14:paraId="4E50712F">
                  <w:pPr>
                    <w:pStyle w:val="98"/>
                    <w:widowControl w:val="0"/>
                    <w:kinsoku/>
                    <w:autoSpaceDE/>
                    <w:autoSpaceDN/>
                    <w:adjustRightInd/>
                    <w:snapToGrid/>
                    <w:ind w:firstLine="0" w:firstLineChars="0"/>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92</w:t>
                  </w:r>
                </w:p>
              </w:tc>
              <w:tc>
                <w:tcPr>
                  <w:tcW w:w="521" w:type="pct"/>
                  <w:tcBorders>
                    <w:tl2br w:val="nil"/>
                    <w:tr2bl w:val="nil"/>
                  </w:tcBorders>
                  <w:noWrap w:val="0"/>
                  <w:vAlign w:val="center"/>
                </w:tcPr>
                <w:p w14:paraId="11BA64FA">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w:t>
                  </w:r>
                </w:p>
              </w:tc>
              <w:tc>
                <w:tcPr>
                  <w:tcW w:w="745" w:type="dxa"/>
                  <w:tcBorders>
                    <w:tl2br w:val="nil"/>
                    <w:tr2bl w:val="nil"/>
                  </w:tcBorders>
                  <w:noWrap w:val="0"/>
                  <w:vAlign w:val="center"/>
                </w:tcPr>
                <w:p w14:paraId="43703B31">
                  <w:pPr>
                    <w:pStyle w:val="98"/>
                    <w:widowControl w:val="0"/>
                    <w:kinsoku/>
                    <w:autoSpaceDE/>
                    <w:autoSpaceDN/>
                    <w:adjustRightInd/>
                    <w:snapToGrid/>
                    <w:ind w:firstLine="0" w:firstLineChars="0"/>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1.78</w:t>
                  </w:r>
                </w:p>
              </w:tc>
              <w:tc>
                <w:tcPr>
                  <w:tcW w:w="613" w:type="dxa"/>
                  <w:tcBorders>
                    <w:tl2br w:val="nil"/>
                    <w:tr2bl w:val="nil"/>
                  </w:tcBorders>
                  <w:noWrap w:val="0"/>
                  <w:vAlign w:val="center"/>
                </w:tcPr>
                <w:p w14:paraId="3601DAEC">
                  <w:pPr>
                    <w:pStyle w:val="98"/>
                    <w:widowControl w:val="0"/>
                    <w:kinsoku/>
                    <w:autoSpaceDE/>
                    <w:autoSpaceDN/>
                    <w:adjustRightInd/>
                    <w:snapToGrid/>
                    <w:ind w:firstLine="0" w:firstLineChars="0"/>
                    <w:jc w:val="center"/>
                    <w:textAlignment w:val="auto"/>
                    <w:rPr>
                      <w:rFonts w:hint="eastAsia" w:ascii="Times New Roman" w:hAnsi="Times New Roman" w:cs="Times New Roman"/>
                      <w:snapToGrid/>
                      <w:color w:val="auto"/>
                      <w:kern w:val="2"/>
                      <w:szCs w:val="24"/>
                      <w:highlight w:val="none"/>
                      <w:lang w:eastAsia="zh-CN"/>
                    </w:rPr>
                  </w:pPr>
                  <w:r>
                    <w:rPr>
                      <w:rFonts w:hint="eastAsia" w:ascii="Times New Roman" w:hAnsi="Times New Roman" w:cs="Times New Roman"/>
                      <w:snapToGrid/>
                      <w:color w:val="auto"/>
                      <w:kern w:val="2"/>
                      <w:szCs w:val="24"/>
                      <w:highlight w:val="none"/>
                      <w:lang w:val="en-US" w:eastAsia="zh-CN"/>
                    </w:rPr>
                    <w:t>0.46</w:t>
                  </w:r>
                </w:p>
              </w:tc>
              <w:tc>
                <w:tcPr>
                  <w:tcW w:w="687" w:type="dxa"/>
                  <w:tcBorders>
                    <w:tl2br w:val="nil"/>
                    <w:tr2bl w:val="nil"/>
                  </w:tcBorders>
                  <w:noWrap w:val="0"/>
                  <w:vAlign w:val="center"/>
                </w:tcPr>
                <w:p w14:paraId="113688E7">
                  <w:pPr>
                    <w:pStyle w:val="98"/>
                    <w:widowControl w:val="0"/>
                    <w:kinsoku/>
                    <w:autoSpaceDE/>
                    <w:autoSpaceDN/>
                    <w:adjustRightInd/>
                    <w:snapToGrid/>
                    <w:ind w:firstLine="0" w:firstLineChars="0"/>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92</w:t>
                  </w:r>
                </w:p>
              </w:tc>
            </w:tr>
          </w:tbl>
          <w:p w14:paraId="5861D5ED">
            <w:pPr>
              <w:ind w:left="0" w:leftChars="0" w:firstLine="0" w:firstLineChars="0"/>
              <w:jc w:val="center"/>
              <w:rPr>
                <w:rFonts w:ascii="Times New Roman" w:hAnsi="Times New Roman" w:eastAsia="宋体" w:cs="Times New Roman"/>
                <w:b/>
                <w:bCs/>
                <w:snapToGrid/>
                <w:color w:val="auto"/>
                <w:kern w:val="2"/>
                <w:sz w:val="24"/>
                <w:szCs w:val="24"/>
                <w:highlight w:val="none"/>
                <w:lang w:eastAsia="zh-CN"/>
              </w:rPr>
            </w:pPr>
          </w:p>
          <w:p w14:paraId="6FFE3FF4">
            <w:pPr>
              <w:ind w:left="0" w:leftChars="0" w:firstLine="0" w:firstLineChars="0"/>
              <w:jc w:val="center"/>
              <w:rPr>
                <w:rFonts w:ascii="Times New Roman" w:hAnsi="Times New Roman" w:eastAsia="宋体" w:cs="Times New Roman"/>
                <w:b/>
                <w:bCs/>
                <w:snapToGrid/>
                <w:color w:val="auto"/>
                <w:kern w:val="2"/>
                <w:sz w:val="24"/>
                <w:szCs w:val="24"/>
                <w:highlight w:val="none"/>
                <w:lang w:eastAsia="zh-CN"/>
              </w:rPr>
            </w:pPr>
            <w:r>
              <w:rPr>
                <w:rFonts w:ascii="Times New Roman" w:hAnsi="Times New Roman" w:eastAsia="宋体" w:cs="Times New Roman"/>
                <w:b/>
                <w:bCs/>
                <w:snapToGrid/>
                <w:color w:val="auto"/>
                <w:kern w:val="2"/>
                <w:sz w:val="24"/>
                <w:szCs w:val="24"/>
                <w:highlight w:val="none"/>
                <w:lang w:eastAsia="zh-CN"/>
              </w:rPr>
              <w:t>表4.2-</w:t>
            </w:r>
            <w:r>
              <w:rPr>
                <w:rFonts w:hint="eastAsia" w:ascii="Times New Roman" w:hAnsi="Times New Roman" w:eastAsia="宋体" w:cs="Times New Roman"/>
                <w:b/>
                <w:bCs/>
                <w:snapToGrid/>
                <w:color w:val="auto"/>
                <w:kern w:val="2"/>
                <w:sz w:val="24"/>
                <w:szCs w:val="24"/>
                <w:highlight w:val="none"/>
                <w:lang w:val="en-US" w:eastAsia="zh-CN"/>
              </w:rPr>
              <w:t>6</w:t>
            </w:r>
            <w:r>
              <w:rPr>
                <w:rFonts w:ascii="Times New Roman" w:hAnsi="Times New Roman" w:eastAsia="宋体" w:cs="Times New Roman"/>
                <w:b/>
                <w:bCs/>
                <w:snapToGrid/>
                <w:color w:val="auto"/>
                <w:kern w:val="2"/>
                <w:sz w:val="24"/>
                <w:szCs w:val="24"/>
                <w:highlight w:val="none"/>
                <w:lang w:eastAsia="zh-CN"/>
              </w:rPr>
              <w:t xml:space="preserve">  </w:t>
            </w:r>
            <w:r>
              <w:rPr>
                <w:rFonts w:hint="eastAsia"/>
                <w:b/>
                <w:bCs/>
                <w:color w:val="auto"/>
                <w:highlight w:val="none"/>
                <w:lang w:val="en-US" w:eastAsia="zh-CN"/>
              </w:rPr>
              <w:t>骨料烘干废气（全厂）</w:t>
            </w:r>
            <w:r>
              <w:rPr>
                <w:rFonts w:ascii="Times New Roman" w:hAnsi="Times New Roman" w:eastAsia="宋体" w:cs="Times New Roman"/>
                <w:b/>
                <w:bCs/>
                <w:snapToGrid/>
                <w:color w:val="auto"/>
                <w:kern w:val="2"/>
                <w:sz w:val="24"/>
                <w:szCs w:val="24"/>
                <w:highlight w:val="none"/>
                <w:lang w:eastAsia="zh-CN"/>
              </w:rPr>
              <w:t>排放情况一览表</w:t>
            </w:r>
          </w:p>
          <w:tbl>
            <w:tblPr>
              <w:tblStyle w:val="28"/>
              <w:tblW w:w="831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84"/>
              <w:gridCol w:w="2116"/>
              <w:gridCol w:w="3318"/>
            </w:tblGrid>
            <w:tr w14:paraId="578650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2884" w:type="dxa"/>
                  <w:tcBorders>
                    <w:tl2br w:val="nil"/>
                    <w:tr2bl w:val="nil"/>
                  </w:tcBorders>
                  <w:noWrap w:val="0"/>
                  <w:vAlign w:val="center"/>
                </w:tcPr>
                <w:p w14:paraId="305EFDF5">
                  <w:pPr>
                    <w:pStyle w:val="98"/>
                    <w:widowControl w:val="0"/>
                    <w:kinsoku/>
                    <w:autoSpaceDE/>
                    <w:autoSpaceDN/>
                    <w:adjustRightInd/>
                    <w:snapToGrid/>
                    <w:jc w:val="center"/>
                    <w:textAlignment w:val="auto"/>
                    <w:rPr>
                      <w:rFonts w:hint="default" w:ascii="Times New Roman" w:hAnsi="Times New Roman" w:eastAsia="宋体" w:cs="Times New Roman"/>
                      <w:b/>
                      <w:bCs/>
                      <w:snapToGrid/>
                      <w:color w:val="auto"/>
                      <w:kern w:val="2"/>
                      <w:szCs w:val="24"/>
                      <w:highlight w:val="none"/>
                      <w:lang w:val="en-US" w:eastAsia="zh-CN"/>
                    </w:rPr>
                  </w:pPr>
                  <w:r>
                    <w:rPr>
                      <w:rFonts w:hint="default" w:ascii="Times New Roman" w:hAnsi="Times New Roman" w:eastAsia="宋体" w:cs="Times New Roman"/>
                      <w:b/>
                      <w:bCs/>
                      <w:snapToGrid/>
                      <w:color w:val="auto"/>
                      <w:kern w:val="2"/>
                      <w:szCs w:val="24"/>
                      <w:highlight w:val="none"/>
                      <w:lang w:val="en-US" w:eastAsia="zh-CN"/>
                    </w:rPr>
                    <w:t>污染物来源</w:t>
                  </w:r>
                </w:p>
              </w:tc>
              <w:tc>
                <w:tcPr>
                  <w:tcW w:w="2116" w:type="dxa"/>
                  <w:tcBorders>
                    <w:tl2br w:val="nil"/>
                    <w:tr2bl w:val="nil"/>
                  </w:tcBorders>
                  <w:noWrap w:val="0"/>
                  <w:vAlign w:val="center"/>
                </w:tcPr>
                <w:p w14:paraId="6A925ACB">
                  <w:pPr>
                    <w:pStyle w:val="98"/>
                    <w:widowControl w:val="0"/>
                    <w:kinsoku/>
                    <w:autoSpaceDE/>
                    <w:autoSpaceDN/>
                    <w:adjustRightInd/>
                    <w:snapToGrid/>
                    <w:jc w:val="center"/>
                    <w:textAlignment w:val="auto"/>
                    <w:rPr>
                      <w:rFonts w:hint="default" w:ascii="Times New Roman" w:hAnsi="Times New Roman" w:eastAsia="宋体" w:cs="Times New Roman"/>
                      <w:b/>
                      <w:bCs/>
                      <w:snapToGrid/>
                      <w:color w:val="auto"/>
                      <w:kern w:val="2"/>
                      <w:szCs w:val="24"/>
                      <w:highlight w:val="none"/>
                      <w:lang w:val="en-US" w:eastAsia="zh-CN"/>
                    </w:rPr>
                  </w:pPr>
                  <w:r>
                    <w:rPr>
                      <w:rFonts w:hint="default" w:ascii="Times New Roman" w:hAnsi="Times New Roman" w:eastAsia="宋体" w:cs="Times New Roman"/>
                      <w:b/>
                      <w:bCs/>
                      <w:snapToGrid/>
                      <w:color w:val="auto"/>
                      <w:kern w:val="2"/>
                      <w:szCs w:val="24"/>
                      <w:highlight w:val="none"/>
                      <w:lang w:val="en-US" w:eastAsia="zh-CN"/>
                    </w:rPr>
                    <w:t>污染物</w:t>
                  </w:r>
                </w:p>
              </w:tc>
              <w:tc>
                <w:tcPr>
                  <w:tcW w:w="3318" w:type="dxa"/>
                  <w:tcBorders>
                    <w:tl2br w:val="nil"/>
                    <w:tr2bl w:val="nil"/>
                  </w:tcBorders>
                  <w:noWrap w:val="0"/>
                  <w:vAlign w:val="center"/>
                </w:tcPr>
                <w:p w14:paraId="43EF767E">
                  <w:pPr>
                    <w:pStyle w:val="98"/>
                    <w:widowControl w:val="0"/>
                    <w:kinsoku/>
                    <w:autoSpaceDE/>
                    <w:autoSpaceDN/>
                    <w:adjustRightInd/>
                    <w:snapToGrid/>
                    <w:jc w:val="center"/>
                    <w:textAlignment w:val="auto"/>
                    <w:rPr>
                      <w:rFonts w:hint="default" w:ascii="Times New Roman" w:hAnsi="Times New Roman" w:eastAsia="宋体" w:cs="Times New Roman"/>
                      <w:b/>
                      <w:bCs/>
                      <w:snapToGrid/>
                      <w:color w:val="auto"/>
                      <w:kern w:val="2"/>
                      <w:szCs w:val="24"/>
                      <w:highlight w:val="none"/>
                      <w:lang w:val="en-US" w:eastAsia="zh-CN"/>
                    </w:rPr>
                  </w:pPr>
                  <w:r>
                    <w:rPr>
                      <w:rFonts w:hint="default" w:ascii="Times New Roman" w:hAnsi="Times New Roman" w:eastAsia="宋体" w:cs="Times New Roman"/>
                      <w:b/>
                      <w:bCs/>
                      <w:snapToGrid/>
                      <w:color w:val="auto"/>
                      <w:kern w:val="2"/>
                      <w:szCs w:val="24"/>
                      <w:highlight w:val="none"/>
                      <w:lang w:val="en-US" w:eastAsia="zh-CN"/>
                    </w:rPr>
                    <w:t>排放量（t/a）</w:t>
                  </w:r>
                </w:p>
              </w:tc>
            </w:tr>
            <w:tr w14:paraId="0966AA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2884" w:type="dxa"/>
                  <w:vMerge w:val="restart"/>
                  <w:tcBorders>
                    <w:tl2br w:val="nil"/>
                    <w:tr2bl w:val="nil"/>
                  </w:tcBorders>
                  <w:noWrap w:val="0"/>
                  <w:vAlign w:val="center"/>
                </w:tcPr>
                <w:p w14:paraId="186C5003">
                  <w:pPr>
                    <w:pStyle w:val="98"/>
                    <w:widowControl w:val="0"/>
                    <w:kinsoku/>
                    <w:autoSpaceDE/>
                    <w:autoSpaceDN/>
                    <w:adjustRightInd/>
                    <w:snapToGrid/>
                    <w:jc w:val="center"/>
                    <w:textAlignment w:val="auto"/>
                    <w:rPr>
                      <w:rFonts w:hint="default" w:ascii="Times New Roman" w:hAnsi="Times New Roman" w:eastAsia="宋体" w:cs="Times New Roman"/>
                      <w:snapToGrid/>
                      <w:color w:val="auto"/>
                      <w:kern w:val="2"/>
                      <w:szCs w:val="24"/>
                      <w:highlight w:val="none"/>
                      <w:lang w:val="en-US" w:eastAsia="zh-CN"/>
                    </w:rPr>
                  </w:pPr>
                  <w:r>
                    <w:rPr>
                      <w:rFonts w:hint="eastAsia" w:ascii="Times New Roman" w:hAnsi="Times New Roman" w:eastAsia="宋体" w:cs="Times New Roman"/>
                      <w:snapToGrid/>
                      <w:color w:val="auto"/>
                      <w:kern w:val="2"/>
                      <w:szCs w:val="24"/>
                      <w:highlight w:val="none"/>
                      <w:lang w:val="en-US" w:eastAsia="zh-CN"/>
                    </w:rPr>
                    <w:t>骨料烘干</w:t>
                  </w:r>
                </w:p>
              </w:tc>
              <w:tc>
                <w:tcPr>
                  <w:tcW w:w="2116" w:type="dxa"/>
                  <w:tcBorders>
                    <w:tl2br w:val="nil"/>
                    <w:tr2bl w:val="nil"/>
                  </w:tcBorders>
                  <w:noWrap w:val="0"/>
                  <w:vAlign w:val="center"/>
                </w:tcPr>
                <w:p w14:paraId="4AE7380C">
                  <w:pPr>
                    <w:pStyle w:val="98"/>
                    <w:widowControl w:val="0"/>
                    <w:kinsoku/>
                    <w:autoSpaceDE/>
                    <w:autoSpaceDN/>
                    <w:adjustRightInd/>
                    <w:snapToGrid/>
                    <w:ind w:firstLine="0" w:firstLineChars="0"/>
                    <w:jc w:val="center"/>
                    <w:textAlignment w:val="auto"/>
                    <w:rPr>
                      <w:rFonts w:hint="default" w:ascii="Times New Roman" w:hAnsi="Times New Roman" w:eastAsia="宋体" w:cs="Times New Roman"/>
                      <w:snapToGrid/>
                      <w:color w:val="auto"/>
                      <w:kern w:val="2"/>
                      <w:szCs w:val="24"/>
                      <w:highlight w:val="none"/>
                      <w:lang w:val="en-US" w:eastAsia="zh-CN"/>
                    </w:rPr>
                  </w:pPr>
                  <w:r>
                    <w:rPr>
                      <w:rFonts w:hint="eastAsia" w:ascii="Times New Roman" w:hAnsi="Times New Roman" w:eastAsia="宋体" w:cs="Times New Roman"/>
                      <w:snapToGrid/>
                      <w:color w:val="auto"/>
                      <w:kern w:val="2"/>
                      <w:szCs w:val="24"/>
                      <w:highlight w:val="none"/>
                      <w:lang w:eastAsia="zh-CN"/>
                    </w:rPr>
                    <w:t>颗粒物</w:t>
                  </w:r>
                </w:p>
              </w:tc>
              <w:tc>
                <w:tcPr>
                  <w:tcW w:w="3318" w:type="dxa"/>
                  <w:tcBorders>
                    <w:tl2br w:val="nil"/>
                    <w:tr2bl w:val="nil"/>
                  </w:tcBorders>
                  <w:noWrap w:val="0"/>
                  <w:vAlign w:val="center"/>
                </w:tcPr>
                <w:p w14:paraId="6CDDA9CD">
                  <w:pPr>
                    <w:pStyle w:val="98"/>
                    <w:widowControl w:val="0"/>
                    <w:kinsoku/>
                    <w:autoSpaceDE/>
                    <w:autoSpaceDN/>
                    <w:adjustRightInd/>
                    <w:snapToGrid/>
                    <w:jc w:val="center"/>
                    <w:textAlignment w:val="auto"/>
                    <w:rPr>
                      <w:rFonts w:hint="default" w:ascii="Times New Roman" w:hAnsi="Times New Roman" w:eastAsia="宋体" w:cs="Times New Roman"/>
                      <w:snapToGrid/>
                      <w:color w:val="auto"/>
                      <w:kern w:val="2"/>
                      <w:szCs w:val="24"/>
                      <w:highlight w:val="none"/>
                      <w:lang w:val="en-US" w:eastAsia="zh-CN"/>
                    </w:rPr>
                  </w:pPr>
                  <w:r>
                    <w:rPr>
                      <w:rFonts w:hint="eastAsia" w:ascii="Times New Roman" w:hAnsi="Times New Roman" w:eastAsia="宋体" w:cs="Times New Roman"/>
                      <w:snapToGrid/>
                      <w:color w:val="auto"/>
                      <w:kern w:val="2"/>
                      <w:szCs w:val="24"/>
                      <w:highlight w:val="none"/>
                      <w:lang w:val="en-US" w:eastAsia="zh-CN"/>
                    </w:rPr>
                    <w:t>0.039</w:t>
                  </w:r>
                </w:p>
              </w:tc>
            </w:tr>
            <w:tr w14:paraId="2C1375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2884" w:type="dxa"/>
                  <w:vMerge w:val="continue"/>
                  <w:tcBorders>
                    <w:tl2br w:val="nil"/>
                    <w:tr2bl w:val="nil"/>
                  </w:tcBorders>
                  <w:noWrap w:val="0"/>
                  <w:vAlign w:val="center"/>
                </w:tcPr>
                <w:p w14:paraId="503792FD">
                  <w:pPr>
                    <w:pStyle w:val="98"/>
                    <w:widowControl w:val="0"/>
                    <w:kinsoku/>
                    <w:autoSpaceDE/>
                    <w:autoSpaceDN/>
                    <w:adjustRightInd/>
                    <w:snapToGrid/>
                    <w:jc w:val="center"/>
                    <w:textAlignment w:val="auto"/>
                    <w:rPr>
                      <w:rFonts w:hint="eastAsia" w:ascii="Times New Roman" w:hAnsi="Times New Roman" w:eastAsia="宋体" w:cs="Times New Roman"/>
                      <w:snapToGrid/>
                      <w:color w:val="auto"/>
                      <w:kern w:val="2"/>
                      <w:szCs w:val="24"/>
                      <w:highlight w:val="none"/>
                      <w:lang w:val="en-US" w:eastAsia="zh-CN"/>
                    </w:rPr>
                  </w:pPr>
                </w:p>
              </w:tc>
              <w:tc>
                <w:tcPr>
                  <w:tcW w:w="2116" w:type="dxa"/>
                  <w:tcBorders>
                    <w:tl2br w:val="nil"/>
                    <w:tr2bl w:val="nil"/>
                  </w:tcBorders>
                  <w:noWrap w:val="0"/>
                  <w:vAlign w:val="center"/>
                </w:tcPr>
                <w:p w14:paraId="79D40972">
                  <w:pPr>
                    <w:pStyle w:val="98"/>
                    <w:widowControl w:val="0"/>
                    <w:kinsoku/>
                    <w:autoSpaceDE/>
                    <w:autoSpaceDN/>
                    <w:adjustRightInd/>
                    <w:snapToGrid/>
                    <w:ind w:firstLine="0" w:firstLineChars="0"/>
                    <w:jc w:val="center"/>
                    <w:textAlignment w:val="auto"/>
                    <w:rPr>
                      <w:rFonts w:hint="default" w:ascii="Times New Roman" w:hAnsi="Times New Roman" w:eastAsia="宋体" w:cs="Times New Roman"/>
                      <w:snapToGrid/>
                      <w:color w:val="auto"/>
                      <w:kern w:val="2"/>
                      <w:szCs w:val="24"/>
                      <w:highlight w:val="none"/>
                      <w:lang w:val="en-US" w:eastAsia="zh-CN"/>
                    </w:rPr>
                  </w:pPr>
                  <w:r>
                    <w:rPr>
                      <w:rFonts w:hint="eastAsia" w:ascii="Times New Roman" w:hAnsi="Times New Roman" w:eastAsia="宋体" w:cs="Times New Roman"/>
                      <w:snapToGrid/>
                      <w:color w:val="auto"/>
                      <w:kern w:val="2"/>
                      <w:szCs w:val="24"/>
                      <w:highlight w:val="none"/>
                      <w:lang w:eastAsia="zh-CN"/>
                    </w:rPr>
                    <w:t>SO</w:t>
                  </w:r>
                  <w:r>
                    <w:rPr>
                      <w:rFonts w:hint="eastAsia" w:ascii="Times New Roman" w:hAnsi="Times New Roman" w:eastAsia="宋体" w:cs="Times New Roman"/>
                      <w:snapToGrid/>
                      <w:color w:val="auto"/>
                      <w:kern w:val="2"/>
                      <w:szCs w:val="24"/>
                      <w:highlight w:val="none"/>
                      <w:vertAlign w:val="subscript"/>
                      <w:lang w:eastAsia="zh-CN"/>
                    </w:rPr>
                    <w:t>2</w:t>
                  </w:r>
                </w:p>
              </w:tc>
              <w:tc>
                <w:tcPr>
                  <w:tcW w:w="3318" w:type="dxa"/>
                  <w:tcBorders>
                    <w:tl2br w:val="nil"/>
                    <w:tr2bl w:val="nil"/>
                  </w:tcBorders>
                  <w:noWrap w:val="0"/>
                  <w:vAlign w:val="center"/>
                </w:tcPr>
                <w:p w14:paraId="0734CF6A">
                  <w:pPr>
                    <w:pStyle w:val="98"/>
                    <w:widowControl w:val="0"/>
                    <w:kinsoku/>
                    <w:autoSpaceDE/>
                    <w:autoSpaceDN/>
                    <w:adjustRightInd/>
                    <w:snapToGrid/>
                    <w:jc w:val="center"/>
                    <w:textAlignment w:val="auto"/>
                    <w:rPr>
                      <w:rFonts w:hint="default" w:ascii="Times New Roman" w:hAnsi="Times New Roman" w:eastAsia="宋体" w:cs="Times New Roman"/>
                      <w:snapToGrid/>
                      <w:color w:val="auto"/>
                      <w:kern w:val="2"/>
                      <w:szCs w:val="24"/>
                      <w:highlight w:val="none"/>
                      <w:lang w:val="en-US" w:eastAsia="zh-CN"/>
                    </w:rPr>
                  </w:pPr>
                  <w:r>
                    <w:rPr>
                      <w:rFonts w:hint="eastAsia" w:ascii="Times New Roman" w:hAnsi="Times New Roman" w:eastAsia="宋体" w:cs="Times New Roman"/>
                      <w:snapToGrid/>
                      <w:color w:val="auto"/>
                      <w:kern w:val="2"/>
                      <w:szCs w:val="24"/>
                      <w:highlight w:val="none"/>
                      <w:lang w:val="en-US" w:eastAsia="zh-CN"/>
                    </w:rPr>
                    <w:t>0.18</w:t>
                  </w:r>
                </w:p>
              </w:tc>
            </w:tr>
            <w:tr w14:paraId="736894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2884" w:type="dxa"/>
                  <w:vMerge w:val="continue"/>
                  <w:tcBorders>
                    <w:tl2br w:val="nil"/>
                    <w:tr2bl w:val="nil"/>
                  </w:tcBorders>
                  <w:noWrap w:val="0"/>
                  <w:vAlign w:val="center"/>
                </w:tcPr>
                <w:p w14:paraId="27232594">
                  <w:pPr>
                    <w:pStyle w:val="98"/>
                    <w:widowControl w:val="0"/>
                    <w:kinsoku/>
                    <w:autoSpaceDE/>
                    <w:autoSpaceDN/>
                    <w:adjustRightInd/>
                    <w:snapToGrid/>
                    <w:jc w:val="center"/>
                    <w:textAlignment w:val="auto"/>
                    <w:rPr>
                      <w:rFonts w:hint="eastAsia" w:ascii="Times New Roman" w:hAnsi="Times New Roman" w:eastAsia="宋体" w:cs="Times New Roman"/>
                      <w:snapToGrid/>
                      <w:color w:val="auto"/>
                      <w:kern w:val="2"/>
                      <w:szCs w:val="24"/>
                      <w:highlight w:val="none"/>
                      <w:lang w:val="en-US" w:eastAsia="zh-CN"/>
                    </w:rPr>
                  </w:pPr>
                </w:p>
              </w:tc>
              <w:tc>
                <w:tcPr>
                  <w:tcW w:w="2116" w:type="dxa"/>
                  <w:tcBorders>
                    <w:tl2br w:val="nil"/>
                    <w:tr2bl w:val="nil"/>
                  </w:tcBorders>
                  <w:noWrap w:val="0"/>
                  <w:vAlign w:val="center"/>
                </w:tcPr>
                <w:p w14:paraId="7CAD1D71">
                  <w:pPr>
                    <w:pStyle w:val="98"/>
                    <w:widowControl w:val="0"/>
                    <w:kinsoku/>
                    <w:autoSpaceDE/>
                    <w:autoSpaceDN/>
                    <w:adjustRightInd/>
                    <w:snapToGrid/>
                    <w:ind w:firstLine="0" w:firstLineChars="0"/>
                    <w:jc w:val="center"/>
                    <w:textAlignment w:val="auto"/>
                    <w:rPr>
                      <w:rFonts w:hint="default" w:ascii="Times New Roman" w:hAnsi="Times New Roman" w:eastAsia="宋体" w:cs="Times New Roman"/>
                      <w:snapToGrid/>
                      <w:color w:val="auto"/>
                      <w:kern w:val="2"/>
                      <w:szCs w:val="24"/>
                      <w:highlight w:val="none"/>
                      <w:lang w:val="en-US" w:eastAsia="zh-CN"/>
                    </w:rPr>
                  </w:pPr>
                  <w:r>
                    <w:rPr>
                      <w:rFonts w:hint="eastAsia" w:ascii="Times New Roman" w:hAnsi="Times New Roman" w:eastAsia="宋体" w:cs="Times New Roman"/>
                      <w:snapToGrid/>
                      <w:color w:val="auto"/>
                      <w:kern w:val="2"/>
                      <w:szCs w:val="24"/>
                      <w:highlight w:val="none"/>
                      <w:lang w:eastAsia="zh-CN"/>
                    </w:rPr>
                    <w:t>NO</w:t>
                  </w:r>
                  <w:r>
                    <w:rPr>
                      <w:rFonts w:hint="eastAsia" w:ascii="Times New Roman" w:hAnsi="Times New Roman" w:eastAsia="宋体" w:cs="Times New Roman"/>
                      <w:snapToGrid/>
                      <w:color w:val="auto"/>
                      <w:kern w:val="2"/>
                      <w:szCs w:val="24"/>
                      <w:highlight w:val="none"/>
                      <w:vertAlign w:val="subscript"/>
                      <w:lang w:eastAsia="zh-CN"/>
                    </w:rPr>
                    <w:t>X</w:t>
                  </w:r>
                </w:p>
              </w:tc>
              <w:tc>
                <w:tcPr>
                  <w:tcW w:w="3318" w:type="dxa"/>
                  <w:tcBorders>
                    <w:tl2br w:val="nil"/>
                    <w:tr2bl w:val="nil"/>
                  </w:tcBorders>
                  <w:noWrap w:val="0"/>
                  <w:vAlign w:val="center"/>
                </w:tcPr>
                <w:p w14:paraId="54537DB1">
                  <w:pPr>
                    <w:pStyle w:val="98"/>
                    <w:widowControl w:val="0"/>
                    <w:kinsoku/>
                    <w:autoSpaceDE/>
                    <w:autoSpaceDN/>
                    <w:adjustRightInd/>
                    <w:snapToGrid/>
                    <w:jc w:val="center"/>
                    <w:textAlignment w:val="auto"/>
                    <w:rPr>
                      <w:rFonts w:hint="default" w:ascii="Times New Roman" w:hAnsi="Times New Roman" w:eastAsia="宋体" w:cs="Times New Roman"/>
                      <w:snapToGrid/>
                      <w:color w:val="auto"/>
                      <w:kern w:val="2"/>
                      <w:szCs w:val="24"/>
                      <w:highlight w:val="none"/>
                      <w:lang w:val="en-US" w:eastAsia="zh-CN"/>
                    </w:rPr>
                  </w:pPr>
                  <w:r>
                    <w:rPr>
                      <w:rFonts w:hint="eastAsia" w:ascii="Times New Roman" w:hAnsi="Times New Roman" w:eastAsia="宋体" w:cs="Times New Roman"/>
                      <w:snapToGrid/>
                      <w:color w:val="auto"/>
                      <w:kern w:val="2"/>
                      <w:szCs w:val="24"/>
                      <w:highlight w:val="none"/>
                      <w:lang w:val="en-US" w:eastAsia="zh-CN"/>
                    </w:rPr>
                    <w:t>2.67</w:t>
                  </w:r>
                </w:p>
              </w:tc>
            </w:tr>
          </w:tbl>
          <w:p w14:paraId="25EA1753">
            <w:pPr>
              <w:ind w:firstLine="482"/>
              <w:rPr>
                <w:b/>
                <w:bCs/>
                <w:color w:val="auto"/>
                <w:highlight w:val="none"/>
              </w:rPr>
            </w:pPr>
            <w:r>
              <w:rPr>
                <w:rFonts w:hint="eastAsia"/>
                <w:b/>
                <w:bCs/>
                <w:color w:val="auto"/>
                <w:highlight w:val="none"/>
              </w:rPr>
              <w:t>（</w:t>
            </w:r>
            <w:r>
              <w:rPr>
                <w:rFonts w:hint="eastAsia"/>
                <w:b/>
                <w:bCs/>
                <w:color w:val="auto"/>
                <w:highlight w:val="none"/>
                <w:lang w:val="en-US" w:eastAsia="zh-CN"/>
              </w:rPr>
              <w:t>5</w:t>
            </w:r>
            <w:r>
              <w:rPr>
                <w:rFonts w:hint="eastAsia"/>
                <w:b/>
                <w:bCs/>
                <w:color w:val="auto"/>
                <w:highlight w:val="none"/>
              </w:rPr>
              <w:t>）</w:t>
            </w:r>
            <w:r>
              <w:rPr>
                <w:rFonts w:hint="eastAsia"/>
                <w:b/>
                <w:bCs/>
                <w:color w:val="auto"/>
                <w:highlight w:val="none"/>
                <w:lang w:val="en-US" w:eastAsia="zh-CN"/>
              </w:rPr>
              <w:t>导热油炉废气</w:t>
            </w:r>
            <w:r>
              <w:rPr>
                <w:rFonts w:hint="eastAsia"/>
                <w:b/>
                <w:bCs/>
                <w:color w:val="auto"/>
                <w:highlight w:val="none"/>
              </w:rPr>
              <w:t xml:space="preserve"> </w:t>
            </w:r>
          </w:p>
          <w:p w14:paraId="31C01F2D">
            <w:pPr>
              <w:bidi w:val="0"/>
              <w:rPr>
                <w:rFonts w:hint="default" w:ascii="宋体" w:hAnsi="宋体" w:eastAsia="宋体" w:cs="宋体"/>
                <w:color w:val="auto"/>
                <w:kern w:val="0"/>
                <w:highlight w:val="none"/>
                <w:lang w:val="en-US" w:eastAsia="zh-CN" w:bidi="ar"/>
              </w:rPr>
            </w:pPr>
            <w:r>
              <w:rPr>
                <w:rFonts w:hint="eastAsia" w:ascii="宋体" w:hAnsi="宋体" w:cs="宋体"/>
                <w:color w:val="auto"/>
                <w:kern w:val="0"/>
                <w:highlight w:val="none"/>
                <w:lang w:bidi="ar"/>
              </w:rPr>
              <w:t>项目导热油炉以天然气为燃料，对沥青原料进行加热</w:t>
            </w:r>
            <w:r>
              <w:rPr>
                <w:rFonts w:hint="eastAsia"/>
                <w:color w:val="auto"/>
                <w:highlight w:val="none"/>
                <w:lang w:eastAsia="zh-CN"/>
              </w:rPr>
              <w:t>。</w:t>
            </w:r>
            <w:r>
              <w:rPr>
                <w:rFonts w:hint="eastAsia"/>
                <w:color w:val="auto"/>
                <w:highlight w:val="none"/>
                <w:lang w:val="en-US" w:eastAsia="zh-CN"/>
              </w:rPr>
              <w:t>导热油炉废气</w:t>
            </w:r>
            <w:r>
              <w:rPr>
                <w:rFonts w:hint="eastAsia"/>
                <w:color w:val="auto"/>
                <w:highlight w:val="none"/>
              </w:rPr>
              <w:t>参考</w:t>
            </w:r>
            <w:r>
              <w:rPr>
                <w:rFonts w:hint="eastAsia"/>
                <w:color w:val="auto"/>
                <w:highlight w:val="none"/>
                <w:lang w:val="en-US" w:eastAsia="zh-CN"/>
              </w:rPr>
              <w:t>《排污许可证申请与核发技术规范 锅炉》（HJ953—2018）</w:t>
            </w:r>
            <w:r>
              <w:rPr>
                <w:rFonts w:hint="eastAsia"/>
                <w:color w:val="auto"/>
                <w:highlight w:val="none"/>
              </w:rPr>
              <w:t>中</w:t>
            </w:r>
            <w:r>
              <w:rPr>
                <w:rFonts w:hint="eastAsia"/>
                <w:color w:val="auto"/>
                <w:highlight w:val="none"/>
                <w:lang w:val="en-US" w:eastAsia="zh-CN"/>
              </w:rPr>
              <w:t>表F.3的</w:t>
            </w:r>
            <w:r>
              <w:rPr>
                <w:rFonts w:hint="eastAsia"/>
                <w:color w:val="auto"/>
                <w:highlight w:val="none"/>
              </w:rPr>
              <w:t>“天然气”燃烧的颗粒物、二氧化硫和氮氧化物的产污系数分别为</w:t>
            </w:r>
            <w:r>
              <w:rPr>
                <w:rFonts w:hint="eastAsia"/>
                <w:color w:val="auto"/>
                <w:highlight w:val="none"/>
                <w:lang w:val="en-US" w:eastAsia="zh-CN"/>
              </w:rPr>
              <w:t>2.86kg</w:t>
            </w:r>
            <w:r>
              <w:rPr>
                <w:color w:val="auto"/>
                <w:highlight w:val="none"/>
              </w:rPr>
              <w:t>/</w:t>
            </w:r>
            <w:r>
              <w:rPr>
                <w:rFonts w:hint="eastAsia"/>
                <w:color w:val="auto"/>
                <w:highlight w:val="none"/>
                <w:lang w:val="en-US" w:eastAsia="zh-CN"/>
              </w:rPr>
              <w:t>万</w:t>
            </w:r>
            <w:r>
              <w:rPr>
                <w:rFonts w:hint="eastAsia"/>
                <w:color w:val="auto"/>
                <w:highlight w:val="none"/>
              </w:rPr>
              <w:t>m</w:t>
            </w:r>
            <w:r>
              <w:rPr>
                <w:rFonts w:hint="eastAsia"/>
                <w:color w:val="auto"/>
                <w:highlight w:val="none"/>
                <w:vertAlign w:val="superscript"/>
              </w:rPr>
              <w:t>3</w:t>
            </w:r>
            <w:r>
              <w:rPr>
                <w:rFonts w:hint="eastAsia"/>
                <w:color w:val="auto"/>
                <w:highlight w:val="none"/>
              </w:rPr>
              <w:t>燃料、0.</w:t>
            </w:r>
            <w:r>
              <w:rPr>
                <w:rFonts w:hint="eastAsia"/>
                <w:color w:val="auto"/>
                <w:highlight w:val="none"/>
                <w:lang w:val="en-US" w:eastAsia="zh-CN"/>
              </w:rPr>
              <w:t>02Skg</w:t>
            </w:r>
            <w:r>
              <w:rPr>
                <w:color w:val="auto"/>
                <w:highlight w:val="none"/>
              </w:rPr>
              <w:t>/</w:t>
            </w:r>
            <w:r>
              <w:rPr>
                <w:rFonts w:hint="eastAsia"/>
                <w:color w:val="auto"/>
                <w:highlight w:val="none"/>
                <w:lang w:val="en-US" w:eastAsia="zh-CN"/>
              </w:rPr>
              <w:t>万</w:t>
            </w:r>
            <w:r>
              <w:rPr>
                <w:rFonts w:hint="eastAsia"/>
                <w:color w:val="auto"/>
                <w:highlight w:val="none"/>
              </w:rPr>
              <w:t>m</w:t>
            </w:r>
            <w:r>
              <w:rPr>
                <w:rFonts w:hint="eastAsia"/>
                <w:color w:val="auto"/>
                <w:highlight w:val="none"/>
                <w:vertAlign w:val="superscript"/>
              </w:rPr>
              <w:t>3</w:t>
            </w:r>
            <w:r>
              <w:rPr>
                <w:rFonts w:hint="eastAsia"/>
                <w:color w:val="auto"/>
                <w:highlight w:val="none"/>
              </w:rPr>
              <w:t>燃料和</w:t>
            </w:r>
            <w:r>
              <w:rPr>
                <w:rFonts w:hint="eastAsia"/>
                <w:color w:val="auto"/>
                <w:highlight w:val="none"/>
                <w:lang w:val="en-US" w:eastAsia="zh-CN"/>
              </w:rPr>
              <w:t>9.36kg</w:t>
            </w:r>
            <w:r>
              <w:rPr>
                <w:color w:val="auto"/>
                <w:highlight w:val="none"/>
              </w:rPr>
              <w:t>/</w:t>
            </w:r>
            <w:r>
              <w:rPr>
                <w:rFonts w:hint="eastAsia"/>
                <w:color w:val="auto"/>
                <w:highlight w:val="none"/>
                <w:lang w:val="en-US" w:eastAsia="zh-CN"/>
              </w:rPr>
              <w:t>万</w:t>
            </w:r>
            <w:r>
              <w:rPr>
                <w:rFonts w:hint="eastAsia"/>
                <w:color w:val="auto"/>
                <w:highlight w:val="none"/>
              </w:rPr>
              <w:t>m</w:t>
            </w:r>
            <w:r>
              <w:rPr>
                <w:rFonts w:hint="eastAsia"/>
                <w:color w:val="auto"/>
                <w:highlight w:val="none"/>
                <w:vertAlign w:val="superscript"/>
              </w:rPr>
              <w:t>3</w:t>
            </w:r>
            <w:r>
              <w:rPr>
                <w:rFonts w:hint="eastAsia"/>
                <w:color w:val="auto"/>
                <w:highlight w:val="none"/>
              </w:rPr>
              <w:t>燃料，</w:t>
            </w:r>
            <w:r>
              <w:rPr>
                <w:rFonts w:hint="eastAsia"/>
                <w:color w:val="auto"/>
                <w:highlight w:val="none"/>
                <w:lang w:val="en-US" w:eastAsia="zh-CN"/>
              </w:rPr>
              <w:t>同时根据《天然气》（</w:t>
            </w:r>
            <w:r>
              <w:rPr>
                <w:rFonts w:hint="default"/>
                <w:color w:val="auto"/>
                <w:highlight w:val="none"/>
                <w:lang w:val="en-US" w:eastAsia="zh-CN"/>
              </w:rPr>
              <w:t>GB17820-2018</w:t>
            </w:r>
            <w:r>
              <w:rPr>
                <w:rFonts w:hint="eastAsia"/>
                <w:color w:val="auto"/>
                <w:highlight w:val="none"/>
                <w:lang w:val="en-US" w:eastAsia="zh-CN"/>
              </w:rPr>
              <w:t>），作为民用燃料的天然气，总硫和硫化氢含量应符合一类气或二类气的技术指标，本项目以二类气的技术指标计，则气体含硫量S为</w:t>
            </w:r>
            <w:r>
              <w:rPr>
                <w:rFonts w:hint="default"/>
                <w:color w:val="auto"/>
                <w:highlight w:val="none"/>
                <w:lang w:val="en-US" w:eastAsia="zh-CN"/>
              </w:rPr>
              <w:t>100mg/m</w:t>
            </w:r>
            <w:r>
              <w:rPr>
                <w:rFonts w:hint="default"/>
                <w:color w:val="auto"/>
                <w:highlight w:val="none"/>
                <w:vertAlign w:val="superscript"/>
                <w:lang w:val="en-US" w:eastAsia="zh-CN"/>
              </w:rPr>
              <w:t>3</w:t>
            </w:r>
            <w:r>
              <w:rPr>
                <w:rFonts w:hint="eastAsia"/>
                <w:color w:val="auto"/>
                <w:highlight w:val="none"/>
                <w:lang w:eastAsia="zh-CN"/>
              </w:rPr>
              <w:t>。</w:t>
            </w:r>
            <w:r>
              <w:rPr>
                <w:rFonts w:hint="eastAsia"/>
                <w:color w:val="auto"/>
                <w:highlight w:val="none"/>
                <w:lang w:val="en-US" w:eastAsia="zh-CN"/>
              </w:rPr>
              <w:t>该工段一期天然气使用量为5.5万m</w:t>
            </w:r>
            <w:r>
              <w:rPr>
                <w:rFonts w:hint="eastAsia"/>
                <w:color w:val="auto"/>
                <w:highlight w:val="none"/>
                <w:vertAlign w:val="superscript"/>
                <w:lang w:val="en-US" w:eastAsia="zh-CN"/>
              </w:rPr>
              <w:t>3</w:t>
            </w:r>
            <w:r>
              <w:rPr>
                <w:rFonts w:hint="eastAsia"/>
                <w:color w:val="auto"/>
                <w:highlight w:val="none"/>
                <w:lang w:val="en-US" w:eastAsia="zh-CN"/>
              </w:rPr>
              <w:t>/a，二期天然气使用量为11万m</w:t>
            </w:r>
            <w:r>
              <w:rPr>
                <w:rFonts w:hint="eastAsia"/>
                <w:color w:val="auto"/>
                <w:highlight w:val="none"/>
                <w:vertAlign w:val="superscript"/>
                <w:lang w:val="en-US" w:eastAsia="zh-CN"/>
              </w:rPr>
              <w:t>3</w:t>
            </w:r>
            <w:r>
              <w:rPr>
                <w:rFonts w:hint="eastAsia"/>
                <w:color w:val="auto"/>
                <w:highlight w:val="none"/>
                <w:lang w:val="en-US" w:eastAsia="zh-CN"/>
              </w:rPr>
              <w:t>/a，</w:t>
            </w:r>
            <w:r>
              <w:rPr>
                <w:rFonts w:hint="eastAsia"/>
                <w:color w:val="auto"/>
                <w:highlight w:val="none"/>
              </w:rPr>
              <w:t>即</w:t>
            </w:r>
            <w:r>
              <w:rPr>
                <w:rFonts w:hint="eastAsia"/>
                <w:color w:val="auto"/>
                <w:highlight w:val="none"/>
                <w:lang w:val="en-US" w:eastAsia="zh-CN"/>
              </w:rPr>
              <w:t>该工段一期</w:t>
            </w:r>
            <w:r>
              <w:rPr>
                <w:rFonts w:hint="eastAsia"/>
                <w:color w:val="auto"/>
                <w:highlight w:val="none"/>
              </w:rPr>
              <w:t>天然气燃烧产生的颗粒物、SO</w:t>
            </w:r>
            <w:r>
              <w:rPr>
                <w:rFonts w:hint="eastAsia"/>
                <w:color w:val="auto"/>
                <w:highlight w:val="none"/>
                <w:vertAlign w:val="subscript"/>
              </w:rPr>
              <w:t>2</w:t>
            </w:r>
            <w:r>
              <w:rPr>
                <w:rFonts w:hint="eastAsia"/>
                <w:color w:val="auto"/>
                <w:highlight w:val="none"/>
              </w:rPr>
              <w:t>和</w:t>
            </w:r>
            <w:r>
              <w:rPr>
                <w:color w:val="auto"/>
                <w:highlight w:val="none"/>
              </w:rPr>
              <w:t>NO</w:t>
            </w:r>
            <w:r>
              <w:rPr>
                <w:color w:val="auto"/>
                <w:highlight w:val="none"/>
                <w:vertAlign w:val="subscript"/>
              </w:rPr>
              <w:t>X</w:t>
            </w:r>
            <w:r>
              <w:rPr>
                <w:rFonts w:hint="eastAsia"/>
                <w:color w:val="auto"/>
                <w:highlight w:val="none"/>
              </w:rPr>
              <w:t>量分别为0.0</w:t>
            </w:r>
            <w:r>
              <w:rPr>
                <w:rFonts w:hint="eastAsia"/>
                <w:color w:val="auto"/>
                <w:highlight w:val="none"/>
                <w:lang w:val="en-US" w:eastAsia="zh-CN"/>
              </w:rPr>
              <w:t>16</w:t>
            </w:r>
            <w:r>
              <w:rPr>
                <w:rFonts w:hint="eastAsia"/>
                <w:color w:val="auto"/>
                <w:highlight w:val="none"/>
              </w:rPr>
              <w:t>t</w:t>
            </w:r>
            <w:r>
              <w:rPr>
                <w:color w:val="auto"/>
                <w:highlight w:val="none"/>
              </w:rPr>
              <w:t>/a</w:t>
            </w:r>
            <w:r>
              <w:rPr>
                <w:rFonts w:hint="eastAsia"/>
                <w:color w:val="auto"/>
                <w:highlight w:val="none"/>
              </w:rPr>
              <w:t>、0.0</w:t>
            </w:r>
            <w:r>
              <w:rPr>
                <w:rFonts w:hint="eastAsia"/>
                <w:color w:val="auto"/>
                <w:highlight w:val="none"/>
                <w:lang w:val="en-US" w:eastAsia="zh-CN"/>
              </w:rPr>
              <w:t>11</w:t>
            </w:r>
            <w:r>
              <w:rPr>
                <w:rFonts w:hint="eastAsia"/>
                <w:color w:val="auto"/>
                <w:highlight w:val="none"/>
              </w:rPr>
              <w:t>t</w:t>
            </w:r>
            <w:r>
              <w:rPr>
                <w:color w:val="auto"/>
                <w:highlight w:val="none"/>
              </w:rPr>
              <w:t>/a</w:t>
            </w:r>
            <w:r>
              <w:rPr>
                <w:rFonts w:hint="eastAsia"/>
                <w:color w:val="auto"/>
                <w:highlight w:val="none"/>
              </w:rPr>
              <w:t>、0.</w:t>
            </w:r>
            <w:r>
              <w:rPr>
                <w:rFonts w:hint="eastAsia"/>
                <w:color w:val="auto"/>
                <w:highlight w:val="none"/>
                <w:lang w:val="en-US" w:eastAsia="zh-CN"/>
              </w:rPr>
              <w:t>052</w:t>
            </w:r>
            <w:r>
              <w:rPr>
                <w:rFonts w:hint="eastAsia"/>
                <w:color w:val="auto"/>
                <w:highlight w:val="none"/>
              </w:rPr>
              <w:t>t</w:t>
            </w:r>
            <w:r>
              <w:rPr>
                <w:color w:val="auto"/>
                <w:highlight w:val="none"/>
              </w:rPr>
              <w:t>/a</w:t>
            </w:r>
            <w:r>
              <w:rPr>
                <w:rFonts w:hint="eastAsia"/>
                <w:color w:val="auto"/>
                <w:highlight w:val="none"/>
                <w:lang w:eastAsia="zh-CN"/>
              </w:rPr>
              <w:t>，</w:t>
            </w:r>
            <w:r>
              <w:rPr>
                <w:rFonts w:hint="eastAsia"/>
                <w:color w:val="auto"/>
                <w:highlight w:val="none"/>
                <w:lang w:val="en-US" w:eastAsia="zh-CN"/>
              </w:rPr>
              <w:t>二期</w:t>
            </w:r>
            <w:r>
              <w:rPr>
                <w:rFonts w:hint="eastAsia"/>
                <w:color w:val="auto"/>
                <w:highlight w:val="none"/>
              </w:rPr>
              <w:t>天然气燃烧产生的颗粒物、SO</w:t>
            </w:r>
            <w:r>
              <w:rPr>
                <w:rFonts w:hint="eastAsia"/>
                <w:color w:val="auto"/>
                <w:highlight w:val="none"/>
                <w:vertAlign w:val="subscript"/>
              </w:rPr>
              <w:t>2</w:t>
            </w:r>
            <w:r>
              <w:rPr>
                <w:rFonts w:hint="eastAsia"/>
                <w:color w:val="auto"/>
                <w:highlight w:val="none"/>
              </w:rPr>
              <w:t>和</w:t>
            </w:r>
            <w:r>
              <w:rPr>
                <w:color w:val="auto"/>
                <w:highlight w:val="none"/>
              </w:rPr>
              <w:t>NO</w:t>
            </w:r>
            <w:r>
              <w:rPr>
                <w:color w:val="auto"/>
                <w:highlight w:val="none"/>
                <w:vertAlign w:val="subscript"/>
              </w:rPr>
              <w:t>X</w:t>
            </w:r>
            <w:r>
              <w:rPr>
                <w:rFonts w:hint="eastAsia"/>
                <w:color w:val="auto"/>
                <w:highlight w:val="none"/>
              </w:rPr>
              <w:t>量分别为</w:t>
            </w:r>
            <w:r>
              <w:rPr>
                <w:rFonts w:hint="eastAsia"/>
                <w:color w:val="auto"/>
                <w:highlight w:val="none"/>
                <w:lang w:val="en-US" w:eastAsia="zh-CN"/>
              </w:rPr>
              <w:t>0.032</w:t>
            </w:r>
            <w:r>
              <w:rPr>
                <w:rFonts w:hint="eastAsia"/>
                <w:color w:val="auto"/>
                <w:highlight w:val="none"/>
              </w:rPr>
              <w:t>t</w:t>
            </w:r>
            <w:r>
              <w:rPr>
                <w:color w:val="auto"/>
                <w:highlight w:val="none"/>
              </w:rPr>
              <w:t>/a</w:t>
            </w:r>
            <w:r>
              <w:rPr>
                <w:rFonts w:hint="eastAsia"/>
                <w:color w:val="auto"/>
                <w:highlight w:val="none"/>
              </w:rPr>
              <w:t>、0.0</w:t>
            </w:r>
            <w:r>
              <w:rPr>
                <w:rFonts w:hint="eastAsia"/>
                <w:color w:val="auto"/>
                <w:highlight w:val="none"/>
                <w:lang w:val="en-US" w:eastAsia="zh-CN"/>
              </w:rPr>
              <w:t>22</w:t>
            </w:r>
            <w:r>
              <w:rPr>
                <w:rFonts w:hint="eastAsia"/>
                <w:color w:val="auto"/>
                <w:highlight w:val="none"/>
              </w:rPr>
              <w:t>t</w:t>
            </w:r>
            <w:r>
              <w:rPr>
                <w:color w:val="auto"/>
                <w:highlight w:val="none"/>
              </w:rPr>
              <w:t>/a</w:t>
            </w:r>
            <w:r>
              <w:rPr>
                <w:rFonts w:hint="eastAsia"/>
                <w:color w:val="auto"/>
                <w:highlight w:val="none"/>
              </w:rPr>
              <w:t>、0</w:t>
            </w:r>
            <w:r>
              <w:rPr>
                <w:rFonts w:hint="eastAsia"/>
                <w:color w:val="auto"/>
                <w:highlight w:val="none"/>
                <w:lang w:val="en-US" w:eastAsia="zh-CN"/>
              </w:rPr>
              <w:t>.104</w:t>
            </w:r>
            <w:r>
              <w:rPr>
                <w:rFonts w:hint="eastAsia"/>
                <w:color w:val="auto"/>
                <w:highlight w:val="none"/>
              </w:rPr>
              <w:t>t</w:t>
            </w:r>
            <w:r>
              <w:rPr>
                <w:color w:val="auto"/>
                <w:highlight w:val="none"/>
              </w:rPr>
              <w:t>/a</w:t>
            </w:r>
            <w:r>
              <w:rPr>
                <w:rFonts w:hint="eastAsia"/>
                <w:color w:val="auto"/>
                <w:highlight w:val="none"/>
              </w:rPr>
              <w:t>。</w:t>
            </w:r>
          </w:p>
          <w:p w14:paraId="4AC9C98B">
            <w:pPr>
              <w:bidi w:val="0"/>
              <w:rPr>
                <w:rFonts w:hint="eastAsia"/>
                <w:color w:val="auto"/>
                <w:highlight w:val="none"/>
              </w:rPr>
            </w:pPr>
            <w:r>
              <w:rPr>
                <w:rFonts w:hint="default" w:ascii="Times New Roman" w:hAnsi="Times New Roman" w:cs="Times New Roman"/>
                <w:color w:val="auto"/>
                <w:highlight w:val="none"/>
                <w:lang w:val="en-US" w:eastAsia="zh-CN"/>
              </w:rPr>
              <w:t>本项目</w:t>
            </w:r>
            <w:r>
              <w:rPr>
                <w:rFonts w:hint="eastAsia"/>
                <w:color w:val="auto"/>
                <w:highlight w:val="none"/>
                <w:lang w:val="en-US" w:eastAsia="zh-CN"/>
              </w:rPr>
              <w:t>该工段</w:t>
            </w:r>
            <w:r>
              <w:rPr>
                <w:rFonts w:hint="default" w:ascii="Times New Roman" w:hAnsi="Times New Roman" w:cs="Times New Roman"/>
                <w:color w:val="auto"/>
                <w:highlight w:val="none"/>
                <w:lang w:val="en-US" w:eastAsia="zh-CN"/>
              </w:rPr>
              <w:t>一期设</w:t>
            </w: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lang w:val="en-US" w:eastAsia="zh-CN"/>
              </w:rPr>
              <w:t>根排气筒</w:t>
            </w:r>
            <w:r>
              <w:rPr>
                <w:rFonts w:hint="eastAsia" w:ascii="Times New Roman" w:hAnsi="Times New Roman" w:cs="Times New Roman"/>
                <w:color w:val="auto"/>
                <w:highlight w:val="none"/>
                <w:lang w:val="en-US" w:eastAsia="zh-CN"/>
              </w:rPr>
              <w:t>（DA002）</w:t>
            </w:r>
            <w:r>
              <w:rPr>
                <w:rFonts w:hint="default" w:ascii="Times New Roman" w:hAnsi="Times New Roman" w:cs="Times New Roman"/>
                <w:color w:val="auto"/>
                <w:highlight w:val="none"/>
                <w:lang w:val="en-US" w:eastAsia="zh-CN"/>
              </w:rPr>
              <w:t>，二期设</w:t>
            </w: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lang w:val="en-US" w:eastAsia="zh-CN"/>
              </w:rPr>
              <w:t>根排气筒</w:t>
            </w:r>
            <w:r>
              <w:rPr>
                <w:rFonts w:hint="eastAsia" w:ascii="Times New Roman" w:hAnsi="Times New Roman" w:cs="Times New Roman"/>
                <w:color w:val="auto"/>
                <w:highlight w:val="none"/>
                <w:lang w:val="en-US" w:eastAsia="zh-CN"/>
              </w:rPr>
              <w:t>（DA005）。</w:t>
            </w:r>
            <w:r>
              <w:rPr>
                <w:rFonts w:hint="eastAsia"/>
                <w:color w:val="auto"/>
                <w:highlight w:val="none"/>
              </w:rPr>
              <w:t>导热油炉废气经“低氮燃烧”处理后通过8m高排气筒排放，</w:t>
            </w:r>
            <w:r>
              <w:rPr>
                <w:rFonts w:hint="eastAsia"/>
                <w:color w:val="auto"/>
                <w:highlight w:val="none"/>
                <w:lang w:val="en-US" w:eastAsia="zh-CN"/>
              </w:rPr>
              <w:t>该工段</w:t>
            </w:r>
            <w:r>
              <w:rPr>
                <w:rFonts w:hint="eastAsia" w:ascii="宋体" w:hAnsi="宋体" w:cs="宋体"/>
                <w:color w:val="auto"/>
                <w:kern w:val="0"/>
                <w:highlight w:val="none"/>
                <w:lang w:bidi="ar"/>
              </w:rPr>
              <w:t>设计风量</w:t>
            </w:r>
            <w:r>
              <w:rPr>
                <w:rFonts w:hint="eastAsia" w:ascii="宋体" w:hAnsi="宋体" w:cs="宋体"/>
                <w:color w:val="auto"/>
                <w:kern w:val="0"/>
                <w:highlight w:val="none"/>
                <w:lang w:val="en-US" w:eastAsia="zh-CN" w:bidi="ar"/>
              </w:rPr>
              <w:t>均为</w:t>
            </w:r>
            <w:r>
              <w:rPr>
                <w:rFonts w:hint="eastAsia"/>
                <w:color w:val="auto"/>
                <w:highlight w:val="none"/>
                <w:lang w:val="en-US" w:eastAsia="zh-CN"/>
              </w:rPr>
              <w:t>100</w:t>
            </w:r>
            <w:r>
              <w:rPr>
                <w:rFonts w:hint="eastAsia"/>
                <w:color w:val="auto"/>
                <w:kern w:val="0"/>
                <w:highlight w:val="none"/>
                <w:lang w:val="en-US" w:eastAsia="zh-CN" w:bidi="ar"/>
              </w:rPr>
              <w:t>0</w:t>
            </w:r>
            <w:r>
              <w:rPr>
                <w:color w:val="auto"/>
                <w:kern w:val="0"/>
                <w:highlight w:val="none"/>
                <w:lang w:bidi="ar"/>
              </w:rPr>
              <w:t>m</w:t>
            </w:r>
            <w:r>
              <w:rPr>
                <w:rFonts w:hint="eastAsia"/>
                <w:color w:val="auto"/>
                <w:kern w:val="0"/>
                <w:highlight w:val="none"/>
                <w:vertAlign w:val="superscript"/>
                <w:lang w:bidi="ar"/>
              </w:rPr>
              <w:t>3</w:t>
            </w:r>
            <w:r>
              <w:rPr>
                <w:color w:val="auto"/>
                <w:kern w:val="0"/>
                <w:highlight w:val="none"/>
                <w:lang w:bidi="ar"/>
              </w:rPr>
              <w:t>/h</w:t>
            </w:r>
            <w:r>
              <w:rPr>
                <w:rFonts w:hint="eastAsia"/>
                <w:color w:val="auto"/>
                <w:kern w:val="0"/>
                <w:highlight w:val="none"/>
                <w:lang w:eastAsia="zh-CN" w:bidi="ar"/>
              </w:rPr>
              <w:t>。</w:t>
            </w:r>
            <w:r>
              <w:rPr>
                <w:rFonts w:hint="default" w:ascii="Times New Roman" w:hAnsi="Times New Roman" w:cs="Times New Roman"/>
                <w:color w:val="auto"/>
                <w:highlight w:val="none"/>
                <w:lang w:val="en-US" w:eastAsia="zh-CN"/>
              </w:rPr>
              <w:t>本项目</w:t>
            </w:r>
            <w:r>
              <w:rPr>
                <w:rFonts w:hint="eastAsia" w:ascii="Times New Roman" w:hAnsi="Times New Roman" w:cs="Times New Roman"/>
                <w:color w:val="auto"/>
                <w:highlight w:val="none"/>
                <w:lang w:val="en-US" w:eastAsia="zh-CN"/>
              </w:rPr>
              <w:t>该工段</w:t>
            </w:r>
            <w:r>
              <w:rPr>
                <w:rFonts w:hint="default" w:ascii="Times New Roman" w:hAnsi="Times New Roman" w:cs="Times New Roman"/>
                <w:color w:val="auto"/>
                <w:highlight w:val="none"/>
                <w:lang w:val="en-US" w:eastAsia="zh-CN"/>
              </w:rPr>
              <w:t>运行时间为</w:t>
            </w:r>
            <w:r>
              <w:rPr>
                <w:rFonts w:hint="eastAsia" w:ascii="Times New Roman" w:hAnsi="Times New Roman" w:cs="Times New Roman"/>
                <w:color w:val="auto"/>
                <w:highlight w:val="none"/>
                <w:lang w:val="en-US" w:eastAsia="zh-CN"/>
              </w:rPr>
              <w:t>3840</w:t>
            </w:r>
            <w:r>
              <w:rPr>
                <w:rFonts w:hint="default" w:ascii="Times New Roman" w:hAnsi="Times New Roman" w:cs="Times New Roman"/>
                <w:color w:val="auto"/>
                <w:highlight w:val="none"/>
                <w:lang w:val="en-US" w:eastAsia="zh-CN"/>
              </w:rPr>
              <w:t>h，计算得本项目</w:t>
            </w:r>
            <w:r>
              <w:rPr>
                <w:rFonts w:hint="eastAsia"/>
                <w:color w:val="auto"/>
                <w:highlight w:val="none"/>
              </w:rPr>
              <w:t>导热油炉废气</w:t>
            </w:r>
            <w:r>
              <w:rPr>
                <w:rFonts w:hint="default" w:ascii="Times New Roman" w:hAnsi="Times New Roman" w:cs="Times New Roman"/>
                <w:color w:val="auto"/>
                <w:highlight w:val="none"/>
                <w:lang w:val="en-US" w:eastAsia="zh-CN"/>
              </w:rPr>
              <w:t>排放情况见表4.2-</w:t>
            </w:r>
            <w:r>
              <w:rPr>
                <w:rFonts w:hint="eastAsia" w:ascii="Times New Roman" w:hAnsi="Times New Roman" w:cs="Times New Roman"/>
                <w:color w:val="auto"/>
                <w:highlight w:val="none"/>
                <w:lang w:val="en-US" w:eastAsia="zh-CN"/>
              </w:rPr>
              <w:t>7</w:t>
            </w:r>
            <w:r>
              <w:rPr>
                <w:rFonts w:hint="default" w:ascii="Times New Roman" w:hAnsi="Times New Roman" w:cs="Times New Roman"/>
                <w:color w:val="auto"/>
                <w:highlight w:val="none"/>
                <w:lang w:val="en-US" w:eastAsia="zh-CN"/>
              </w:rPr>
              <w:t>~表4.2-</w:t>
            </w:r>
            <w:r>
              <w:rPr>
                <w:rFonts w:hint="eastAsia" w:ascii="Times New Roman" w:hAnsi="Times New Roman" w:cs="Times New Roman"/>
                <w:color w:val="auto"/>
                <w:highlight w:val="none"/>
                <w:lang w:val="en-US" w:eastAsia="zh-CN"/>
              </w:rPr>
              <w:t>9</w:t>
            </w:r>
            <w:r>
              <w:rPr>
                <w:rFonts w:hint="default" w:ascii="Times New Roman" w:hAnsi="Times New Roman" w:cs="Times New Roman"/>
                <w:color w:val="auto"/>
                <w:highlight w:val="none"/>
                <w:lang w:val="en-US" w:eastAsia="zh-CN"/>
              </w:rPr>
              <w:t>。</w:t>
            </w:r>
          </w:p>
          <w:p w14:paraId="07371E59">
            <w:pPr>
              <w:bidi w:val="0"/>
              <w:ind w:left="0" w:leftChars="0" w:firstLine="0" w:firstLineChars="0"/>
              <w:jc w:val="center"/>
              <w:rPr>
                <w:rFonts w:ascii="Times New Roman" w:hAnsi="Times New Roman" w:eastAsia="宋体" w:cs="Times New Roman"/>
                <w:b/>
                <w:bCs/>
                <w:snapToGrid/>
                <w:color w:val="auto"/>
                <w:kern w:val="2"/>
                <w:sz w:val="24"/>
                <w:szCs w:val="24"/>
                <w:highlight w:val="none"/>
                <w:lang w:eastAsia="zh-CN"/>
              </w:rPr>
            </w:pPr>
            <w:r>
              <w:rPr>
                <w:rFonts w:ascii="Times New Roman" w:hAnsi="Times New Roman" w:eastAsia="宋体" w:cs="Times New Roman"/>
                <w:b/>
                <w:bCs/>
                <w:snapToGrid/>
                <w:color w:val="auto"/>
                <w:kern w:val="2"/>
                <w:sz w:val="24"/>
                <w:szCs w:val="24"/>
                <w:highlight w:val="none"/>
                <w:lang w:eastAsia="zh-CN"/>
              </w:rPr>
              <w:t>表4.2-</w:t>
            </w:r>
            <w:r>
              <w:rPr>
                <w:rFonts w:hint="eastAsia" w:cs="Times New Roman"/>
                <w:b/>
                <w:bCs/>
                <w:snapToGrid/>
                <w:color w:val="auto"/>
                <w:kern w:val="2"/>
                <w:sz w:val="24"/>
                <w:szCs w:val="24"/>
                <w:highlight w:val="none"/>
                <w:lang w:val="en-US" w:eastAsia="zh-CN"/>
              </w:rPr>
              <w:t>7</w:t>
            </w:r>
            <w:r>
              <w:rPr>
                <w:rFonts w:ascii="Times New Roman" w:hAnsi="Times New Roman" w:eastAsia="宋体" w:cs="Times New Roman"/>
                <w:b/>
                <w:bCs/>
                <w:snapToGrid/>
                <w:color w:val="auto"/>
                <w:kern w:val="2"/>
                <w:sz w:val="24"/>
                <w:szCs w:val="24"/>
                <w:highlight w:val="none"/>
                <w:lang w:eastAsia="zh-CN"/>
              </w:rPr>
              <w:t xml:space="preserve">  </w:t>
            </w:r>
            <w:r>
              <w:rPr>
                <w:rFonts w:hint="eastAsia" w:ascii="Times New Roman" w:hAnsi="Times New Roman" w:eastAsia="宋体" w:cs="Times New Roman"/>
                <w:b/>
                <w:bCs/>
                <w:snapToGrid/>
                <w:color w:val="auto"/>
                <w:kern w:val="2"/>
                <w:sz w:val="24"/>
                <w:szCs w:val="24"/>
                <w:highlight w:val="none"/>
                <w:lang w:val="en-US" w:eastAsia="zh-CN"/>
              </w:rPr>
              <w:t>导热油炉</w:t>
            </w:r>
            <w:r>
              <w:rPr>
                <w:rFonts w:hint="eastAsia"/>
                <w:b/>
                <w:bCs/>
                <w:color w:val="auto"/>
                <w:highlight w:val="none"/>
                <w:lang w:val="en-US" w:eastAsia="zh-CN"/>
              </w:rPr>
              <w:t>废气（一期）</w:t>
            </w:r>
            <w:r>
              <w:rPr>
                <w:rFonts w:ascii="Times New Roman" w:hAnsi="Times New Roman" w:eastAsia="宋体" w:cs="Times New Roman"/>
                <w:b/>
                <w:bCs/>
                <w:snapToGrid/>
                <w:color w:val="auto"/>
                <w:kern w:val="2"/>
                <w:sz w:val="24"/>
                <w:szCs w:val="24"/>
                <w:highlight w:val="none"/>
                <w:lang w:eastAsia="zh-CN"/>
              </w:rPr>
              <w:t>排放情况一览表</w:t>
            </w:r>
          </w:p>
          <w:tbl>
            <w:tblPr>
              <w:tblStyle w:val="129"/>
              <w:tblW w:w="841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662"/>
              <w:gridCol w:w="677"/>
              <w:gridCol w:w="912"/>
              <w:gridCol w:w="912"/>
              <w:gridCol w:w="747"/>
              <w:gridCol w:w="701"/>
              <w:gridCol w:w="876"/>
              <w:gridCol w:w="876"/>
              <w:gridCol w:w="747"/>
              <w:gridCol w:w="615"/>
              <w:gridCol w:w="689"/>
            </w:tblGrid>
            <w:tr w14:paraId="196001C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4" w:hRule="atLeast"/>
                <w:jc w:val="center"/>
              </w:trPr>
              <w:tc>
                <w:tcPr>
                  <w:tcW w:w="393" w:type="pct"/>
                  <w:tcBorders>
                    <w:tl2br w:val="nil"/>
                    <w:tr2bl w:val="nil"/>
                  </w:tcBorders>
                  <w:noWrap w:val="0"/>
                  <w:vAlign w:val="center"/>
                </w:tcPr>
                <w:p w14:paraId="6D0DD8B2">
                  <w:pPr>
                    <w:pStyle w:val="98"/>
                    <w:widowControl w:val="0"/>
                    <w:kinsoku/>
                    <w:autoSpaceDE/>
                    <w:autoSpaceDN/>
                    <w:adjustRightInd/>
                    <w:snapToGrid/>
                    <w:jc w:val="center"/>
                    <w:textAlignment w:val="auto"/>
                    <w:rPr>
                      <w:rFonts w:hint="eastAsia" w:ascii="Times New Roman" w:hAnsi="Times New Roman" w:cs="Times New Roman"/>
                      <w:b/>
                      <w:bCs/>
                      <w:snapToGrid/>
                      <w:color w:val="auto"/>
                      <w:kern w:val="2"/>
                      <w:szCs w:val="24"/>
                      <w:highlight w:val="none"/>
                      <w:lang w:eastAsia="zh-CN"/>
                    </w:rPr>
                  </w:pPr>
                  <w:r>
                    <w:rPr>
                      <w:rFonts w:hint="eastAsia" w:ascii="Times New Roman" w:hAnsi="Times New Roman" w:cs="Times New Roman"/>
                      <w:b/>
                      <w:bCs/>
                      <w:snapToGrid/>
                      <w:color w:val="auto"/>
                      <w:kern w:val="2"/>
                      <w:szCs w:val="24"/>
                      <w:highlight w:val="none"/>
                      <w:lang w:eastAsia="zh-CN"/>
                    </w:rPr>
                    <w:t>污染物</w:t>
                  </w:r>
                </w:p>
              </w:tc>
              <w:tc>
                <w:tcPr>
                  <w:tcW w:w="402" w:type="pct"/>
                  <w:tcBorders>
                    <w:tl2br w:val="nil"/>
                    <w:tr2bl w:val="nil"/>
                  </w:tcBorders>
                  <w:noWrap w:val="0"/>
                  <w:vAlign w:val="center"/>
                </w:tcPr>
                <w:p w14:paraId="2AFDC345">
                  <w:pPr>
                    <w:pStyle w:val="98"/>
                    <w:widowControl w:val="0"/>
                    <w:kinsoku/>
                    <w:autoSpaceDE/>
                    <w:autoSpaceDN/>
                    <w:adjustRightInd/>
                    <w:snapToGrid/>
                    <w:jc w:val="center"/>
                    <w:textAlignment w:val="auto"/>
                    <w:rPr>
                      <w:rFonts w:hint="eastAsia" w:ascii="Times New Roman" w:hAnsi="Times New Roman" w:cs="Times New Roman"/>
                      <w:b/>
                      <w:bCs/>
                      <w:snapToGrid/>
                      <w:color w:val="auto"/>
                      <w:kern w:val="2"/>
                      <w:szCs w:val="24"/>
                      <w:highlight w:val="none"/>
                      <w:lang w:eastAsia="zh-CN"/>
                    </w:rPr>
                  </w:pPr>
                  <w:r>
                    <w:rPr>
                      <w:rFonts w:hint="eastAsia" w:ascii="Times New Roman" w:hAnsi="Times New Roman" w:cs="Times New Roman"/>
                      <w:b/>
                      <w:bCs/>
                      <w:snapToGrid/>
                      <w:color w:val="auto"/>
                      <w:kern w:val="2"/>
                      <w:szCs w:val="24"/>
                      <w:highlight w:val="none"/>
                      <w:lang w:eastAsia="zh-CN"/>
                    </w:rPr>
                    <w:t>排放形式</w:t>
                  </w:r>
                </w:p>
              </w:tc>
              <w:tc>
                <w:tcPr>
                  <w:tcW w:w="541" w:type="pct"/>
                  <w:tcBorders>
                    <w:tl2br w:val="nil"/>
                    <w:tr2bl w:val="nil"/>
                  </w:tcBorders>
                  <w:noWrap w:val="0"/>
                  <w:vAlign w:val="center"/>
                </w:tcPr>
                <w:p w14:paraId="385AF5C8">
                  <w:pPr>
                    <w:pStyle w:val="107"/>
                    <w:widowControl/>
                    <w:ind w:firstLine="0" w:firstLineChars="0"/>
                    <w:jc w:val="center"/>
                    <w:rPr>
                      <w:rFonts w:hint="eastAsia" w:ascii="Times New Roman" w:hAnsi="Times New Roman" w:eastAsia="宋体"/>
                      <w:b/>
                      <w:bCs/>
                      <w:color w:val="auto"/>
                      <w:sz w:val="21"/>
                      <w:szCs w:val="21"/>
                      <w:highlight w:val="none"/>
                    </w:rPr>
                  </w:pPr>
                  <w:r>
                    <w:rPr>
                      <w:rFonts w:hint="eastAsia" w:ascii="Times New Roman" w:hAnsi="Times New Roman" w:eastAsia="宋体"/>
                      <w:b/>
                      <w:bCs/>
                      <w:color w:val="auto"/>
                      <w:sz w:val="21"/>
                      <w:szCs w:val="21"/>
                      <w:highlight w:val="none"/>
                    </w:rPr>
                    <w:t>排放时间</w:t>
                  </w:r>
                </w:p>
                <w:p w14:paraId="32CF0F46">
                  <w:pPr>
                    <w:pStyle w:val="98"/>
                    <w:widowControl w:val="0"/>
                    <w:kinsoku/>
                    <w:autoSpaceDE/>
                    <w:autoSpaceDN/>
                    <w:adjustRightInd/>
                    <w:snapToGrid/>
                    <w:jc w:val="center"/>
                    <w:textAlignment w:val="auto"/>
                    <w:rPr>
                      <w:rFonts w:hint="default" w:ascii="Times New Roman" w:hAnsi="Times New Roman" w:cs="Times New Roman"/>
                      <w:b/>
                      <w:bCs/>
                      <w:snapToGrid/>
                      <w:color w:val="auto"/>
                      <w:kern w:val="2"/>
                      <w:szCs w:val="24"/>
                      <w:highlight w:val="none"/>
                      <w:lang w:val="en-US" w:eastAsia="zh-CN"/>
                    </w:rPr>
                  </w:pPr>
                  <w:r>
                    <w:rPr>
                      <w:rFonts w:hint="eastAsia" w:ascii="Times New Roman" w:hAnsi="Times New Roman" w:eastAsia="宋体"/>
                      <w:b/>
                      <w:bCs/>
                      <w:color w:val="auto"/>
                      <w:sz w:val="21"/>
                      <w:szCs w:val="21"/>
                      <w:highlight w:val="none"/>
                    </w:rPr>
                    <w:t>h</w:t>
                  </w:r>
                </w:p>
              </w:tc>
              <w:tc>
                <w:tcPr>
                  <w:tcW w:w="541" w:type="pct"/>
                  <w:tcBorders>
                    <w:tl2br w:val="nil"/>
                    <w:tr2bl w:val="nil"/>
                  </w:tcBorders>
                  <w:noWrap w:val="0"/>
                  <w:vAlign w:val="center"/>
                </w:tcPr>
                <w:p w14:paraId="72A8CC6B">
                  <w:pPr>
                    <w:pStyle w:val="98"/>
                    <w:widowControl w:val="0"/>
                    <w:kinsoku/>
                    <w:autoSpaceDE/>
                    <w:autoSpaceDN/>
                    <w:adjustRightInd/>
                    <w:snapToGrid/>
                    <w:jc w:val="center"/>
                    <w:textAlignment w:val="auto"/>
                    <w:rPr>
                      <w:rFonts w:hint="default" w:ascii="Times New Roman" w:hAnsi="Times New Roman" w:cs="Times New Roman"/>
                      <w:b/>
                      <w:bCs/>
                      <w:snapToGrid/>
                      <w:color w:val="auto"/>
                      <w:kern w:val="2"/>
                      <w:szCs w:val="24"/>
                      <w:highlight w:val="none"/>
                      <w:lang w:val="en-US" w:eastAsia="zh-CN"/>
                    </w:rPr>
                  </w:pPr>
                  <w:r>
                    <w:rPr>
                      <w:rFonts w:hint="eastAsia" w:ascii="Times New Roman" w:hAnsi="Times New Roman" w:cs="Times New Roman"/>
                      <w:b/>
                      <w:bCs/>
                      <w:snapToGrid/>
                      <w:color w:val="auto"/>
                      <w:kern w:val="2"/>
                      <w:szCs w:val="24"/>
                      <w:highlight w:val="none"/>
                      <w:lang w:val="en-US" w:eastAsia="zh-CN"/>
                    </w:rPr>
                    <w:t>风机风量m</w:t>
                  </w:r>
                  <w:r>
                    <w:rPr>
                      <w:rFonts w:hint="eastAsia" w:ascii="Times New Roman" w:hAnsi="Times New Roman" w:cs="Times New Roman"/>
                      <w:b/>
                      <w:bCs/>
                      <w:snapToGrid/>
                      <w:color w:val="auto"/>
                      <w:kern w:val="2"/>
                      <w:szCs w:val="24"/>
                      <w:highlight w:val="none"/>
                      <w:vertAlign w:val="superscript"/>
                      <w:lang w:val="en-US" w:eastAsia="zh-CN"/>
                    </w:rPr>
                    <w:t>3</w:t>
                  </w:r>
                  <w:r>
                    <w:rPr>
                      <w:rFonts w:hint="eastAsia" w:ascii="Times New Roman" w:hAnsi="Times New Roman" w:cs="Times New Roman"/>
                      <w:b/>
                      <w:bCs/>
                      <w:snapToGrid/>
                      <w:color w:val="auto"/>
                      <w:kern w:val="2"/>
                      <w:szCs w:val="24"/>
                      <w:highlight w:val="none"/>
                      <w:lang w:val="en-US" w:eastAsia="zh-CN"/>
                    </w:rPr>
                    <w:t>/h</w:t>
                  </w:r>
                </w:p>
              </w:tc>
              <w:tc>
                <w:tcPr>
                  <w:tcW w:w="443" w:type="pct"/>
                  <w:tcBorders>
                    <w:tl2br w:val="nil"/>
                    <w:tr2bl w:val="nil"/>
                  </w:tcBorders>
                  <w:noWrap w:val="0"/>
                  <w:vAlign w:val="center"/>
                </w:tcPr>
                <w:p w14:paraId="6CB051AE">
                  <w:pPr>
                    <w:pStyle w:val="98"/>
                    <w:widowControl w:val="0"/>
                    <w:kinsoku/>
                    <w:autoSpaceDE/>
                    <w:autoSpaceDN/>
                    <w:adjustRightInd/>
                    <w:snapToGrid/>
                    <w:jc w:val="center"/>
                    <w:textAlignment w:val="auto"/>
                    <w:rPr>
                      <w:rFonts w:hint="default" w:ascii="Times New Roman" w:hAnsi="Times New Roman" w:cs="Times New Roman"/>
                      <w:b/>
                      <w:bCs/>
                      <w:snapToGrid/>
                      <w:color w:val="auto"/>
                      <w:kern w:val="2"/>
                      <w:szCs w:val="24"/>
                      <w:highlight w:val="none"/>
                      <w:lang w:val="en-US" w:eastAsia="zh-CN"/>
                    </w:rPr>
                  </w:pPr>
                  <w:r>
                    <w:rPr>
                      <w:rFonts w:hint="eastAsia" w:ascii="Times New Roman" w:hAnsi="Times New Roman" w:cs="Times New Roman"/>
                      <w:b/>
                      <w:bCs/>
                      <w:snapToGrid/>
                      <w:color w:val="auto"/>
                      <w:kern w:val="2"/>
                      <w:szCs w:val="24"/>
                      <w:highlight w:val="none"/>
                      <w:lang w:eastAsia="zh-CN"/>
                    </w:rPr>
                    <w:t>产生量 t/a</w:t>
                  </w:r>
                </w:p>
              </w:tc>
              <w:tc>
                <w:tcPr>
                  <w:tcW w:w="416" w:type="pct"/>
                  <w:tcBorders>
                    <w:tl2br w:val="nil"/>
                    <w:tr2bl w:val="nil"/>
                  </w:tcBorders>
                  <w:noWrap w:val="0"/>
                  <w:vAlign w:val="center"/>
                </w:tcPr>
                <w:p w14:paraId="58BE965B">
                  <w:pPr>
                    <w:pStyle w:val="98"/>
                    <w:widowControl w:val="0"/>
                    <w:kinsoku/>
                    <w:autoSpaceDE/>
                    <w:autoSpaceDN/>
                    <w:adjustRightInd/>
                    <w:snapToGrid/>
                    <w:jc w:val="center"/>
                    <w:textAlignment w:val="auto"/>
                    <w:rPr>
                      <w:rFonts w:hint="default" w:ascii="Times New Roman" w:hAnsi="Times New Roman" w:cs="Times New Roman"/>
                      <w:b/>
                      <w:bCs/>
                      <w:snapToGrid/>
                      <w:color w:val="auto"/>
                      <w:kern w:val="2"/>
                      <w:szCs w:val="24"/>
                      <w:highlight w:val="none"/>
                      <w:lang w:val="en-US" w:eastAsia="zh-CN"/>
                    </w:rPr>
                  </w:pPr>
                  <w:r>
                    <w:rPr>
                      <w:rFonts w:hint="eastAsia" w:ascii="Times New Roman" w:hAnsi="Times New Roman" w:cs="Times New Roman"/>
                      <w:b/>
                      <w:bCs/>
                      <w:snapToGrid/>
                      <w:color w:val="auto"/>
                      <w:kern w:val="2"/>
                      <w:szCs w:val="24"/>
                      <w:highlight w:val="none"/>
                      <w:lang w:val="en-US" w:eastAsia="zh-CN"/>
                    </w:rPr>
                    <w:t>产生速率</w:t>
                  </w:r>
                  <w:r>
                    <w:rPr>
                      <w:rFonts w:hint="eastAsia" w:ascii="Times New Roman" w:hAnsi="Times New Roman" w:cs="Times New Roman"/>
                      <w:b/>
                      <w:bCs/>
                      <w:snapToGrid/>
                      <w:color w:val="auto"/>
                      <w:kern w:val="2"/>
                      <w:szCs w:val="24"/>
                      <w:highlight w:val="none"/>
                      <w:lang w:eastAsia="zh-CN"/>
                    </w:rPr>
                    <w:t>kg/h</w:t>
                  </w:r>
                </w:p>
              </w:tc>
              <w:tc>
                <w:tcPr>
                  <w:tcW w:w="520" w:type="pct"/>
                  <w:tcBorders>
                    <w:tl2br w:val="nil"/>
                    <w:tr2bl w:val="nil"/>
                  </w:tcBorders>
                  <w:noWrap w:val="0"/>
                  <w:vAlign w:val="center"/>
                </w:tcPr>
                <w:p w14:paraId="470679AA">
                  <w:pPr>
                    <w:pStyle w:val="98"/>
                    <w:widowControl w:val="0"/>
                    <w:kinsoku/>
                    <w:autoSpaceDE/>
                    <w:autoSpaceDN/>
                    <w:adjustRightInd/>
                    <w:snapToGrid/>
                    <w:jc w:val="center"/>
                    <w:textAlignment w:val="auto"/>
                    <w:rPr>
                      <w:rFonts w:hint="default" w:ascii="Times New Roman" w:hAnsi="Times New Roman" w:cs="Times New Roman"/>
                      <w:b/>
                      <w:bCs/>
                      <w:snapToGrid/>
                      <w:color w:val="auto"/>
                      <w:kern w:val="2"/>
                      <w:szCs w:val="24"/>
                      <w:highlight w:val="none"/>
                      <w:lang w:val="en-US" w:eastAsia="zh-CN"/>
                    </w:rPr>
                  </w:pPr>
                  <w:r>
                    <w:rPr>
                      <w:rFonts w:hint="eastAsia" w:ascii="Times New Roman" w:hAnsi="Times New Roman" w:cs="Times New Roman"/>
                      <w:b/>
                      <w:bCs/>
                      <w:snapToGrid/>
                      <w:color w:val="auto"/>
                      <w:kern w:val="2"/>
                      <w:szCs w:val="24"/>
                      <w:highlight w:val="none"/>
                      <w:lang w:val="en-US" w:eastAsia="zh-CN"/>
                    </w:rPr>
                    <w:t>产生浓度</w:t>
                  </w:r>
                  <w:r>
                    <w:rPr>
                      <w:rFonts w:hint="eastAsia" w:ascii="Times New Roman" w:hAnsi="Times New Roman" w:cs="Times New Roman"/>
                      <w:b/>
                      <w:bCs/>
                      <w:snapToGrid/>
                      <w:color w:val="auto"/>
                      <w:kern w:val="2"/>
                      <w:szCs w:val="24"/>
                      <w:highlight w:val="none"/>
                      <w:lang w:eastAsia="zh-CN"/>
                    </w:rPr>
                    <w:t>mg/ m</w:t>
                  </w:r>
                  <w:r>
                    <w:rPr>
                      <w:rFonts w:hint="eastAsia" w:ascii="Times New Roman" w:hAnsi="Times New Roman" w:cs="Times New Roman"/>
                      <w:b/>
                      <w:bCs/>
                      <w:snapToGrid/>
                      <w:color w:val="auto"/>
                      <w:kern w:val="2"/>
                      <w:szCs w:val="24"/>
                      <w:highlight w:val="none"/>
                      <w:vertAlign w:val="superscript"/>
                      <w:lang w:eastAsia="zh-CN"/>
                    </w:rPr>
                    <w:t>3</w:t>
                  </w:r>
                </w:p>
              </w:tc>
              <w:tc>
                <w:tcPr>
                  <w:tcW w:w="520" w:type="pct"/>
                  <w:tcBorders>
                    <w:tl2br w:val="nil"/>
                    <w:tr2bl w:val="nil"/>
                  </w:tcBorders>
                  <w:noWrap w:val="0"/>
                  <w:vAlign w:val="center"/>
                </w:tcPr>
                <w:p w14:paraId="10338AA9">
                  <w:pPr>
                    <w:pStyle w:val="98"/>
                    <w:widowControl w:val="0"/>
                    <w:kinsoku/>
                    <w:autoSpaceDE/>
                    <w:autoSpaceDN/>
                    <w:adjustRightInd/>
                    <w:snapToGrid/>
                    <w:jc w:val="center"/>
                    <w:textAlignment w:val="auto"/>
                    <w:rPr>
                      <w:rFonts w:hint="eastAsia" w:ascii="Times New Roman" w:hAnsi="Times New Roman" w:cs="Times New Roman"/>
                      <w:b/>
                      <w:bCs/>
                      <w:snapToGrid/>
                      <w:color w:val="auto"/>
                      <w:kern w:val="2"/>
                      <w:szCs w:val="24"/>
                      <w:highlight w:val="none"/>
                      <w:lang w:eastAsia="zh-CN"/>
                    </w:rPr>
                  </w:pPr>
                  <w:r>
                    <w:rPr>
                      <w:rFonts w:hint="eastAsia" w:ascii="Times New Roman" w:hAnsi="Times New Roman" w:cs="Times New Roman"/>
                      <w:b/>
                      <w:bCs/>
                      <w:snapToGrid/>
                      <w:color w:val="auto"/>
                      <w:kern w:val="2"/>
                      <w:szCs w:val="24"/>
                      <w:highlight w:val="none"/>
                      <w:lang w:eastAsia="zh-CN"/>
                    </w:rPr>
                    <w:t>治理措施</w:t>
                  </w:r>
                </w:p>
              </w:tc>
              <w:tc>
                <w:tcPr>
                  <w:tcW w:w="443" w:type="pct"/>
                  <w:tcBorders>
                    <w:tl2br w:val="nil"/>
                    <w:tr2bl w:val="nil"/>
                  </w:tcBorders>
                  <w:noWrap w:val="0"/>
                  <w:vAlign w:val="center"/>
                </w:tcPr>
                <w:p w14:paraId="14312F39">
                  <w:pPr>
                    <w:pStyle w:val="98"/>
                    <w:widowControl w:val="0"/>
                    <w:kinsoku/>
                    <w:autoSpaceDE/>
                    <w:autoSpaceDN/>
                    <w:adjustRightInd/>
                    <w:snapToGrid/>
                    <w:jc w:val="center"/>
                    <w:textAlignment w:val="auto"/>
                    <w:rPr>
                      <w:rFonts w:hint="eastAsia" w:ascii="Times New Roman" w:hAnsi="Times New Roman" w:cs="Times New Roman"/>
                      <w:b/>
                      <w:bCs/>
                      <w:snapToGrid/>
                      <w:color w:val="auto"/>
                      <w:kern w:val="2"/>
                      <w:szCs w:val="24"/>
                      <w:highlight w:val="none"/>
                      <w:lang w:eastAsia="zh-CN"/>
                    </w:rPr>
                  </w:pPr>
                  <w:r>
                    <w:rPr>
                      <w:rFonts w:hint="eastAsia" w:ascii="Times New Roman" w:hAnsi="Times New Roman" w:cs="Times New Roman"/>
                      <w:b/>
                      <w:bCs/>
                      <w:snapToGrid/>
                      <w:color w:val="auto"/>
                      <w:kern w:val="2"/>
                      <w:szCs w:val="24"/>
                      <w:highlight w:val="none"/>
                      <w:lang w:eastAsia="zh-CN"/>
                    </w:rPr>
                    <w:t>排放量t/a</w:t>
                  </w:r>
                </w:p>
              </w:tc>
              <w:tc>
                <w:tcPr>
                  <w:tcW w:w="365" w:type="pct"/>
                  <w:tcBorders>
                    <w:tl2br w:val="nil"/>
                    <w:tr2bl w:val="nil"/>
                  </w:tcBorders>
                  <w:noWrap w:val="0"/>
                  <w:vAlign w:val="center"/>
                </w:tcPr>
                <w:p w14:paraId="5D4305FB">
                  <w:pPr>
                    <w:pStyle w:val="98"/>
                    <w:widowControl w:val="0"/>
                    <w:kinsoku/>
                    <w:autoSpaceDE/>
                    <w:autoSpaceDN/>
                    <w:adjustRightInd/>
                    <w:snapToGrid/>
                    <w:jc w:val="center"/>
                    <w:textAlignment w:val="auto"/>
                    <w:rPr>
                      <w:rFonts w:hint="eastAsia" w:ascii="Times New Roman" w:hAnsi="Times New Roman" w:cs="Times New Roman"/>
                      <w:b/>
                      <w:bCs/>
                      <w:snapToGrid/>
                      <w:color w:val="auto"/>
                      <w:kern w:val="2"/>
                      <w:szCs w:val="24"/>
                      <w:highlight w:val="none"/>
                      <w:lang w:eastAsia="zh-CN"/>
                    </w:rPr>
                  </w:pPr>
                  <w:r>
                    <w:rPr>
                      <w:rFonts w:hint="eastAsia" w:ascii="Times New Roman" w:hAnsi="Times New Roman" w:cs="Times New Roman"/>
                      <w:b/>
                      <w:bCs/>
                      <w:snapToGrid/>
                      <w:color w:val="auto"/>
                      <w:kern w:val="2"/>
                      <w:szCs w:val="24"/>
                      <w:highlight w:val="none"/>
                      <w:lang w:eastAsia="zh-CN"/>
                    </w:rPr>
                    <w:t>排放速率kg/h</w:t>
                  </w:r>
                </w:p>
              </w:tc>
              <w:tc>
                <w:tcPr>
                  <w:tcW w:w="409" w:type="pct"/>
                  <w:tcBorders>
                    <w:tl2br w:val="nil"/>
                    <w:tr2bl w:val="nil"/>
                  </w:tcBorders>
                  <w:noWrap w:val="0"/>
                  <w:vAlign w:val="center"/>
                </w:tcPr>
                <w:p w14:paraId="6BF519C8">
                  <w:pPr>
                    <w:pStyle w:val="98"/>
                    <w:widowControl w:val="0"/>
                    <w:kinsoku/>
                    <w:autoSpaceDE/>
                    <w:autoSpaceDN/>
                    <w:adjustRightInd/>
                    <w:snapToGrid/>
                    <w:jc w:val="center"/>
                    <w:textAlignment w:val="auto"/>
                    <w:rPr>
                      <w:rFonts w:hint="eastAsia" w:ascii="Times New Roman" w:hAnsi="Times New Roman" w:cs="Times New Roman"/>
                      <w:b/>
                      <w:bCs/>
                      <w:snapToGrid/>
                      <w:color w:val="auto"/>
                      <w:kern w:val="2"/>
                      <w:szCs w:val="24"/>
                      <w:highlight w:val="none"/>
                      <w:lang w:eastAsia="zh-CN"/>
                    </w:rPr>
                  </w:pPr>
                  <w:r>
                    <w:rPr>
                      <w:rFonts w:hint="eastAsia" w:ascii="Times New Roman" w:hAnsi="Times New Roman" w:cs="Times New Roman"/>
                      <w:b/>
                      <w:bCs/>
                      <w:snapToGrid/>
                      <w:color w:val="auto"/>
                      <w:kern w:val="2"/>
                      <w:szCs w:val="24"/>
                      <w:highlight w:val="none"/>
                      <w:lang w:eastAsia="zh-CN"/>
                    </w:rPr>
                    <w:t>排放浓度</w:t>
                  </w:r>
                </w:p>
                <w:p w14:paraId="29458D1B">
                  <w:pPr>
                    <w:pStyle w:val="98"/>
                    <w:widowControl w:val="0"/>
                    <w:kinsoku/>
                    <w:autoSpaceDE/>
                    <w:autoSpaceDN/>
                    <w:adjustRightInd/>
                    <w:snapToGrid/>
                    <w:jc w:val="center"/>
                    <w:textAlignment w:val="auto"/>
                    <w:rPr>
                      <w:rFonts w:hint="eastAsia" w:ascii="Times New Roman" w:hAnsi="Times New Roman" w:cs="Times New Roman"/>
                      <w:b/>
                      <w:bCs/>
                      <w:snapToGrid/>
                      <w:color w:val="auto"/>
                      <w:kern w:val="2"/>
                      <w:szCs w:val="24"/>
                      <w:highlight w:val="none"/>
                      <w:lang w:eastAsia="zh-CN"/>
                    </w:rPr>
                  </w:pPr>
                  <w:r>
                    <w:rPr>
                      <w:rFonts w:hint="eastAsia" w:ascii="Times New Roman" w:hAnsi="Times New Roman" w:cs="Times New Roman"/>
                      <w:b/>
                      <w:bCs/>
                      <w:snapToGrid/>
                      <w:color w:val="auto"/>
                      <w:kern w:val="2"/>
                      <w:szCs w:val="24"/>
                      <w:highlight w:val="none"/>
                      <w:lang w:eastAsia="zh-CN"/>
                    </w:rPr>
                    <w:t>mg/ m</w:t>
                  </w:r>
                  <w:r>
                    <w:rPr>
                      <w:rFonts w:hint="eastAsia" w:ascii="Times New Roman" w:hAnsi="Times New Roman" w:cs="Times New Roman"/>
                      <w:b/>
                      <w:bCs/>
                      <w:snapToGrid/>
                      <w:color w:val="auto"/>
                      <w:kern w:val="2"/>
                      <w:szCs w:val="24"/>
                      <w:highlight w:val="none"/>
                      <w:vertAlign w:val="superscript"/>
                      <w:lang w:eastAsia="zh-CN"/>
                    </w:rPr>
                    <w:t>3</w:t>
                  </w:r>
                </w:p>
              </w:tc>
            </w:tr>
            <w:tr w14:paraId="1D6E288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9" w:hRule="atLeast"/>
                <w:jc w:val="center"/>
              </w:trPr>
              <w:tc>
                <w:tcPr>
                  <w:tcW w:w="393" w:type="pct"/>
                  <w:tcBorders>
                    <w:tl2br w:val="nil"/>
                    <w:tr2bl w:val="nil"/>
                  </w:tcBorders>
                  <w:noWrap w:val="0"/>
                  <w:vAlign w:val="center"/>
                </w:tcPr>
                <w:p w14:paraId="3BA13BAC">
                  <w:pPr>
                    <w:pStyle w:val="98"/>
                    <w:widowControl w:val="0"/>
                    <w:kinsoku/>
                    <w:autoSpaceDE/>
                    <w:autoSpaceDN/>
                    <w:adjustRightInd/>
                    <w:snapToGrid/>
                    <w:jc w:val="center"/>
                    <w:textAlignment w:val="auto"/>
                    <w:rPr>
                      <w:rFonts w:hint="eastAsia" w:ascii="Times New Roman" w:hAnsi="Times New Roman" w:eastAsia="宋体" w:cs="Times New Roman"/>
                      <w:snapToGrid/>
                      <w:color w:val="auto"/>
                      <w:kern w:val="2"/>
                      <w:szCs w:val="24"/>
                      <w:highlight w:val="none"/>
                      <w:lang w:eastAsia="zh-CN"/>
                    </w:rPr>
                  </w:pPr>
                  <w:r>
                    <w:rPr>
                      <w:rFonts w:hint="eastAsia" w:ascii="Times New Roman" w:hAnsi="Times New Roman" w:eastAsia="宋体" w:cs="Times New Roman"/>
                      <w:snapToGrid/>
                      <w:color w:val="auto"/>
                      <w:kern w:val="2"/>
                      <w:szCs w:val="24"/>
                      <w:highlight w:val="none"/>
                      <w:lang w:eastAsia="zh-CN"/>
                    </w:rPr>
                    <w:t>颗粒物</w:t>
                  </w:r>
                </w:p>
              </w:tc>
              <w:tc>
                <w:tcPr>
                  <w:tcW w:w="402" w:type="pct"/>
                  <w:vMerge w:val="restart"/>
                  <w:tcBorders>
                    <w:tl2br w:val="nil"/>
                    <w:tr2bl w:val="nil"/>
                  </w:tcBorders>
                  <w:noWrap w:val="0"/>
                  <w:vAlign w:val="center"/>
                </w:tcPr>
                <w:p w14:paraId="0CB4BF4C">
                  <w:pPr>
                    <w:pStyle w:val="98"/>
                    <w:widowControl w:val="0"/>
                    <w:kinsoku/>
                    <w:autoSpaceDE/>
                    <w:autoSpaceDN/>
                    <w:adjustRightInd/>
                    <w:snapToGrid/>
                    <w:jc w:val="center"/>
                    <w:textAlignment w:val="auto"/>
                    <w:rPr>
                      <w:rFonts w:hint="eastAsia" w:ascii="Times New Roman" w:hAnsi="Times New Roman" w:cs="Times New Roman"/>
                      <w:snapToGrid/>
                      <w:color w:val="auto"/>
                      <w:kern w:val="2"/>
                      <w:szCs w:val="24"/>
                      <w:highlight w:val="none"/>
                      <w:lang w:eastAsia="zh-CN"/>
                    </w:rPr>
                  </w:pPr>
                  <w:r>
                    <w:rPr>
                      <w:rFonts w:hint="eastAsia" w:ascii="Times New Roman" w:hAnsi="Times New Roman" w:cs="Times New Roman"/>
                      <w:snapToGrid/>
                      <w:color w:val="auto"/>
                      <w:kern w:val="2"/>
                      <w:szCs w:val="24"/>
                      <w:highlight w:val="none"/>
                      <w:lang w:eastAsia="zh-CN"/>
                    </w:rPr>
                    <w:t>有组织</w:t>
                  </w:r>
                </w:p>
              </w:tc>
              <w:tc>
                <w:tcPr>
                  <w:tcW w:w="541" w:type="pct"/>
                  <w:vMerge w:val="restart"/>
                  <w:tcBorders>
                    <w:tl2br w:val="nil"/>
                    <w:tr2bl w:val="nil"/>
                  </w:tcBorders>
                  <w:noWrap w:val="0"/>
                  <w:vAlign w:val="center"/>
                </w:tcPr>
                <w:p w14:paraId="316B76B1">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3840</w:t>
                  </w:r>
                </w:p>
              </w:tc>
              <w:tc>
                <w:tcPr>
                  <w:tcW w:w="541" w:type="pct"/>
                  <w:vMerge w:val="restart"/>
                  <w:tcBorders>
                    <w:tl2br w:val="nil"/>
                    <w:tr2bl w:val="nil"/>
                  </w:tcBorders>
                  <w:noWrap w:val="0"/>
                  <w:vAlign w:val="center"/>
                </w:tcPr>
                <w:p w14:paraId="3A5BC47E">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1000</w:t>
                  </w:r>
                </w:p>
              </w:tc>
              <w:tc>
                <w:tcPr>
                  <w:tcW w:w="443" w:type="pct"/>
                  <w:tcBorders>
                    <w:tl2br w:val="nil"/>
                    <w:tr2bl w:val="nil"/>
                  </w:tcBorders>
                  <w:noWrap w:val="0"/>
                  <w:vAlign w:val="center"/>
                </w:tcPr>
                <w:p w14:paraId="15F395E2">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0.016</w:t>
                  </w:r>
                </w:p>
              </w:tc>
              <w:tc>
                <w:tcPr>
                  <w:tcW w:w="416" w:type="pct"/>
                  <w:tcBorders>
                    <w:tl2br w:val="nil"/>
                    <w:tr2bl w:val="nil"/>
                  </w:tcBorders>
                  <w:noWrap w:val="0"/>
                  <w:vAlign w:val="center"/>
                </w:tcPr>
                <w:p w14:paraId="11BFAF9E">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0.0042</w:t>
                  </w:r>
                </w:p>
              </w:tc>
              <w:tc>
                <w:tcPr>
                  <w:tcW w:w="520" w:type="pct"/>
                  <w:tcBorders>
                    <w:tl2br w:val="nil"/>
                    <w:tr2bl w:val="nil"/>
                  </w:tcBorders>
                  <w:noWrap w:val="0"/>
                  <w:vAlign w:val="center"/>
                </w:tcPr>
                <w:p w14:paraId="0B5C45E9">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4.2</w:t>
                  </w:r>
                </w:p>
              </w:tc>
              <w:tc>
                <w:tcPr>
                  <w:tcW w:w="520" w:type="pct"/>
                  <w:vMerge w:val="restart"/>
                  <w:tcBorders>
                    <w:tl2br w:val="nil"/>
                    <w:tr2bl w:val="nil"/>
                  </w:tcBorders>
                  <w:noWrap w:val="0"/>
                  <w:vAlign w:val="center"/>
                </w:tcPr>
                <w:p w14:paraId="78D11973">
                  <w:pPr>
                    <w:pStyle w:val="98"/>
                    <w:widowControl w:val="0"/>
                    <w:kinsoku/>
                    <w:autoSpaceDE/>
                    <w:autoSpaceDN/>
                    <w:adjustRightInd/>
                    <w:snapToGrid/>
                    <w:jc w:val="center"/>
                    <w:textAlignment w:val="auto"/>
                    <w:rPr>
                      <w:rFonts w:hint="eastAsia" w:ascii="Times New Roman" w:hAnsi="Times New Roman" w:cs="Times New Roman"/>
                      <w:snapToGrid/>
                      <w:color w:val="auto"/>
                      <w:kern w:val="2"/>
                      <w:szCs w:val="24"/>
                      <w:highlight w:val="none"/>
                      <w:lang w:eastAsia="zh-CN"/>
                    </w:rPr>
                  </w:pPr>
                  <w:r>
                    <w:rPr>
                      <w:rFonts w:hint="eastAsia" w:ascii="Times New Roman" w:hAnsi="Times New Roman" w:cs="Times New Roman"/>
                      <w:snapToGrid/>
                      <w:color w:val="auto"/>
                      <w:kern w:val="2"/>
                      <w:szCs w:val="24"/>
                      <w:highlight w:val="none"/>
                      <w:lang w:val="en-US" w:eastAsia="zh-CN"/>
                    </w:rPr>
                    <w:t>低氮燃烧</w:t>
                  </w:r>
                </w:p>
              </w:tc>
              <w:tc>
                <w:tcPr>
                  <w:tcW w:w="443" w:type="pct"/>
                  <w:tcBorders>
                    <w:tl2br w:val="nil"/>
                    <w:tr2bl w:val="nil"/>
                  </w:tcBorders>
                  <w:noWrap w:val="0"/>
                  <w:vAlign w:val="center"/>
                </w:tcPr>
                <w:p w14:paraId="722A7B12">
                  <w:pPr>
                    <w:pStyle w:val="98"/>
                    <w:widowControl w:val="0"/>
                    <w:kinsoku/>
                    <w:autoSpaceDE/>
                    <w:autoSpaceDN/>
                    <w:adjustRightInd/>
                    <w:snapToGrid/>
                    <w:ind w:firstLine="0" w:firstLineChars="0"/>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0.016</w:t>
                  </w:r>
                </w:p>
              </w:tc>
              <w:tc>
                <w:tcPr>
                  <w:tcW w:w="365" w:type="pct"/>
                  <w:tcBorders>
                    <w:tl2br w:val="nil"/>
                    <w:tr2bl w:val="nil"/>
                  </w:tcBorders>
                  <w:noWrap w:val="0"/>
                  <w:vAlign w:val="center"/>
                </w:tcPr>
                <w:p w14:paraId="42A949F6">
                  <w:pPr>
                    <w:pStyle w:val="98"/>
                    <w:widowControl w:val="0"/>
                    <w:kinsoku/>
                    <w:autoSpaceDE/>
                    <w:autoSpaceDN/>
                    <w:adjustRightInd/>
                    <w:snapToGrid/>
                    <w:ind w:firstLine="0" w:firstLineChars="0"/>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0.0042</w:t>
                  </w:r>
                </w:p>
              </w:tc>
              <w:tc>
                <w:tcPr>
                  <w:tcW w:w="409" w:type="pct"/>
                  <w:tcBorders>
                    <w:tl2br w:val="nil"/>
                    <w:tr2bl w:val="nil"/>
                  </w:tcBorders>
                  <w:noWrap w:val="0"/>
                  <w:vAlign w:val="center"/>
                </w:tcPr>
                <w:p w14:paraId="5CE48ECD">
                  <w:pPr>
                    <w:pStyle w:val="98"/>
                    <w:widowControl w:val="0"/>
                    <w:kinsoku/>
                    <w:autoSpaceDE/>
                    <w:autoSpaceDN/>
                    <w:adjustRightInd/>
                    <w:snapToGrid/>
                    <w:ind w:firstLine="0" w:firstLineChars="0"/>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4.2</w:t>
                  </w:r>
                </w:p>
              </w:tc>
            </w:tr>
            <w:tr w14:paraId="0999A8D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4" w:hRule="atLeast"/>
                <w:jc w:val="center"/>
              </w:trPr>
              <w:tc>
                <w:tcPr>
                  <w:tcW w:w="393" w:type="pct"/>
                  <w:tcBorders>
                    <w:tl2br w:val="nil"/>
                    <w:tr2bl w:val="nil"/>
                  </w:tcBorders>
                  <w:noWrap w:val="0"/>
                  <w:vAlign w:val="center"/>
                </w:tcPr>
                <w:p w14:paraId="6F5A739B">
                  <w:pPr>
                    <w:pStyle w:val="98"/>
                    <w:widowControl w:val="0"/>
                    <w:kinsoku/>
                    <w:autoSpaceDE/>
                    <w:autoSpaceDN/>
                    <w:adjustRightInd/>
                    <w:snapToGrid/>
                    <w:jc w:val="center"/>
                    <w:textAlignment w:val="auto"/>
                    <w:rPr>
                      <w:rFonts w:hint="eastAsia" w:ascii="Times New Roman" w:hAnsi="Times New Roman" w:eastAsia="宋体" w:cs="Times New Roman"/>
                      <w:snapToGrid/>
                      <w:color w:val="auto"/>
                      <w:kern w:val="2"/>
                      <w:szCs w:val="24"/>
                      <w:highlight w:val="none"/>
                      <w:lang w:eastAsia="zh-CN"/>
                    </w:rPr>
                  </w:pPr>
                  <w:r>
                    <w:rPr>
                      <w:rFonts w:hint="eastAsia" w:ascii="Times New Roman" w:hAnsi="Times New Roman" w:eastAsia="宋体" w:cs="Times New Roman"/>
                      <w:snapToGrid/>
                      <w:color w:val="auto"/>
                      <w:kern w:val="2"/>
                      <w:szCs w:val="24"/>
                      <w:highlight w:val="none"/>
                      <w:lang w:eastAsia="zh-CN"/>
                    </w:rPr>
                    <w:t>SO</w:t>
                  </w:r>
                  <w:r>
                    <w:rPr>
                      <w:rFonts w:hint="eastAsia" w:ascii="Times New Roman" w:hAnsi="Times New Roman" w:eastAsia="宋体" w:cs="Times New Roman"/>
                      <w:snapToGrid/>
                      <w:color w:val="auto"/>
                      <w:kern w:val="2"/>
                      <w:szCs w:val="24"/>
                      <w:highlight w:val="none"/>
                      <w:vertAlign w:val="subscript"/>
                      <w:lang w:eastAsia="zh-CN"/>
                    </w:rPr>
                    <w:t>2</w:t>
                  </w:r>
                </w:p>
              </w:tc>
              <w:tc>
                <w:tcPr>
                  <w:tcW w:w="402" w:type="pct"/>
                  <w:vMerge w:val="continue"/>
                  <w:tcBorders>
                    <w:tl2br w:val="nil"/>
                    <w:tr2bl w:val="nil"/>
                  </w:tcBorders>
                  <w:noWrap w:val="0"/>
                  <w:vAlign w:val="center"/>
                </w:tcPr>
                <w:p w14:paraId="24D2F70D">
                  <w:pPr>
                    <w:pStyle w:val="98"/>
                    <w:widowControl w:val="0"/>
                    <w:kinsoku/>
                    <w:autoSpaceDE/>
                    <w:autoSpaceDN/>
                    <w:adjustRightInd/>
                    <w:snapToGrid/>
                    <w:jc w:val="center"/>
                    <w:textAlignment w:val="auto"/>
                    <w:rPr>
                      <w:rFonts w:hint="eastAsia" w:ascii="Times New Roman" w:hAnsi="Times New Roman" w:cs="Times New Roman"/>
                      <w:snapToGrid/>
                      <w:color w:val="auto"/>
                      <w:kern w:val="2"/>
                      <w:szCs w:val="24"/>
                      <w:highlight w:val="none"/>
                      <w:lang w:eastAsia="zh-CN"/>
                    </w:rPr>
                  </w:pPr>
                </w:p>
              </w:tc>
              <w:tc>
                <w:tcPr>
                  <w:tcW w:w="541" w:type="pct"/>
                  <w:vMerge w:val="continue"/>
                  <w:tcBorders>
                    <w:tl2br w:val="nil"/>
                    <w:tr2bl w:val="nil"/>
                  </w:tcBorders>
                  <w:noWrap w:val="0"/>
                  <w:vAlign w:val="center"/>
                </w:tcPr>
                <w:p w14:paraId="040B7665">
                  <w:pPr>
                    <w:pStyle w:val="98"/>
                    <w:widowControl w:val="0"/>
                    <w:kinsoku/>
                    <w:autoSpaceDE/>
                    <w:autoSpaceDN/>
                    <w:adjustRightInd/>
                    <w:snapToGrid/>
                    <w:jc w:val="center"/>
                    <w:textAlignment w:val="auto"/>
                    <w:rPr>
                      <w:rFonts w:hint="eastAsia" w:ascii="Times New Roman" w:hAnsi="Times New Roman" w:cs="Times New Roman"/>
                      <w:snapToGrid/>
                      <w:color w:val="auto"/>
                      <w:kern w:val="2"/>
                      <w:szCs w:val="24"/>
                      <w:highlight w:val="none"/>
                      <w:lang w:eastAsia="zh-CN"/>
                    </w:rPr>
                  </w:pPr>
                </w:p>
              </w:tc>
              <w:tc>
                <w:tcPr>
                  <w:tcW w:w="541" w:type="pct"/>
                  <w:vMerge w:val="continue"/>
                  <w:tcBorders>
                    <w:tl2br w:val="nil"/>
                    <w:tr2bl w:val="nil"/>
                  </w:tcBorders>
                  <w:noWrap w:val="0"/>
                  <w:vAlign w:val="center"/>
                </w:tcPr>
                <w:p w14:paraId="61EE08EB">
                  <w:pPr>
                    <w:pStyle w:val="98"/>
                    <w:widowControl w:val="0"/>
                    <w:kinsoku/>
                    <w:autoSpaceDE/>
                    <w:autoSpaceDN/>
                    <w:adjustRightInd/>
                    <w:snapToGrid/>
                    <w:jc w:val="center"/>
                    <w:textAlignment w:val="auto"/>
                    <w:rPr>
                      <w:rFonts w:hint="eastAsia" w:ascii="Times New Roman" w:hAnsi="Times New Roman" w:cs="Times New Roman"/>
                      <w:snapToGrid/>
                      <w:color w:val="auto"/>
                      <w:kern w:val="2"/>
                      <w:szCs w:val="24"/>
                      <w:highlight w:val="none"/>
                      <w:lang w:eastAsia="zh-CN"/>
                    </w:rPr>
                  </w:pPr>
                </w:p>
              </w:tc>
              <w:tc>
                <w:tcPr>
                  <w:tcW w:w="443" w:type="pct"/>
                  <w:tcBorders>
                    <w:tl2br w:val="nil"/>
                    <w:tr2bl w:val="nil"/>
                  </w:tcBorders>
                  <w:noWrap w:val="0"/>
                  <w:vAlign w:val="center"/>
                </w:tcPr>
                <w:p w14:paraId="4B0C76F2">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0.011</w:t>
                  </w:r>
                </w:p>
              </w:tc>
              <w:tc>
                <w:tcPr>
                  <w:tcW w:w="416" w:type="pct"/>
                  <w:tcBorders>
                    <w:tl2br w:val="nil"/>
                    <w:tr2bl w:val="nil"/>
                  </w:tcBorders>
                  <w:noWrap w:val="0"/>
                  <w:vAlign w:val="center"/>
                </w:tcPr>
                <w:p w14:paraId="5620CB37">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0.0029</w:t>
                  </w:r>
                </w:p>
              </w:tc>
              <w:tc>
                <w:tcPr>
                  <w:tcW w:w="520" w:type="pct"/>
                  <w:tcBorders>
                    <w:tl2br w:val="nil"/>
                    <w:tr2bl w:val="nil"/>
                  </w:tcBorders>
                  <w:noWrap w:val="0"/>
                  <w:vAlign w:val="center"/>
                </w:tcPr>
                <w:p w14:paraId="16B17DC2">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2.9</w:t>
                  </w:r>
                </w:p>
              </w:tc>
              <w:tc>
                <w:tcPr>
                  <w:tcW w:w="520" w:type="pct"/>
                  <w:vMerge w:val="continue"/>
                  <w:tcBorders>
                    <w:tl2br w:val="nil"/>
                    <w:tr2bl w:val="nil"/>
                  </w:tcBorders>
                  <w:noWrap w:val="0"/>
                  <w:vAlign w:val="center"/>
                </w:tcPr>
                <w:p w14:paraId="5A44D25E">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p>
              </w:tc>
              <w:tc>
                <w:tcPr>
                  <w:tcW w:w="443" w:type="pct"/>
                  <w:tcBorders>
                    <w:tl2br w:val="nil"/>
                    <w:tr2bl w:val="nil"/>
                  </w:tcBorders>
                  <w:noWrap w:val="0"/>
                  <w:vAlign w:val="center"/>
                </w:tcPr>
                <w:p w14:paraId="0B9E33FA">
                  <w:pPr>
                    <w:pStyle w:val="98"/>
                    <w:widowControl w:val="0"/>
                    <w:kinsoku/>
                    <w:autoSpaceDE/>
                    <w:autoSpaceDN/>
                    <w:adjustRightInd/>
                    <w:snapToGrid/>
                    <w:ind w:firstLine="0" w:firstLineChars="0"/>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0.011</w:t>
                  </w:r>
                </w:p>
              </w:tc>
              <w:tc>
                <w:tcPr>
                  <w:tcW w:w="365" w:type="pct"/>
                  <w:tcBorders>
                    <w:tl2br w:val="nil"/>
                    <w:tr2bl w:val="nil"/>
                  </w:tcBorders>
                  <w:noWrap w:val="0"/>
                  <w:vAlign w:val="center"/>
                </w:tcPr>
                <w:p w14:paraId="584D5050">
                  <w:pPr>
                    <w:pStyle w:val="98"/>
                    <w:widowControl w:val="0"/>
                    <w:kinsoku/>
                    <w:autoSpaceDE/>
                    <w:autoSpaceDN/>
                    <w:adjustRightInd/>
                    <w:snapToGrid/>
                    <w:ind w:firstLine="0" w:firstLineChars="0"/>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0.0029</w:t>
                  </w:r>
                </w:p>
              </w:tc>
              <w:tc>
                <w:tcPr>
                  <w:tcW w:w="409" w:type="pct"/>
                  <w:tcBorders>
                    <w:tl2br w:val="nil"/>
                    <w:tr2bl w:val="nil"/>
                  </w:tcBorders>
                  <w:noWrap w:val="0"/>
                  <w:vAlign w:val="center"/>
                </w:tcPr>
                <w:p w14:paraId="69C61720">
                  <w:pPr>
                    <w:pStyle w:val="98"/>
                    <w:widowControl w:val="0"/>
                    <w:kinsoku/>
                    <w:autoSpaceDE/>
                    <w:autoSpaceDN/>
                    <w:adjustRightInd/>
                    <w:snapToGrid/>
                    <w:ind w:firstLine="0" w:firstLineChars="0"/>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2.9</w:t>
                  </w:r>
                </w:p>
              </w:tc>
            </w:tr>
            <w:tr w14:paraId="43D44A6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12" w:hRule="atLeast"/>
                <w:jc w:val="center"/>
              </w:trPr>
              <w:tc>
                <w:tcPr>
                  <w:tcW w:w="393" w:type="pct"/>
                  <w:tcBorders>
                    <w:tl2br w:val="nil"/>
                    <w:tr2bl w:val="nil"/>
                  </w:tcBorders>
                  <w:noWrap w:val="0"/>
                  <w:vAlign w:val="center"/>
                </w:tcPr>
                <w:p w14:paraId="600BBF65">
                  <w:pPr>
                    <w:pStyle w:val="98"/>
                    <w:widowControl w:val="0"/>
                    <w:kinsoku/>
                    <w:autoSpaceDE/>
                    <w:autoSpaceDN/>
                    <w:adjustRightInd/>
                    <w:snapToGrid/>
                    <w:jc w:val="center"/>
                    <w:textAlignment w:val="auto"/>
                    <w:rPr>
                      <w:rFonts w:hint="eastAsia" w:ascii="Times New Roman" w:hAnsi="Times New Roman" w:eastAsia="宋体" w:cs="Times New Roman"/>
                      <w:snapToGrid/>
                      <w:color w:val="auto"/>
                      <w:kern w:val="2"/>
                      <w:szCs w:val="24"/>
                      <w:highlight w:val="none"/>
                      <w:lang w:eastAsia="zh-CN"/>
                    </w:rPr>
                  </w:pPr>
                  <w:r>
                    <w:rPr>
                      <w:rFonts w:hint="eastAsia" w:ascii="Times New Roman" w:hAnsi="Times New Roman" w:eastAsia="宋体" w:cs="Times New Roman"/>
                      <w:snapToGrid/>
                      <w:color w:val="auto"/>
                      <w:kern w:val="2"/>
                      <w:szCs w:val="24"/>
                      <w:highlight w:val="none"/>
                      <w:lang w:eastAsia="zh-CN"/>
                    </w:rPr>
                    <w:t>NO</w:t>
                  </w:r>
                  <w:r>
                    <w:rPr>
                      <w:rFonts w:hint="eastAsia" w:ascii="Times New Roman" w:hAnsi="Times New Roman" w:eastAsia="宋体" w:cs="Times New Roman"/>
                      <w:snapToGrid/>
                      <w:color w:val="auto"/>
                      <w:kern w:val="2"/>
                      <w:szCs w:val="24"/>
                      <w:highlight w:val="none"/>
                      <w:vertAlign w:val="subscript"/>
                      <w:lang w:eastAsia="zh-CN"/>
                    </w:rPr>
                    <w:t>X</w:t>
                  </w:r>
                </w:p>
              </w:tc>
              <w:tc>
                <w:tcPr>
                  <w:tcW w:w="402" w:type="pct"/>
                  <w:vMerge w:val="continue"/>
                  <w:tcBorders>
                    <w:tl2br w:val="nil"/>
                    <w:tr2bl w:val="nil"/>
                  </w:tcBorders>
                  <w:noWrap w:val="0"/>
                  <w:vAlign w:val="center"/>
                </w:tcPr>
                <w:p w14:paraId="77B5B96D">
                  <w:pPr>
                    <w:pStyle w:val="98"/>
                    <w:widowControl w:val="0"/>
                    <w:kinsoku/>
                    <w:autoSpaceDE/>
                    <w:autoSpaceDN/>
                    <w:adjustRightInd/>
                    <w:snapToGrid/>
                    <w:jc w:val="center"/>
                    <w:textAlignment w:val="auto"/>
                    <w:rPr>
                      <w:rFonts w:hint="eastAsia" w:ascii="Times New Roman" w:hAnsi="Times New Roman" w:cs="Times New Roman"/>
                      <w:snapToGrid/>
                      <w:color w:val="auto"/>
                      <w:kern w:val="2"/>
                      <w:szCs w:val="24"/>
                      <w:highlight w:val="none"/>
                      <w:lang w:eastAsia="zh-CN"/>
                    </w:rPr>
                  </w:pPr>
                </w:p>
              </w:tc>
              <w:tc>
                <w:tcPr>
                  <w:tcW w:w="541" w:type="pct"/>
                  <w:vMerge w:val="continue"/>
                  <w:tcBorders>
                    <w:tl2br w:val="nil"/>
                    <w:tr2bl w:val="nil"/>
                  </w:tcBorders>
                  <w:noWrap w:val="0"/>
                  <w:vAlign w:val="center"/>
                </w:tcPr>
                <w:p w14:paraId="6BCCF017">
                  <w:pPr>
                    <w:pStyle w:val="98"/>
                    <w:widowControl w:val="0"/>
                    <w:kinsoku/>
                    <w:autoSpaceDE/>
                    <w:autoSpaceDN/>
                    <w:adjustRightInd/>
                    <w:snapToGrid/>
                    <w:jc w:val="center"/>
                    <w:textAlignment w:val="auto"/>
                    <w:rPr>
                      <w:rFonts w:hint="eastAsia" w:ascii="Times New Roman" w:hAnsi="Times New Roman" w:cs="Times New Roman"/>
                      <w:snapToGrid/>
                      <w:color w:val="auto"/>
                      <w:kern w:val="2"/>
                      <w:szCs w:val="24"/>
                      <w:highlight w:val="none"/>
                      <w:lang w:eastAsia="zh-CN"/>
                    </w:rPr>
                  </w:pPr>
                </w:p>
              </w:tc>
              <w:tc>
                <w:tcPr>
                  <w:tcW w:w="541" w:type="pct"/>
                  <w:vMerge w:val="continue"/>
                  <w:tcBorders>
                    <w:tl2br w:val="nil"/>
                    <w:tr2bl w:val="nil"/>
                  </w:tcBorders>
                  <w:noWrap w:val="0"/>
                  <w:vAlign w:val="center"/>
                </w:tcPr>
                <w:p w14:paraId="7D78EF89">
                  <w:pPr>
                    <w:pStyle w:val="98"/>
                    <w:widowControl w:val="0"/>
                    <w:kinsoku/>
                    <w:autoSpaceDE/>
                    <w:autoSpaceDN/>
                    <w:adjustRightInd/>
                    <w:snapToGrid/>
                    <w:jc w:val="center"/>
                    <w:textAlignment w:val="auto"/>
                    <w:rPr>
                      <w:rFonts w:hint="eastAsia" w:ascii="Times New Roman" w:hAnsi="Times New Roman" w:cs="Times New Roman"/>
                      <w:snapToGrid/>
                      <w:color w:val="auto"/>
                      <w:kern w:val="2"/>
                      <w:szCs w:val="24"/>
                      <w:highlight w:val="none"/>
                      <w:lang w:eastAsia="zh-CN"/>
                    </w:rPr>
                  </w:pPr>
                </w:p>
              </w:tc>
              <w:tc>
                <w:tcPr>
                  <w:tcW w:w="443" w:type="pct"/>
                  <w:tcBorders>
                    <w:tl2br w:val="nil"/>
                    <w:tr2bl w:val="nil"/>
                  </w:tcBorders>
                  <w:noWrap w:val="0"/>
                  <w:vAlign w:val="center"/>
                </w:tcPr>
                <w:p w14:paraId="1A0C2553">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0.052</w:t>
                  </w:r>
                </w:p>
              </w:tc>
              <w:tc>
                <w:tcPr>
                  <w:tcW w:w="416" w:type="pct"/>
                  <w:tcBorders>
                    <w:tl2br w:val="nil"/>
                    <w:tr2bl w:val="nil"/>
                  </w:tcBorders>
                  <w:noWrap w:val="0"/>
                  <w:vAlign w:val="center"/>
                </w:tcPr>
                <w:p w14:paraId="0F62D2EB">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0.0135</w:t>
                  </w:r>
                </w:p>
              </w:tc>
              <w:tc>
                <w:tcPr>
                  <w:tcW w:w="520" w:type="pct"/>
                  <w:tcBorders>
                    <w:tl2br w:val="nil"/>
                    <w:tr2bl w:val="nil"/>
                  </w:tcBorders>
                  <w:noWrap w:val="0"/>
                  <w:vAlign w:val="center"/>
                </w:tcPr>
                <w:p w14:paraId="659E28B5">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13.5</w:t>
                  </w:r>
                </w:p>
              </w:tc>
              <w:tc>
                <w:tcPr>
                  <w:tcW w:w="520" w:type="pct"/>
                  <w:vMerge w:val="continue"/>
                  <w:tcBorders>
                    <w:tl2br w:val="nil"/>
                    <w:tr2bl w:val="nil"/>
                  </w:tcBorders>
                  <w:noWrap w:val="0"/>
                  <w:vAlign w:val="center"/>
                </w:tcPr>
                <w:p w14:paraId="2AA5C3DE">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p>
              </w:tc>
              <w:tc>
                <w:tcPr>
                  <w:tcW w:w="443" w:type="pct"/>
                  <w:tcBorders>
                    <w:tl2br w:val="nil"/>
                    <w:tr2bl w:val="nil"/>
                  </w:tcBorders>
                  <w:noWrap w:val="0"/>
                  <w:vAlign w:val="center"/>
                </w:tcPr>
                <w:p w14:paraId="735595AD">
                  <w:pPr>
                    <w:pStyle w:val="98"/>
                    <w:widowControl w:val="0"/>
                    <w:kinsoku/>
                    <w:autoSpaceDE/>
                    <w:autoSpaceDN/>
                    <w:adjustRightInd/>
                    <w:snapToGrid/>
                    <w:ind w:firstLine="0" w:firstLineChars="0"/>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0.052</w:t>
                  </w:r>
                </w:p>
              </w:tc>
              <w:tc>
                <w:tcPr>
                  <w:tcW w:w="365" w:type="pct"/>
                  <w:tcBorders>
                    <w:tl2br w:val="nil"/>
                    <w:tr2bl w:val="nil"/>
                  </w:tcBorders>
                  <w:noWrap w:val="0"/>
                  <w:vAlign w:val="center"/>
                </w:tcPr>
                <w:p w14:paraId="36FAF582">
                  <w:pPr>
                    <w:pStyle w:val="98"/>
                    <w:widowControl w:val="0"/>
                    <w:kinsoku/>
                    <w:autoSpaceDE/>
                    <w:autoSpaceDN/>
                    <w:adjustRightInd/>
                    <w:snapToGrid/>
                    <w:ind w:firstLine="0" w:firstLineChars="0"/>
                    <w:jc w:val="center"/>
                    <w:textAlignment w:val="auto"/>
                    <w:rPr>
                      <w:rFonts w:hint="eastAsia" w:ascii="Times New Roman" w:hAnsi="Times New Roman" w:cs="Times New Roman"/>
                      <w:snapToGrid/>
                      <w:color w:val="auto"/>
                      <w:kern w:val="2"/>
                      <w:szCs w:val="24"/>
                      <w:highlight w:val="none"/>
                      <w:lang w:eastAsia="zh-CN"/>
                    </w:rPr>
                  </w:pPr>
                  <w:r>
                    <w:rPr>
                      <w:rFonts w:hint="eastAsia" w:ascii="Times New Roman" w:hAnsi="Times New Roman" w:cs="Times New Roman"/>
                      <w:snapToGrid/>
                      <w:color w:val="auto"/>
                      <w:kern w:val="2"/>
                      <w:szCs w:val="24"/>
                      <w:highlight w:val="none"/>
                      <w:lang w:val="en-US" w:eastAsia="zh-CN"/>
                    </w:rPr>
                    <w:t>0.0135</w:t>
                  </w:r>
                </w:p>
              </w:tc>
              <w:tc>
                <w:tcPr>
                  <w:tcW w:w="409" w:type="pct"/>
                  <w:tcBorders>
                    <w:tl2br w:val="nil"/>
                    <w:tr2bl w:val="nil"/>
                  </w:tcBorders>
                  <w:noWrap w:val="0"/>
                  <w:vAlign w:val="center"/>
                </w:tcPr>
                <w:p w14:paraId="6898FF37">
                  <w:pPr>
                    <w:pStyle w:val="98"/>
                    <w:widowControl w:val="0"/>
                    <w:kinsoku/>
                    <w:autoSpaceDE/>
                    <w:autoSpaceDN/>
                    <w:adjustRightInd/>
                    <w:snapToGrid/>
                    <w:ind w:firstLine="0" w:firstLineChars="0"/>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13.5</w:t>
                  </w:r>
                </w:p>
              </w:tc>
            </w:tr>
          </w:tbl>
          <w:p w14:paraId="0C8F5AA5">
            <w:pPr>
              <w:widowControl/>
              <w:ind w:left="0" w:leftChars="0" w:firstLine="0" w:firstLineChars="0"/>
              <w:jc w:val="left"/>
              <w:rPr>
                <w:rFonts w:hint="eastAsia"/>
                <w:b/>
                <w:bCs/>
                <w:color w:val="auto"/>
                <w:highlight w:val="none"/>
              </w:rPr>
            </w:pPr>
          </w:p>
          <w:p w14:paraId="0AA2E9CE">
            <w:pPr>
              <w:bidi w:val="0"/>
              <w:ind w:left="0" w:leftChars="0" w:firstLine="0" w:firstLineChars="0"/>
              <w:jc w:val="center"/>
              <w:rPr>
                <w:rFonts w:ascii="Times New Roman" w:hAnsi="Times New Roman" w:eastAsia="宋体" w:cs="Times New Roman"/>
                <w:b/>
                <w:bCs/>
                <w:snapToGrid/>
                <w:color w:val="auto"/>
                <w:kern w:val="2"/>
                <w:sz w:val="24"/>
                <w:szCs w:val="24"/>
                <w:highlight w:val="none"/>
                <w:lang w:eastAsia="zh-CN"/>
              </w:rPr>
            </w:pPr>
            <w:r>
              <w:rPr>
                <w:rFonts w:ascii="Times New Roman" w:hAnsi="Times New Roman" w:eastAsia="宋体" w:cs="Times New Roman"/>
                <w:b/>
                <w:bCs/>
                <w:snapToGrid/>
                <w:color w:val="auto"/>
                <w:kern w:val="2"/>
                <w:sz w:val="24"/>
                <w:szCs w:val="24"/>
                <w:highlight w:val="none"/>
                <w:lang w:eastAsia="zh-CN"/>
              </w:rPr>
              <w:t>表4.2-</w:t>
            </w:r>
            <w:r>
              <w:rPr>
                <w:rFonts w:hint="eastAsia" w:ascii="Times New Roman" w:hAnsi="Times New Roman" w:eastAsia="宋体" w:cs="Times New Roman"/>
                <w:b/>
                <w:bCs/>
                <w:snapToGrid/>
                <w:color w:val="auto"/>
                <w:kern w:val="2"/>
                <w:sz w:val="24"/>
                <w:szCs w:val="24"/>
                <w:highlight w:val="none"/>
                <w:lang w:val="en-US" w:eastAsia="zh-CN"/>
              </w:rPr>
              <w:t>8</w:t>
            </w:r>
            <w:r>
              <w:rPr>
                <w:rFonts w:ascii="Times New Roman" w:hAnsi="Times New Roman" w:eastAsia="宋体" w:cs="Times New Roman"/>
                <w:b/>
                <w:bCs/>
                <w:snapToGrid/>
                <w:color w:val="auto"/>
                <w:kern w:val="2"/>
                <w:sz w:val="24"/>
                <w:szCs w:val="24"/>
                <w:highlight w:val="none"/>
                <w:lang w:eastAsia="zh-CN"/>
              </w:rPr>
              <w:t xml:space="preserve">  </w:t>
            </w:r>
            <w:r>
              <w:rPr>
                <w:rFonts w:hint="eastAsia" w:ascii="Times New Roman" w:hAnsi="Times New Roman" w:eastAsia="宋体" w:cs="Times New Roman"/>
                <w:b/>
                <w:bCs/>
                <w:snapToGrid/>
                <w:color w:val="auto"/>
                <w:kern w:val="2"/>
                <w:sz w:val="24"/>
                <w:szCs w:val="24"/>
                <w:highlight w:val="none"/>
                <w:lang w:val="en-US" w:eastAsia="zh-CN"/>
              </w:rPr>
              <w:t>导热油炉</w:t>
            </w:r>
            <w:r>
              <w:rPr>
                <w:rFonts w:hint="eastAsia"/>
                <w:b/>
                <w:bCs/>
                <w:color w:val="auto"/>
                <w:highlight w:val="none"/>
                <w:lang w:val="en-US" w:eastAsia="zh-CN"/>
              </w:rPr>
              <w:t>废气（二期）</w:t>
            </w:r>
            <w:r>
              <w:rPr>
                <w:rFonts w:ascii="Times New Roman" w:hAnsi="Times New Roman" w:eastAsia="宋体" w:cs="Times New Roman"/>
                <w:b/>
                <w:bCs/>
                <w:snapToGrid/>
                <w:color w:val="auto"/>
                <w:kern w:val="2"/>
                <w:sz w:val="24"/>
                <w:szCs w:val="24"/>
                <w:highlight w:val="none"/>
                <w:lang w:eastAsia="zh-CN"/>
              </w:rPr>
              <w:t>排放情况一览表</w:t>
            </w:r>
          </w:p>
          <w:tbl>
            <w:tblPr>
              <w:tblStyle w:val="129"/>
              <w:tblW w:w="841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662"/>
              <w:gridCol w:w="677"/>
              <w:gridCol w:w="912"/>
              <w:gridCol w:w="912"/>
              <w:gridCol w:w="747"/>
              <w:gridCol w:w="701"/>
              <w:gridCol w:w="876"/>
              <w:gridCol w:w="876"/>
              <w:gridCol w:w="747"/>
              <w:gridCol w:w="615"/>
              <w:gridCol w:w="689"/>
            </w:tblGrid>
            <w:tr w14:paraId="486C656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4" w:hRule="atLeast"/>
                <w:jc w:val="center"/>
              </w:trPr>
              <w:tc>
                <w:tcPr>
                  <w:tcW w:w="393" w:type="pct"/>
                  <w:tcBorders>
                    <w:tl2br w:val="nil"/>
                    <w:tr2bl w:val="nil"/>
                  </w:tcBorders>
                  <w:noWrap w:val="0"/>
                  <w:vAlign w:val="center"/>
                </w:tcPr>
                <w:p w14:paraId="42487EFA">
                  <w:pPr>
                    <w:pStyle w:val="98"/>
                    <w:widowControl w:val="0"/>
                    <w:kinsoku/>
                    <w:autoSpaceDE/>
                    <w:autoSpaceDN/>
                    <w:adjustRightInd/>
                    <w:snapToGrid/>
                    <w:jc w:val="center"/>
                    <w:textAlignment w:val="auto"/>
                    <w:rPr>
                      <w:rFonts w:hint="eastAsia" w:ascii="Times New Roman" w:hAnsi="Times New Roman" w:cs="Times New Roman"/>
                      <w:b/>
                      <w:bCs/>
                      <w:snapToGrid/>
                      <w:color w:val="auto"/>
                      <w:kern w:val="2"/>
                      <w:szCs w:val="24"/>
                      <w:highlight w:val="none"/>
                      <w:lang w:eastAsia="zh-CN"/>
                    </w:rPr>
                  </w:pPr>
                  <w:r>
                    <w:rPr>
                      <w:rFonts w:hint="eastAsia" w:ascii="Times New Roman" w:hAnsi="Times New Roman" w:cs="Times New Roman"/>
                      <w:b/>
                      <w:bCs/>
                      <w:snapToGrid/>
                      <w:color w:val="auto"/>
                      <w:kern w:val="2"/>
                      <w:szCs w:val="24"/>
                      <w:highlight w:val="none"/>
                      <w:lang w:eastAsia="zh-CN"/>
                    </w:rPr>
                    <w:t>污染物</w:t>
                  </w:r>
                </w:p>
              </w:tc>
              <w:tc>
                <w:tcPr>
                  <w:tcW w:w="402" w:type="pct"/>
                  <w:tcBorders>
                    <w:tl2br w:val="nil"/>
                    <w:tr2bl w:val="nil"/>
                  </w:tcBorders>
                  <w:noWrap w:val="0"/>
                  <w:vAlign w:val="center"/>
                </w:tcPr>
                <w:p w14:paraId="57197D82">
                  <w:pPr>
                    <w:pStyle w:val="98"/>
                    <w:widowControl w:val="0"/>
                    <w:kinsoku/>
                    <w:autoSpaceDE/>
                    <w:autoSpaceDN/>
                    <w:adjustRightInd/>
                    <w:snapToGrid/>
                    <w:jc w:val="center"/>
                    <w:textAlignment w:val="auto"/>
                    <w:rPr>
                      <w:rFonts w:hint="eastAsia" w:ascii="Times New Roman" w:hAnsi="Times New Roman" w:cs="Times New Roman"/>
                      <w:b/>
                      <w:bCs/>
                      <w:snapToGrid/>
                      <w:color w:val="auto"/>
                      <w:kern w:val="2"/>
                      <w:szCs w:val="24"/>
                      <w:highlight w:val="none"/>
                      <w:lang w:eastAsia="zh-CN"/>
                    </w:rPr>
                  </w:pPr>
                  <w:r>
                    <w:rPr>
                      <w:rFonts w:hint="eastAsia" w:ascii="Times New Roman" w:hAnsi="Times New Roman" w:cs="Times New Roman"/>
                      <w:b/>
                      <w:bCs/>
                      <w:snapToGrid/>
                      <w:color w:val="auto"/>
                      <w:kern w:val="2"/>
                      <w:szCs w:val="24"/>
                      <w:highlight w:val="none"/>
                      <w:lang w:eastAsia="zh-CN"/>
                    </w:rPr>
                    <w:t>排放形式</w:t>
                  </w:r>
                </w:p>
              </w:tc>
              <w:tc>
                <w:tcPr>
                  <w:tcW w:w="541" w:type="pct"/>
                  <w:tcBorders>
                    <w:tl2br w:val="nil"/>
                    <w:tr2bl w:val="nil"/>
                  </w:tcBorders>
                  <w:noWrap w:val="0"/>
                  <w:vAlign w:val="center"/>
                </w:tcPr>
                <w:p w14:paraId="5AFA7817">
                  <w:pPr>
                    <w:pStyle w:val="107"/>
                    <w:widowControl/>
                    <w:ind w:firstLine="0" w:firstLineChars="0"/>
                    <w:jc w:val="center"/>
                    <w:rPr>
                      <w:rFonts w:hint="eastAsia" w:ascii="Times New Roman" w:hAnsi="Times New Roman" w:eastAsia="宋体"/>
                      <w:b/>
                      <w:bCs/>
                      <w:color w:val="auto"/>
                      <w:sz w:val="21"/>
                      <w:szCs w:val="21"/>
                      <w:highlight w:val="none"/>
                    </w:rPr>
                  </w:pPr>
                  <w:r>
                    <w:rPr>
                      <w:rFonts w:hint="eastAsia" w:ascii="Times New Roman" w:hAnsi="Times New Roman" w:eastAsia="宋体"/>
                      <w:b/>
                      <w:bCs/>
                      <w:color w:val="auto"/>
                      <w:sz w:val="21"/>
                      <w:szCs w:val="21"/>
                      <w:highlight w:val="none"/>
                    </w:rPr>
                    <w:t>排放时间</w:t>
                  </w:r>
                </w:p>
                <w:p w14:paraId="2E6B5F6B">
                  <w:pPr>
                    <w:pStyle w:val="98"/>
                    <w:widowControl w:val="0"/>
                    <w:kinsoku/>
                    <w:autoSpaceDE/>
                    <w:autoSpaceDN/>
                    <w:adjustRightInd/>
                    <w:snapToGrid/>
                    <w:jc w:val="center"/>
                    <w:textAlignment w:val="auto"/>
                    <w:rPr>
                      <w:rFonts w:hint="default" w:ascii="Times New Roman" w:hAnsi="Times New Roman" w:cs="Times New Roman"/>
                      <w:b/>
                      <w:bCs/>
                      <w:snapToGrid/>
                      <w:color w:val="auto"/>
                      <w:kern w:val="2"/>
                      <w:szCs w:val="24"/>
                      <w:highlight w:val="none"/>
                      <w:lang w:val="en-US" w:eastAsia="zh-CN"/>
                    </w:rPr>
                  </w:pPr>
                  <w:r>
                    <w:rPr>
                      <w:rFonts w:hint="eastAsia" w:ascii="Times New Roman" w:hAnsi="Times New Roman" w:eastAsia="宋体"/>
                      <w:b/>
                      <w:bCs/>
                      <w:color w:val="auto"/>
                      <w:sz w:val="21"/>
                      <w:szCs w:val="21"/>
                      <w:highlight w:val="none"/>
                    </w:rPr>
                    <w:t>h</w:t>
                  </w:r>
                </w:p>
              </w:tc>
              <w:tc>
                <w:tcPr>
                  <w:tcW w:w="541" w:type="pct"/>
                  <w:tcBorders>
                    <w:tl2br w:val="nil"/>
                    <w:tr2bl w:val="nil"/>
                  </w:tcBorders>
                  <w:noWrap w:val="0"/>
                  <w:vAlign w:val="center"/>
                </w:tcPr>
                <w:p w14:paraId="7CDB5BCA">
                  <w:pPr>
                    <w:pStyle w:val="98"/>
                    <w:widowControl w:val="0"/>
                    <w:kinsoku/>
                    <w:autoSpaceDE/>
                    <w:autoSpaceDN/>
                    <w:adjustRightInd/>
                    <w:snapToGrid/>
                    <w:jc w:val="center"/>
                    <w:textAlignment w:val="auto"/>
                    <w:rPr>
                      <w:rFonts w:hint="default" w:ascii="Times New Roman" w:hAnsi="Times New Roman" w:cs="Times New Roman"/>
                      <w:b/>
                      <w:bCs/>
                      <w:snapToGrid/>
                      <w:color w:val="auto"/>
                      <w:kern w:val="2"/>
                      <w:szCs w:val="24"/>
                      <w:highlight w:val="none"/>
                      <w:lang w:val="en-US" w:eastAsia="zh-CN"/>
                    </w:rPr>
                  </w:pPr>
                  <w:r>
                    <w:rPr>
                      <w:rFonts w:hint="eastAsia" w:ascii="Times New Roman" w:hAnsi="Times New Roman" w:cs="Times New Roman"/>
                      <w:b/>
                      <w:bCs/>
                      <w:snapToGrid/>
                      <w:color w:val="auto"/>
                      <w:kern w:val="2"/>
                      <w:szCs w:val="24"/>
                      <w:highlight w:val="none"/>
                      <w:lang w:val="en-US" w:eastAsia="zh-CN"/>
                    </w:rPr>
                    <w:t>风机风量m</w:t>
                  </w:r>
                  <w:r>
                    <w:rPr>
                      <w:rFonts w:hint="eastAsia" w:ascii="Times New Roman" w:hAnsi="Times New Roman" w:cs="Times New Roman"/>
                      <w:b/>
                      <w:bCs/>
                      <w:snapToGrid/>
                      <w:color w:val="auto"/>
                      <w:kern w:val="2"/>
                      <w:szCs w:val="24"/>
                      <w:highlight w:val="none"/>
                      <w:vertAlign w:val="superscript"/>
                      <w:lang w:val="en-US" w:eastAsia="zh-CN"/>
                    </w:rPr>
                    <w:t>3</w:t>
                  </w:r>
                  <w:r>
                    <w:rPr>
                      <w:rFonts w:hint="eastAsia" w:ascii="Times New Roman" w:hAnsi="Times New Roman" w:cs="Times New Roman"/>
                      <w:b/>
                      <w:bCs/>
                      <w:snapToGrid/>
                      <w:color w:val="auto"/>
                      <w:kern w:val="2"/>
                      <w:szCs w:val="24"/>
                      <w:highlight w:val="none"/>
                      <w:lang w:val="en-US" w:eastAsia="zh-CN"/>
                    </w:rPr>
                    <w:t>/h</w:t>
                  </w:r>
                </w:p>
              </w:tc>
              <w:tc>
                <w:tcPr>
                  <w:tcW w:w="443" w:type="pct"/>
                  <w:tcBorders>
                    <w:tl2br w:val="nil"/>
                    <w:tr2bl w:val="nil"/>
                  </w:tcBorders>
                  <w:noWrap w:val="0"/>
                  <w:vAlign w:val="center"/>
                </w:tcPr>
                <w:p w14:paraId="4A7A5431">
                  <w:pPr>
                    <w:pStyle w:val="98"/>
                    <w:widowControl w:val="0"/>
                    <w:kinsoku/>
                    <w:autoSpaceDE/>
                    <w:autoSpaceDN/>
                    <w:adjustRightInd/>
                    <w:snapToGrid/>
                    <w:jc w:val="center"/>
                    <w:textAlignment w:val="auto"/>
                    <w:rPr>
                      <w:rFonts w:hint="default" w:ascii="Times New Roman" w:hAnsi="Times New Roman" w:cs="Times New Roman"/>
                      <w:b/>
                      <w:bCs/>
                      <w:snapToGrid/>
                      <w:color w:val="auto"/>
                      <w:kern w:val="2"/>
                      <w:szCs w:val="24"/>
                      <w:highlight w:val="none"/>
                      <w:lang w:val="en-US" w:eastAsia="zh-CN"/>
                    </w:rPr>
                  </w:pPr>
                  <w:r>
                    <w:rPr>
                      <w:rFonts w:hint="eastAsia" w:ascii="Times New Roman" w:hAnsi="Times New Roman" w:cs="Times New Roman"/>
                      <w:b/>
                      <w:bCs/>
                      <w:snapToGrid/>
                      <w:color w:val="auto"/>
                      <w:kern w:val="2"/>
                      <w:szCs w:val="24"/>
                      <w:highlight w:val="none"/>
                      <w:lang w:eastAsia="zh-CN"/>
                    </w:rPr>
                    <w:t>产生量 t/a</w:t>
                  </w:r>
                </w:p>
              </w:tc>
              <w:tc>
                <w:tcPr>
                  <w:tcW w:w="416" w:type="pct"/>
                  <w:tcBorders>
                    <w:tl2br w:val="nil"/>
                    <w:tr2bl w:val="nil"/>
                  </w:tcBorders>
                  <w:noWrap w:val="0"/>
                  <w:vAlign w:val="center"/>
                </w:tcPr>
                <w:p w14:paraId="73D63529">
                  <w:pPr>
                    <w:pStyle w:val="98"/>
                    <w:widowControl w:val="0"/>
                    <w:kinsoku/>
                    <w:autoSpaceDE/>
                    <w:autoSpaceDN/>
                    <w:adjustRightInd/>
                    <w:snapToGrid/>
                    <w:jc w:val="center"/>
                    <w:textAlignment w:val="auto"/>
                    <w:rPr>
                      <w:rFonts w:hint="default" w:ascii="Times New Roman" w:hAnsi="Times New Roman" w:cs="Times New Roman"/>
                      <w:b/>
                      <w:bCs/>
                      <w:snapToGrid/>
                      <w:color w:val="auto"/>
                      <w:kern w:val="2"/>
                      <w:szCs w:val="24"/>
                      <w:highlight w:val="none"/>
                      <w:lang w:val="en-US" w:eastAsia="zh-CN"/>
                    </w:rPr>
                  </w:pPr>
                  <w:r>
                    <w:rPr>
                      <w:rFonts w:hint="eastAsia" w:ascii="Times New Roman" w:hAnsi="Times New Roman" w:cs="Times New Roman"/>
                      <w:b/>
                      <w:bCs/>
                      <w:snapToGrid/>
                      <w:color w:val="auto"/>
                      <w:kern w:val="2"/>
                      <w:szCs w:val="24"/>
                      <w:highlight w:val="none"/>
                      <w:lang w:val="en-US" w:eastAsia="zh-CN"/>
                    </w:rPr>
                    <w:t>产生速率</w:t>
                  </w:r>
                  <w:r>
                    <w:rPr>
                      <w:rFonts w:hint="eastAsia" w:ascii="Times New Roman" w:hAnsi="Times New Roman" w:cs="Times New Roman"/>
                      <w:b/>
                      <w:bCs/>
                      <w:snapToGrid/>
                      <w:color w:val="auto"/>
                      <w:kern w:val="2"/>
                      <w:szCs w:val="24"/>
                      <w:highlight w:val="none"/>
                      <w:lang w:eastAsia="zh-CN"/>
                    </w:rPr>
                    <w:t>kg/h</w:t>
                  </w:r>
                </w:p>
              </w:tc>
              <w:tc>
                <w:tcPr>
                  <w:tcW w:w="520" w:type="pct"/>
                  <w:tcBorders>
                    <w:tl2br w:val="nil"/>
                    <w:tr2bl w:val="nil"/>
                  </w:tcBorders>
                  <w:noWrap w:val="0"/>
                  <w:vAlign w:val="center"/>
                </w:tcPr>
                <w:p w14:paraId="3491669C">
                  <w:pPr>
                    <w:pStyle w:val="98"/>
                    <w:widowControl w:val="0"/>
                    <w:kinsoku/>
                    <w:autoSpaceDE/>
                    <w:autoSpaceDN/>
                    <w:adjustRightInd/>
                    <w:snapToGrid/>
                    <w:jc w:val="center"/>
                    <w:textAlignment w:val="auto"/>
                    <w:rPr>
                      <w:rFonts w:hint="default" w:ascii="Times New Roman" w:hAnsi="Times New Roman" w:cs="Times New Roman"/>
                      <w:b/>
                      <w:bCs/>
                      <w:snapToGrid/>
                      <w:color w:val="auto"/>
                      <w:kern w:val="2"/>
                      <w:szCs w:val="24"/>
                      <w:highlight w:val="none"/>
                      <w:lang w:val="en-US" w:eastAsia="zh-CN"/>
                    </w:rPr>
                  </w:pPr>
                  <w:r>
                    <w:rPr>
                      <w:rFonts w:hint="eastAsia" w:ascii="Times New Roman" w:hAnsi="Times New Roman" w:cs="Times New Roman"/>
                      <w:b/>
                      <w:bCs/>
                      <w:snapToGrid/>
                      <w:color w:val="auto"/>
                      <w:kern w:val="2"/>
                      <w:szCs w:val="24"/>
                      <w:highlight w:val="none"/>
                      <w:lang w:val="en-US" w:eastAsia="zh-CN"/>
                    </w:rPr>
                    <w:t>产生浓度</w:t>
                  </w:r>
                  <w:r>
                    <w:rPr>
                      <w:rFonts w:hint="eastAsia" w:ascii="Times New Roman" w:hAnsi="Times New Roman" w:cs="Times New Roman"/>
                      <w:b/>
                      <w:bCs/>
                      <w:snapToGrid/>
                      <w:color w:val="auto"/>
                      <w:kern w:val="2"/>
                      <w:szCs w:val="24"/>
                      <w:highlight w:val="none"/>
                      <w:lang w:eastAsia="zh-CN"/>
                    </w:rPr>
                    <w:t>mg/ m</w:t>
                  </w:r>
                  <w:r>
                    <w:rPr>
                      <w:rFonts w:hint="eastAsia" w:ascii="Times New Roman" w:hAnsi="Times New Roman" w:cs="Times New Roman"/>
                      <w:b/>
                      <w:bCs/>
                      <w:snapToGrid/>
                      <w:color w:val="auto"/>
                      <w:kern w:val="2"/>
                      <w:szCs w:val="24"/>
                      <w:highlight w:val="none"/>
                      <w:vertAlign w:val="superscript"/>
                      <w:lang w:eastAsia="zh-CN"/>
                    </w:rPr>
                    <w:t>3</w:t>
                  </w:r>
                </w:p>
              </w:tc>
              <w:tc>
                <w:tcPr>
                  <w:tcW w:w="520" w:type="pct"/>
                  <w:tcBorders>
                    <w:tl2br w:val="nil"/>
                    <w:tr2bl w:val="nil"/>
                  </w:tcBorders>
                  <w:noWrap w:val="0"/>
                  <w:vAlign w:val="center"/>
                </w:tcPr>
                <w:p w14:paraId="49952470">
                  <w:pPr>
                    <w:pStyle w:val="98"/>
                    <w:widowControl w:val="0"/>
                    <w:kinsoku/>
                    <w:autoSpaceDE/>
                    <w:autoSpaceDN/>
                    <w:adjustRightInd/>
                    <w:snapToGrid/>
                    <w:jc w:val="center"/>
                    <w:textAlignment w:val="auto"/>
                    <w:rPr>
                      <w:rFonts w:hint="eastAsia" w:ascii="Times New Roman" w:hAnsi="Times New Roman" w:cs="Times New Roman"/>
                      <w:b/>
                      <w:bCs/>
                      <w:snapToGrid/>
                      <w:color w:val="auto"/>
                      <w:kern w:val="2"/>
                      <w:szCs w:val="24"/>
                      <w:highlight w:val="none"/>
                      <w:lang w:eastAsia="zh-CN"/>
                    </w:rPr>
                  </w:pPr>
                  <w:r>
                    <w:rPr>
                      <w:rFonts w:hint="eastAsia" w:ascii="Times New Roman" w:hAnsi="Times New Roman" w:cs="Times New Roman"/>
                      <w:b/>
                      <w:bCs/>
                      <w:snapToGrid/>
                      <w:color w:val="auto"/>
                      <w:kern w:val="2"/>
                      <w:szCs w:val="24"/>
                      <w:highlight w:val="none"/>
                      <w:lang w:eastAsia="zh-CN"/>
                    </w:rPr>
                    <w:t>治理措施</w:t>
                  </w:r>
                </w:p>
              </w:tc>
              <w:tc>
                <w:tcPr>
                  <w:tcW w:w="443" w:type="pct"/>
                  <w:tcBorders>
                    <w:tl2br w:val="nil"/>
                    <w:tr2bl w:val="nil"/>
                  </w:tcBorders>
                  <w:noWrap w:val="0"/>
                  <w:vAlign w:val="center"/>
                </w:tcPr>
                <w:p w14:paraId="380364AE">
                  <w:pPr>
                    <w:pStyle w:val="98"/>
                    <w:widowControl w:val="0"/>
                    <w:kinsoku/>
                    <w:autoSpaceDE/>
                    <w:autoSpaceDN/>
                    <w:adjustRightInd/>
                    <w:snapToGrid/>
                    <w:jc w:val="center"/>
                    <w:textAlignment w:val="auto"/>
                    <w:rPr>
                      <w:rFonts w:hint="eastAsia" w:ascii="Times New Roman" w:hAnsi="Times New Roman" w:cs="Times New Roman"/>
                      <w:b/>
                      <w:bCs/>
                      <w:snapToGrid/>
                      <w:color w:val="auto"/>
                      <w:kern w:val="2"/>
                      <w:szCs w:val="24"/>
                      <w:highlight w:val="none"/>
                      <w:lang w:eastAsia="zh-CN"/>
                    </w:rPr>
                  </w:pPr>
                  <w:r>
                    <w:rPr>
                      <w:rFonts w:hint="eastAsia" w:ascii="Times New Roman" w:hAnsi="Times New Roman" w:cs="Times New Roman"/>
                      <w:b/>
                      <w:bCs/>
                      <w:snapToGrid/>
                      <w:color w:val="auto"/>
                      <w:kern w:val="2"/>
                      <w:szCs w:val="24"/>
                      <w:highlight w:val="none"/>
                      <w:lang w:eastAsia="zh-CN"/>
                    </w:rPr>
                    <w:t>排放量t/a</w:t>
                  </w:r>
                </w:p>
              </w:tc>
              <w:tc>
                <w:tcPr>
                  <w:tcW w:w="365" w:type="pct"/>
                  <w:tcBorders>
                    <w:tl2br w:val="nil"/>
                    <w:tr2bl w:val="nil"/>
                  </w:tcBorders>
                  <w:noWrap w:val="0"/>
                  <w:vAlign w:val="center"/>
                </w:tcPr>
                <w:p w14:paraId="03614AC2">
                  <w:pPr>
                    <w:pStyle w:val="98"/>
                    <w:widowControl w:val="0"/>
                    <w:kinsoku/>
                    <w:autoSpaceDE/>
                    <w:autoSpaceDN/>
                    <w:adjustRightInd/>
                    <w:snapToGrid/>
                    <w:jc w:val="center"/>
                    <w:textAlignment w:val="auto"/>
                    <w:rPr>
                      <w:rFonts w:hint="eastAsia" w:ascii="Times New Roman" w:hAnsi="Times New Roman" w:cs="Times New Roman"/>
                      <w:b/>
                      <w:bCs/>
                      <w:snapToGrid/>
                      <w:color w:val="auto"/>
                      <w:kern w:val="2"/>
                      <w:szCs w:val="24"/>
                      <w:highlight w:val="none"/>
                      <w:lang w:eastAsia="zh-CN"/>
                    </w:rPr>
                  </w:pPr>
                  <w:r>
                    <w:rPr>
                      <w:rFonts w:hint="eastAsia" w:ascii="Times New Roman" w:hAnsi="Times New Roman" w:cs="Times New Roman"/>
                      <w:b/>
                      <w:bCs/>
                      <w:snapToGrid/>
                      <w:color w:val="auto"/>
                      <w:kern w:val="2"/>
                      <w:szCs w:val="24"/>
                      <w:highlight w:val="none"/>
                      <w:lang w:eastAsia="zh-CN"/>
                    </w:rPr>
                    <w:t>排放速率kg/h</w:t>
                  </w:r>
                </w:p>
              </w:tc>
              <w:tc>
                <w:tcPr>
                  <w:tcW w:w="409" w:type="pct"/>
                  <w:tcBorders>
                    <w:tl2br w:val="nil"/>
                    <w:tr2bl w:val="nil"/>
                  </w:tcBorders>
                  <w:noWrap w:val="0"/>
                  <w:vAlign w:val="center"/>
                </w:tcPr>
                <w:p w14:paraId="4BECE829">
                  <w:pPr>
                    <w:pStyle w:val="98"/>
                    <w:widowControl w:val="0"/>
                    <w:kinsoku/>
                    <w:autoSpaceDE/>
                    <w:autoSpaceDN/>
                    <w:adjustRightInd/>
                    <w:snapToGrid/>
                    <w:jc w:val="center"/>
                    <w:textAlignment w:val="auto"/>
                    <w:rPr>
                      <w:rFonts w:hint="eastAsia" w:ascii="Times New Roman" w:hAnsi="Times New Roman" w:cs="Times New Roman"/>
                      <w:b/>
                      <w:bCs/>
                      <w:snapToGrid/>
                      <w:color w:val="auto"/>
                      <w:kern w:val="2"/>
                      <w:szCs w:val="24"/>
                      <w:highlight w:val="none"/>
                      <w:lang w:eastAsia="zh-CN"/>
                    </w:rPr>
                  </w:pPr>
                  <w:r>
                    <w:rPr>
                      <w:rFonts w:hint="eastAsia" w:ascii="Times New Roman" w:hAnsi="Times New Roman" w:cs="Times New Roman"/>
                      <w:b/>
                      <w:bCs/>
                      <w:snapToGrid/>
                      <w:color w:val="auto"/>
                      <w:kern w:val="2"/>
                      <w:szCs w:val="24"/>
                      <w:highlight w:val="none"/>
                      <w:lang w:eastAsia="zh-CN"/>
                    </w:rPr>
                    <w:t>排放浓度</w:t>
                  </w:r>
                </w:p>
                <w:p w14:paraId="26265ABA">
                  <w:pPr>
                    <w:pStyle w:val="98"/>
                    <w:widowControl w:val="0"/>
                    <w:kinsoku/>
                    <w:autoSpaceDE/>
                    <w:autoSpaceDN/>
                    <w:adjustRightInd/>
                    <w:snapToGrid/>
                    <w:jc w:val="center"/>
                    <w:textAlignment w:val="auto"/>
                    <w:rPr>
                      <w:rFonts w:hint="eastAsia" w:ascii="Times New Roman" w:hAnsi="Times New Roman" w:cs="Times New Roman"/>
                      <w:b/>
                      <w:bCs/>
                      <w:snapToGrid/>
                      <w:color w:val="auto"/>
                      <w:kern w:val="2"/>
                      <w:szCs w:val="24"/>
                      <w:highlight w:val="none"/>
                      <w:lang w:eastAsia="zh-CN"/>
                    </w:rPr>
                  </w:pPr>
                  <w:r>
                    <w:rPr>
                      <w:rFonts w:hint="eastAsia" w:ascii="Times New Roman" w:hAnsi="Times New Roman" w:cs="Times New Roman"/>
                      <w:b/>
                      <w:bCs/>
                      <w:snapToGrid/>
                      <w:color w:val="auto"/>
                      <w:kern w:val="2"/>
                      <w:szCs w:val="24"/>
                      <w:highlight w:val="none"/>
                      <w:lang w:eastAsia="zh-CN"/>
                    </w:rPr>
                    <w:t>mg/ m</w:t>
                  </w:r>
                  <w:r>
                    <w:rPr>
                      <w:rFonts w:hint="eastAsia" w:ascii="Times New Roman" w:hAnsi="Times New Roman" w:cs="Times New Roman"/>
                      <w:b/>
                      <w:bCs/>
                      <w:snapToGrid/>
                      <w:color w:val="auto"/>
                      <w:kern w:val="2"/>
                      <w:szCs w:val="24"/>
                      <w:highlight w:val="none"/>
                      <w:vertAlign w:val="superscript"/>
                      <w:lang w:eastAsia="zh-CN"/>
                    </w:rPr>
                    <w:t>3</w:t>
                  </w:r>
                </w:p>
              </w:tc>
            </w:tr>
            <w:tr w14:paraId="3A65A4D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9" w:hRule="atLeast"/>
                <w:jc w:val="center"/>
              </w:trPr>
              <w:tc>
                <w:tcPr>
                  <w:tcW w:w="393" w:type="pct"/>
                  <w:tcBorders>
                    <w:tl2br w:val="nil"/>
                    <w:tr2bl w:val="nil"/>
                  </w:tcBorders>
                  <w:noWrap w:val="0"/>
                  <w:vAlign w:val="center"/>
                </w:tcPr>
                <w:p w14:paraId="560F6671">
                  <w:pPr>
                    <w:pStyle w:val="98"/>
                    <w:widowControl w:val="0"/>
                    <w:kinsoku/>
                    <w:autoSpaceDE/>
                    <w:autoSpaceDN/>
                    <w:adjustRightInd/>
                    <w:snapToGrid/>
                    <w:jc w:val="center"/>
                    <w:textAlignment w:val="auto"/>
                    <w:rPr>
                      <w:rFonts w:hint="eastAsia" w:ascii="Times New Roman" w:hAnsi="Times New Roman" w:eastAsia="宋体" w:cs="Times New Roman"/>
                      <w:snapToGrid/>
                      <w:color w:val="auto"/>
                      <w:kern w:val="2"/>
                      <w:szCs w:val="24"/>
                      <w:highlight w:val="none"/>
                      <w:lang w:eastAsia="zh-CN"/>
                    </w:rPr>
                  </w:pPr>
                  <w:r>
                    <w:rPr>
                      <w:rFonts w:hint="eastAsia" w:ascii="Times New Roman" w:hAnsi="Times New Roman" w:eastAsia="宋体" w:cs="Times New Roman"/>
                      <w:snapToGrid/>
                      <w:color w:val="auto"/>
                      <w:kern w:val="2"/>
                      <w:szCs w:val="24"/>
                      <w:highlight w:val="none"/>
                      <w:lang w:eastAsia="zh-CN"/>
                    </w:rPr>
                    <w:t>颗粒物</w:t>
                  </w:r>
                </w:p>
              </w:tc>
              <w:tc>
                <w:tcPr>
                  <w:tcW w:w="402" w:type="pct"/>
                  <w:vMerge w:val="restart"/>
                  <w:tcBorders>
                    <w:tl2br w:val="nil"/>
                    <w:tr2bl w:val="nil"/>
                  </w:tcBorders>
                  <w:noWrap w:val="0"/>
                  <w:vAlign w:val="center"/>
                </w:tcPr>
                <w:p w14:paraId="732C5746">
                  <w:pPr>
                    <w:pStyle w:val="98"/>
                    <w:widowControl w:val="0"/>
                    <w:kinsoku/>
                    <w:autoSpaceDE/>
                    <w:autoSpaceDN/>
                    <w:adjustRightInd/>
                    <w:snapToGrid/>
                    <w:jc w:val="center"/>
                    <w:textAlignment w:val="auto"/>
                    <w:rPr>
                      <w:rFonts w:hint="eastAsia" w:ascii="Times New Roman" w:hAnsi="Times New Roman" w:cs="Times New Roman"/>
                      <w:snapToGrid/>
                      <w:color w:val="auto"/>
                      <w:kern w:val="2"/>
                      <w:szCs w:val="24"/>
                      <w:highlight w:val="none"/>
                      <w:lang w:eastAsia="zh-CN"/>
                    </w:rPr>
                  </w:pPr>
                  <w:r>
                    <w:rPr>
                      <w:rFonts w:hint="eastAsia" w:ascii="Times New Roman" w:hAnsi="Times New Roman" w:cs="Times New Roman"/>
                      <w:snapToGrid/>
                      <w:color w:val="auto"/>
                      <w:kern w:val="2"/>
                      <w:szCs w:val="24"/>
                      <w:highlight w:val="none"/>
                      <w:lang w:eastAsia="zh-CN"/>
                    </w:rPr>
                    <w:t>有组织</w:t>
                  </w:r>
                </w:p>
              </w:tc>
              <w:tc>
                <w:tcPr>
                  <w:tcW w:w="541" w:type="pct"/>
                  <w:vMerge w:val="restart"/>
                  <w:tcBorders>
                    <w:tl2br w:val="nil"/>
                    <w:tr2bl w:val="nil"/>
                  </w:tcBorders>
                  <w:noWrap w:val="0"/>
                  <w:vAlign w:val="center"/>
                </w:tcPr>
                <w:p w14:paraId="4670859F">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3840</w:t>
                  </w:r>
                </w:p>
              </w:tc>
              <w:tc>
                <w:tcPr>
                  <w:tcW w:w="541" w:type="pct"/>
                  <w:vMerge w:val="restart"/>
                  <w:tcBorders>
                    <w:tl2br w:val="nil"/>
                    <w:tr2bl w:val="nil"/>
                  </w:tcBorders>
                  <w:noWrap w:val="0"/>
                  <w:vAlign w:val="center"/>
                </w:tcPr>
                <w:p w14:paraId="162917C9">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1000</w:t>
                  </w:r>
                </w:p>
              </w:tc>
              <w:tc>
                <w:tcPr>
                  <w:tcW w:w="443" w:type="pct"/>
                  <w:tcBorders>
                    <w:tl2br w:val="nil"/>
                    <w:tr2bl w:val="nil"/>
                  </w:tcBorders>
                  <w:noWrap w:val="0"/>
                  <w:vAlign w:val="center"/>
                </w:tcPr>
                <w:p w14:paraId="68790A9C">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0.032</w:t>
                  </w:r>
                </w:p>
              </w:tc>
              <w:tc>
                <w:tcPr>
                  <w:tcW w:w="416" w:type="pct"/>
                  <w:tcBorders>
                    <w:tl2br w:val="nil"/>
                    <w:tr2bl w:val="nil"/>
                  </w:tcBorders>
                  <w:noWrap w:val="0"/>
                  <w:vAlign w:val="center"/>
                </w:tcPr>
                <w:p w14:paraId="0C452E38">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0.0083</w:t>
                  </w:r>
                </w:p>
              </w:tc>
              <w:tc>
                <w:tcPr>
                  <w:tcW w:w="520" w:type="pct"/>
                  <w:tcBorders>
                    <w:tl2br w:val="nil"/>
                    <w:tr2bl w:val="nil"/>
                  </w:tcBorders>
                  <w:noWrap w:val="0"/>
                  <w:vAlign w:val="center"/>
                </w:tcPr>
                <w:p w14:paraId="1C77E1D8">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8.3</w:t>
                  </w:r>
                </w:p>
              </w:tc>
              <w:tc>
                <w:tcPr>
                  <w:tcW w:w="520" w:type="pct"/>
                  <w:vMerge w:val="restart"/>
                  <w:tcBorders>
                    <w:tl2br w:val="nil"/>
                    <w:tr2bl w:val="nil"/>
                  </w:tcBorders>
                  <w:noWrap w:val="0"/>
                  <w:vAlign w:val="center"/>
                </w:tcPr>
                <w:p w14:paraId="03E1E63D">
                  <w:pPr>
                    <w:pStyle w:val="98"/>
                    <w:widowControl w:val="0"/>
                    <w:kinsoku/>
                    <w:autoSpaceDE/>
                    <w:autoSpaceDN/>
                    <w:adjustRightInd/>
                    <w:snapToGrid/>
                    <w:jc w:val="center"/>
                    <w:textAlignment w:val="auto"/>
                    <w:rPr>
                      <w:rFonts w:hint="eastAsia" w:ascii="Times New Roman" w:hAnsi="Times New Roman" w:cs="Times New Roman"/>
                      <w:snapToGrid/>
                      <w:color w:val="auto"/>
                      <w:kern w:val="2"/>
                      <w:szCs w:val="24"/>
                      <w:highlight w:val="none"/>
                      <w:lang w:eastAsia="zh-CN"/>
                    </w:rPr>
                  </w:pPr>
                  <w:r>
                    <w:rPr>
                      <w:rFonts w:hint="eastAsia" w:ascii="Times New Roman" w:hAnsi="Times New Roman" w:cs="Times New Roman"/>
                      <w:snapToGrid/>
                      <w:color w:val="auto"/>
                      <w:kern w:val="2"/>
                      <w:szCs w:val="24"/>
                      <w:highlight w:val="none"/>
                      <w:lang w:val="en-US" w:eastAsia="zh-CN"/>
                    </w:rPr>
                    <w:t>低氮燃烧</w:t>
                  </w:r>
                </w:p>
              </w:tc>
              <w:tc>
                <w:tcPr>
                  <w:tcW w:w="747" w:type="dxa"/>
                  <w:tcBorders>
                    <w:tl2br w:val="nil"/>
                    <w:tr2bl w:val="nil"/>
                  </w:tcBorders>
                  <w:noWrap w:val="0"/>
                  <w:vAlign w:val="center"/>
                </w:tcPr>
                <w:p w14:paraId="5968DF69">
                  <w:pPr>
                    <w:pStyle w:val="98"/>
                    <w:widowControl w:val="0"/>
                    <w:kinsoku/>
                    <w:autoSpaceDE/>
                    <w:autoSpaceDN/>
                    <w:adjustRightInd/>
                    <w:snapToGrid/>
                    <w:ind w:firstLine="0" w:firstLineChars="0"/>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0.032</w:t>
                  </w:r>
                </w:p>
              </w:tc>
              <w:tc>
                <w:tcPr>
                  <w:tcW w:w="615" w:type="dxa"/>
                  <w:tcBorders>
                    <w:tl2br w:val="nil"/>
                    <w:tr2bl w:val="nil"/>
                  </w:tcBorders>
                  <w:noWrap w:val="0"/>
                  <w:vAlign w:val="center"/>
                </w:tcPr>
                <w:p w14:paraId="04DE19F1">
                  <w:pPr>
                    <w:pStyle w:val="98"/>
                    <w:widowControl w:val="0"/>
                    <w:kinsoku/>
                    <w:autoSpaceDE/>
                    <w:autoSpaceDN/>
                    <w:adjustRightInd/>
                    <w:snapToGrid/>
                    <w:ind w:firstLine="0" w:firstLineChars="0"/>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0.0083</w:t>
                  </w:r>
                </w:p>
              </w:tc>
              <w:tc>
                <w:tcPr>
                  <w:tcW w:w="689" w:type="dxa"/>
                  <w:tcBorders>
                    <w:tl2br w:val="nil"/>
                    <w:tr2bl w:val="nil"/>
                  </w:tcBorders>
                  <w:noWrap w:val="0"/>
                  <w:vAlign w:val="center"/>
                </w:tcPr>
                <w:p w14:paraId="2F06267A">
                  <w:pPr>
                    <w:pStyle w:val="98"/>
                    <w:widowControl w:val="0"/>
                    <w:kinsoku/>
                    <w:autoSpaceDE/>
                    <w:autoSpaceDN/>
                    <w:adjustRightInd/>
                    <w:snapToGrid/>
                    <w:ind w:firstLine="0" w:firstLineChars="0"/>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8.3</w:t>
                  </w:r>
                </w:p>
              </w:tc>
            </w:tr>
            <w:tr w14:paraId="61D57B6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4" w:hRule="atLeast"/>
                <w:jc w:val="center"/>
              </w:trPr>
              <w:tc>
                <w:tcPr>
                  <w:tcW w:w="393" w:type="pct"/>
                  <w:tcBorders>
                    <w:tl2br w:val="nil"/>
                    <w:tr2bl w:val="nil"/>
                  </w:tcBorders>
                  <w:noWrap w:val="0"/>
                  <w:vAlign w:val="center"/>
                </w:tcPr>
                <w:p w14:paraId="674CB591">
                  <w:pPr>
                    <w:pStyle w:val="98"/>
                    <w:widowControl w:val="0"/>
                    <w:kinsoku/>
                    <w:autoSpaceDE/>
                    <w:autoSpaceDN/>
                    <w:adjustRightInd/>
                    <w:snapToGrid/>
                    <w:jc w:val="center"/>
                    <w:textAlignment w:val="auto"/>
                    <w:rPr>
                      <w:rFonts w:hint="eastAsia" w:ascii="Times New Roman" w:hAnsi="Times New Roman" w:eastAsia="宋体" w:cs="Times New Roman"/>
                      <w:snapToGrid/>
                      <w:color w:val="auto"/>
                      <w:kern w:val="2"/>
                      <w:szCs w:val="24"/>
                      <w:highlight w:val="none"/>
                      <w:lang w:eastAsia="zh-CN"/>
                    </w:rPr>
                  </w:pPr>
                  <w:r>
                    <w:rPr>
                      <w:rFonts w:hint="eastAsia" w:ascii="Times New Roman" w:hAnsi="Times New Roman" w:eastAsia="宋体" w:cs="Times New Roman"/>
                      <w:snapToGrid/>
                      <w:color w:val="auto"/>
                      <w:kern w:val="2"/>
                      <w:szCs w:val="24"/>
                      <w:highlight w:val="none"/>
                      <w:lang w:eastAsia="zh-CN"/>
                    </w:rPr>
                    <w:t>SO</w:t>
                  </w:r>
                  <w:r>
                    <w:rPr>
                      <w:rFonts w:hint="eastAsia" w:ascii="Times New Roman" w:hAnsi="Times New Roman" w:eastAsia="宋体" w:cs="Times New Roman"/>
                      <w:snapToGrid/>
                      <w:color w:val="auto"/>
                      <w:kern w:val="2"/>
                      <w:szCs w:val="24"/>
                      <w:highlight w:val="none"/>
                      <w:vertAlign w:val="subscript"/>
                      <w:lang w:eastAsia="zh-CN"/>
                    </w:rPr>
                    <w:t>2</w:t>
                  </w:r>
                </w:p>
              </w:tc>
              <w:tc>
                <w:tcPr>
                  <w:tcW w:w="402" w:type="pct"/>
                  <w:vMerge w:val="continue"/>
                  <w:tcBorders>
                    <w:tl2br w:val="nil"/>
                    <w:tr2bl w:val="nil"/>
                  </w:tcBorders>
                  <w:noWrap w:val="0"/>
                  <w:vAlign w:val="center"/>
                </w:tcPr>
                <w:p w14:paraId="70165E36">
                  <w:pPr>
                    <w:pStyle w:val="98"/>
                    <w:widowControl w:val="0"/>
                    <w:kinsoku/>
                    <w:autoSpaceDE/>
                    <w:autoSpaceDN/>
                    <w:adjustRightInd/>
                    <w:snapToGrid/>
                    <w:jc w:val="center"/>
                    <w:textAlignment w:val="auto"/>
                    <w:rPr>
                      <w:rFonts w:hint="eastAsia" w:ascii="Times New Roman" w:hAnsi="Times New Roman" w:cs="Times New Roman"/>
                      <w:snapToGrid/>
                      <w:color w:val="auto"/>
                      <w:kern w:val="2"/>
                      <w:szCs w:val="24"/>
                      <w:highlight w:val="none"/>
                      <w:lang w:eastAsia="zh-CN"/>
                    </w:rPr>
                  </w:pPr>
                </w:p>
              </w:tc>
              <w:tc>
                <w:tcPr>
                  <w:tcW w:w="541" w:type="pct"/>
                  <w:vMerge w:val="continue"/>
                  <w:tcBorders>
                    <w:tl2br w:val="nil"/>
                    <w:tr2bl w:val="nil"/>
                  </w:tcBorders>
                  <w:noWrap w:val="0"/>
                  <w:vAlign w:val="center"/>
                </w:tcPr>
                <w:p w14:paraId="3FC297BD">
                  <w:pPr>
                    <w:pStyle w:val="98"/>
                    <w:widowControl w:val="0"/>
                    <w:kinsoku/>
                    <w:autoSpaceDE/>
                    <w:autoSpaceDN/>
                    <w:adjustRightInd/>
                    <w:snapToGrid/>
                    <w:jc w:val="center"/>
                    <w:textAlignment w:val="auto"/>
                    <w:rPr>
                      <w:rFonts w:hint="eastAsia" w:ascii="Times New Roman" w:hAnsi="Times New Roman" w:cs="Times New Roman"/>
                      <w:snapToGrid/>
                      <w:color w:val="auto"/>
                      <w:kern w:val="2"/>
                      <w:szCs w:val="24"/>
                      <w:highlight w:val="none"/>
                      <w:lang w:eastAsia="zh-CN"/>
                    </w:rPr>
                  </w:pPr>
                </w:p>
              </w:tc>
              <w:tc>
                <w:tcPr>
                  <w:tcW w:w="541" w:type="pct"/>
                  <w:vMerge w:val="continue"/>
                  <w:tcBorders>
                    <w:tl2br w:val="nil"/>
                    <w:tr2bl w:val="nil"/>
                  </w:tcBorders>
                  <w:noWrap w:val="0"/>
                  <w:vAlign w:val="center"/>
                </w:tcPr>
                <w:p w14:paraId="1C5FFB2E">
                  <w:pPr>
                    <w:pStyle w:val="98"/>
                    <w:widowControl w:val="0"/>
                    <w:kinsoku/>
                    <w:autoSpaceDE/>
                    <w:autoSpaceDN/>
                    <w:adjustRightInd/>
                    <w:snapToGrid/>
                    <w:jc w:val="center"/>
                    <w:textAlignment w:val="auto"/>
                    <w:rPr>
                      <w:rFonts w:hint="eastAsia" w:ascii="Times New Roman" w:hAnsi="Times New Roman" w:cs="Times New Roman"/>
                      <w:snapToGrid/>
                      <w:color w:val="auto"/>
                      <w:kern w:val="2"/>
                      <w:szCs w:val="24"/>
                      <w:highlight w:val="none"/>
                      <w:lang w:eastAsia="zh-CN"/>
                    </w:rPr>
                  </w:pPr>
                </w:p>
              </w:tc>
              <w:tc>
                <w:tcPr>
                  <w:tcW w:w="443" w:type="pct"/>
                  <w:tcBorders>
                    <w:tl2br w:val="nil"/>
                    <w:tr2bl w:val="nil"/>
                  </w:tcBorders>
                  <w:noWrap w:val="0"/>
                  <w:vAlign w:val="center"/>
                </w:tcPr>
                <w:p w14:paraId="24592B4D">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0.022</w:t>
                  </w:r>
                </w:p>
              </w:tc>
              <w:tc>
                <w:tcPr>
                  <w:tcW w:w="416" w:type="pct"/>
                  <w:tcBorders>
                    <w:tl2br w:val="nil"/>
                    <w:tr2bl w:val="nil"/>
                  </w:tcBorders>
                  <w:noWrap w:val="0"/>
                  <w:vAlign w:val="center"/>
                </w:tcPr>
                <w:p w14:paraId="51F6565B">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0.0057</w:t>
                  </w:r>
                </w:p>
              </w:tc>
              <w:tc>
                <w:tcPr>
                  <w:tcW w:w="520" w:type="pct"/>
                  <w:tcBorders>
                    <w:tl2br w:val="nil"/>
                    <w:tr2bl w:val="nil"/>
                  </w:tcBorders>
                  <w:noWrap w:val="0"/>
                  <w:vAlign w:val="center"/>
                </w:tcPr>
                <w:p w14:paraId="7D1D7921">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5.7</w:t>
                  </w:r>
                </w:p>
              </w:tc>
              <w:tc>
                <w:tcPr>
                  <w:tcW w:w="520" w:type="pct"/>
                  <w:vMerge w:val="continue"/>
                  <w:tcBorders>
                    <w:tl2br w:val="nil"/>
                    <w:tr2bl w:val="nil"/>
                  </w:tcBorders>
                  <w:noWrap w:val="0"/>
                  <w:vAlign w:val="center"/>
                </w:tcPr>
                <w:p w14:paraId="76D078A7">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p>
              </w:tc>
              <w:tc>
                <w:tcPr>
                  <w:tcW w:w="747" w:type="dxa"/>
                  <w:tcBorders>
                    <w:tl2br w:val="nil"/>
                    <w:tr2bl w:val="nil"/>
                  </w:tcBorders>
                  <w:noWrap w:val="0"/>
                  <w:vAlign w:val="center"/>
                </w:tcPr>
                <w:p w14:paraId="0A03E78A">
                  <w:pPr>
                    <w:pStyle w:val="98"/>
                    <w:widowControl w:val="0"/>
                    <w:kinsoku/>
                    <w:autoSpaceDE/>
                    <w:autoSpaceDN/>
                    <w:adjustRightInd/>
                    <w:snapToGrid/>
                    <w:ind w:firstLine="0" w:firstLineChars="0"/>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0.022</w:t>
                  </w:r>
                </w:p>
              </w:tc>
              <w:tc>
                <w:tcPr>
                  <w:tcW w:w="615" w:type="dxa"/>
                  <w:tcBorders>
                    <w:tl2br w:val="nil"/>
                    <w:tr2bl w:val="nil"/>
                  </w:tcBorders>
                  <w:noWrap w:val="0"/>
                  <w:vAlign w:val="center"/>
                </w:tcPr>
                <w:p w14:paraId="28387443">
                  <w:pPr>
                    <w:pStyle w:val="98"/>
                    <w:widowControl w:val="0"/>
                    <w:kinsoku/>
                    <w:autoSpaceDE/>
                    <w:autoSpaceDN/>
                    <w:adjustRightInd/>
                    <w:snapToGrid/>
                    <w:ind w:firstLine="0" w:firstLineChars="0"/>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0.0057</w:t>
                  </w:r>
                </w:p>
              </w:tc>
              <w:tc>
                <w:tcPr>
                  <w:tcW w:w="689" w:type="dxa"/>
                  <w:tcBorders>
                    <w:tl2br w:val="nil"/>
                    <w:tr2bl w:val="nil"/>
                  </w:tcBorders>
                  <w:noWrap w:val="0"/>
                  <w:vAlign w:val="center"/>
                </w:tcPr>
                <w:p w14:paraId="01B44E86">
                  <w:pPr>
                    <w:pStyle w:val="98"/>
                    <w:widowControl w:val="0"/>
                    <w:kinsoku/>
                    <w:autoSpaceDE/>
                    <w:autoSpaceDN/>
                    <w:adjustRightInd/>
                    <w:snapToGrid/>
                    <w:ind w:firstLine="0" w:firstLineChars="0"/>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5.7</w:t>
                  </w:r>
                </w:p>
              </w:tc>
            </w:tr>
            <w:tr w14:paraId="3424B74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12" w:hRule="atLeast"/>
                <w:jc w:val="center"/>
              </w:trPr>
              <w:tc>
                <w:tcPr>
                  <w:tcW w:w="393" w:type="pct"/>
                  <w:tcBorders>
                    <w:tl2br w:val="nil"/>
                    <w:tr2bl w:val="nil"/>
                  </w:tcBorders>
                  <w:noWrap w:val="0"/>
                  <w:vAlign w:val="center"/>
                </w:tcPr>
                <w:p w14:paraId="075C3D8D">
                  <w:pPr>
                    <w:pStyle w:val="98"/>
                    <w:widowControl w:val="0"/>
                    <w:kinsoku/>
                    <w:autoSpaceDE/>
                    <w:autoSpaceDN/>
                    <w:adjustRightInd/>
                    <w:snapToGrid/>
                    <w:jc w:val="center"/>
                    <w:textAlignment w:val="auto"/>
                    <w:rPr>
                      <w:rFonts w:hint="eastAsia" w:ascii="Times New Roman" w:hAnsi="Times New Roman" w:eastAsia="宋体" w:cs="Times New Roman"/>
                      <w:snapToGrid/>
                      <w:color w:val="auto"/>
                      <w:kern w:val="2"/>
                      <w:szCs w:val="24"/>
                      <w:highlight w:val="none"/>
                      <w:lang w:eastAsia="zh-CN"/>
                    </w:rPr>
                  </w:pPr>
                  <w:r>
                    <w:rPr>
                      <w:rFonts w:hint="eastAsia" w:ascii="Times New Roman" w:hAnsi="Times New Roman" w:eastAsia="宋体" w:cs="Times New Roman"/>
                      <w:snapToGrid/>
                      <w:color w:val="auto"/>
                      <w:kern w:val="2"/>
                      <w:szCs w:val="24"/>
                      <w:highlight w:val="none"/>
                      <w:lang w:eastAsia="zh-CN"/>
                    </w:rPr>
                    <w:t>NO</w:t>
                  </w:r>
                  <w:r>
                    <w:rPr>
                      <w:rFonts w:hint="eastAsia" w:ascii="Times New Roman" w:hAnsi="Times New Roman" w:eastAsia="宋体" w:cs="Times New Roman"/>
                      <w:snapToGrid/>
                      <w:color w:val="auto"/>
                      <w:kern w:val="2"/>
                      <w:szCs w:val="24"/>
                      <w:highlight w:val="none"/>
                      <w:vertAlign w:val="subscript"/>
                      <w:lang w:eastAsia="zh-CN"/>
                    </w:rPr>
                    <w:t>X</w:t>
                  </w:r>
                </w:p>
              </w:tc>
              <w:tc>
                <w:tcPr>
                  <w:tcW w:w="402" w:type="pct"/>
                  <w:vMerge w:val="continue"/>
                  <w:tcBorders>
                    <w:tl2br w:val="nil"/>
                    <w:tr2bl w:val="nil"/>
                  </w:tcBorders>
                  <w:noWrap w:val="0"/>
                  <w:vAlign w:val="center"/>
                </w:tcPr>
                <w:p w14:paraId="3F3C61F4">
                  <w:pPr>
                    <w:pStyle w:val="98"/>
                    <w:widowControl w:val="0"/>
                    <w:kinsoku/>
                    <w:autoSpaceDE/>
                    <w:autoSpaceDN/>
                    <w:adjustRightInd/>
                    <w:snapToGrid/>
                    <w:jc w:val="center"/>
                    <w:textAlignment w:val="auto"/>
                    <w:rPr>
                      <w:rFonts w:hint="eastAsia" w:ascii="Times New Roman" w:hAnsi="Times New Roman" w:cs="Times New Roman"/>
                      <w:snapToGrid/>
                      <w:color w:val="auto"/>
                      <w:kern w:val="2"/>
                      <w:szCs w:val="24"/>
                      <w:highlight w:val="none"/>
                      <w:lang w:eastAsia="zh-CN"/>
                    </w:rPr>
                  </w:pPr>
                </w:p>
              </w:tc>
              <w:tc>
                <w:tcPr>
                  <w:tcW w:w="541" w:type="pct"/>
                  <w:vMerge w:val="continue"/>
                  <w:tcBorders>
                    <w:tl2br w:val="nil"/>
                    <w:tr2bl w:val="nil"/>
                  </w:tcBorders>
                  <w:noWrap w:val="0"/>
                  <w:vAlign w:val="center"/>
                </w:tcPr>
                <w:p w14:paraId="635040E6">
                  <w:pPr>
                    <w:pStyle w:val="98"/>
                    <w:widowControl w:val="0"/>
                    <w:kinsoku/>
                    <w:autoSpaceDE/>
                    <w:autoSpaceDN/>
                    <w:adjustRightInd/>
                    <w:snapToGrid/>
                    <w:jc w:val="center"/>
                    <w:textAlignment w:val="auto"/>
                    <w:rPr>
                      <w:rFonts w:hint="eastAsia" w:ascii="Times New Roman" w:hAnsi="Times New Roman" w:cs="Times New Roman"/>
                      <w:snapToGrid/>
                      <w:color w:val="auto"/>
                      <w:kern w:val="2"/>
                      <w:szCs w:val="24"/>
                      <w:highlight w:val="none"/>
                      <w:lang w:eastAsia="zh-CN"/>
                    </w:rPr>
                  </w:pPr>
                </w:p>
              </w:tc>
              <w:tc>
                <w:tcPr>
                  <w:tcW w:w="541" w:type="pct"/>
                  <w:vMerge w:val="continue"/>
                  <w:tcBorders>
                    <w:tl2br w:val="nil"/>
                    <w:tr2bl w:val="nil"/>
                  </w:tcBorders>
                  <w:noWrap w:val="0"/>
                  <w:vAlign w:val="center"/>
                </w:tcPr>
                <w:p w14:paraId="165248B9">
                  <w:pPr>
                    <w:pStyle w:val="98"/>
                    <w:widowControl w:val="0"/>
                    <w:kinsoku/>
                    <w:autoSpaceDE/>
                    <w:autoSpaceDN/>
                    <w:adjustRightInd/>
                    <w:snapToGrid/>
                    <w:jc w:val="center"/>
                    <w:textAlignment w:val="auto"/>
                    <w:rPr>
                      <w:rFonts w:hint="eastAsia" w:ascii="Times New Roman" w:hAnsi="Times New Roman" w:cs="Times New Roman"/>
                      <w:snapToGrid/>
                      <w:color w:val="auto"/>
                      <w:kern w:val="2"/>
                      <w:szCs w:val="24"/>
                      <w:highlight w:val="none"/>
                      <w:lang w:eastAsia="zh-CN"/>
                    </w:rPr>
                  </w:pPr>
                </w:p>
              </w:tc>
              <w:tc>
                <w:tcPr>
                  <w:tcW w:w="443" w:type="pct"/>
                  <w:tcBorders>
                    <w:tl2br w:val="nil"/>
                    <w:tr2bl w:val="nil"/>
                  </w:tcBorders>
                  <w:noWrap w:val="0"/>
                  <w:vAlign w:val="center"/>
                </w:tcPr>
                <w:p w14:paraId="59695EF9">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0.104</w:t>
                  </w:r>
                </w:p>
              </w:tc>
              <w:tc>
                <w:tcPr>
                  <w:tcW w:w="416" w:type="pct"/>
                  <w:tcBorders>
                    <w:tl2br w:val="nil"/>
                    <w:tr2bl w:val="nil"/>
                  </w:tcBorders>
                  <w:noWrap w:val="0"/>
                  <w:vAlign w:val="center"/>
                </w:tcPr>
                <w:p w14:paraId="459AF481">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0.027</w:t>
                  </w:r>
                </w:p>
              </w:tc>
              <w:tc>
                <w:tcPr>
                  <w:tcW w:w="520" w:type="pct"/>
                  <w:tcBorders>
                    <w:tl2br w:val="nil"/>
                    <w:tr2bl w:val="nil"/>
                  </w:tcBorders>
                  <w:noWrap w:val="0"/>
                  <w:vAlign w:val="center"/>
                </w:tcPr>
                <w:p w14:paraId="59C410A2">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27</w:t>
                  </w:r>
                </w:p>
              </w:tc>
              <w:tc>
                <w:tcPr>
                  <w:tcW w:w="520" w:type="pct"/>
                  <w:vMerge w:val="continue"/>
                  <w:tcBorders>
                    <w:tl2br w:val="nil"/>
                    <w:tr2bl w:val="nil"/>
                  </w:tcBorders>
                  <w:noWrap w:val="0"/>
                  <w:vAlign w:val="center"/>
                </w:tcPr>
                <w:p w14:paraId="5B84F25A">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p>
              </w:tc>
              <w:tc>
                <w:tcPr>
                  <w:tcW w:w="747" w:type="dxa"/>
                  <w:tcBorders>
                    <w:tl2br w:val="nil"/>
                    <w:tr2bl w:val="nil"/>
                  </w:tcBorders>
                  <w:noWrap w:val="0"/>
                  <w:vAlign w:val="center"/>
                </w:tcPr>
                <w:p w14:paraId="3B960CA6">
                  <w:pPr>
                    <w:pStyle w:val="98"/>
                    <w:widowControl w:val="0"/>
                    <w:kinsoku/>
                    <w:autoSpaceDE/>
                    <w:autoSpaceDN/>
                    <w:adjustRightInd/>
                    <w:snapToGrid/>
                    <w:ind w:firstLine="0" w:firstLineChars="0"/>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0.104</w:t>
                  </w:r>
                </w:p>
              </w:tc>
              <w:tc>
                <w:tcPr>
                  <w:tcW w:w="615" w:type="dxa"/>
                  <w:tcBorders>
                    <w:tl2br w:val="nil"/>
                    <w:tr2bl w:val="nil"/>
                  </w:tcBorders>
                  <w:noWrap w:val="0"/>
                  <w:vAlign w:val="center"/>
                </w:tcPr>
                <w:p w14:paraId="37B552E1">
                  <w:pPr>
                    <w:pStyle w:val="98"/>
                    <w:widowControl w:val="0"/>
                    <w:kinsoku/>
                    <w:autoSpaceDE/>
                    <w:autoSpaceDN/>
                    <w:adjustRightInd/>
                    <w:snapToGrid/>
                    <w:ind w:firstLine="0" w:firstLineChars="0"/>
                    <w:jc w:val="center"/>
                    <w:textAlignment w:val="auto"/>
                    <w:rPr>
                      <w:rFonts w:hint="eastAsia" w:ascii="Times New Roman" w:hAnsi="Times New Roman" w:cs="Times New Roman"/>
                      <w:snapToGrid/>
                      <w:color w:val="auto"/>
                      <w:kern w:val="2"/>
                      <w:szCs w:val="24"/>
                      <w:highlight w:val="none"/>
                      <w:lang w:eastAsia="zh-CN"/>
                    </w:rPr>
                  </w:pPr>
                  <w:r>
                    <w:rPr>
                      <w:rFonts w:hint="eastAsia" w:ascii="Times New Roman" w:hAnsi="Times New Roman" w:cs="Times New Roman"/>
                      <w:snapToGrid/>
                      <w:color w:val="auto"/>
                      <w:kern w:val="2"/>
                      <w:szCs w:val="24"/>
                      <w:highlight w:val="none"/>
                      <w:lang w:val="en-US" w:eastAsia="zh-CN"/>
                    </w:rPr>
                    <w:t>0.027</w:t>
                  </w:r>
                </w:p>
              </w:tc>
              <w:tc>
                <w:tcPr>
                  <w:tcW w:w="689" w:type="dxa"/>
                  <w:tcBorders>
                    <w:tl2br w:val="nil"/>
                    <w:tr2bl w:val="nil"/>
                  </w:tcBorders>
                  <w:noWrap w:val="0"/>
                  <w:vAlign w:val="center"/>
                </w:tcPr>
                <w:p w14:paraId="4B6B139D">
                  <w:pPr>
                    <w:pStyle w:val="98"/>
                    <w:widowControl w:val="0"/>
                    <w:kinsoku/>
                    <w:autoSpaceDE/>
                    <w:autoSpaceDN/>
                    <w:adjustRightInd/>
                    <w:snapToGrid/>
                    <w:ind w:firstLine="0" w:firstLineChars="0"/>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27</w:t>
                  </w:r>
                </w:p>
              </w:tc>
            </w:tr>
          </w:tbl>
          <w:p w14:paraId="4C7F65D1">
            <w:pPr>
              <w:bidi w:val="0"/>
              <w:rPr>
                <w:rFonts w:hint="eastAsia"/>
                <w:color w:val="auto"/>
                <w:highlight w:val="none"/>
              </w:rPr>
            </w:pPr>
          </w:p>
          <w:p w14:paraId="43351D76">
            <w:pPr>
              <w:ind w:left="0" w:leftChars="0" w:firstLine="0" w:firstLineChars="0"/>
              <w:jc w:val="center"/>
              <w:rPr>
                <w:rFonts w:ascii="Times New Roman" w:hAnsi="Times New Roman" w:eastAsia="宋体" w:cs="Times New Roman"/>
                <w:b/>
                <w:bCs/>
                <w:snapToGrid/>
                <w:color w:val="auto"/>
                <w:kern w:val="2"/>
                <w:sz w:val="24"/>
                <w:szCs w:val="24"/>
                <w:highlight w:val="none"/>
                <w:lang w:eastAsia="zh-CN"/>
              </w:rPr>
            </w:pPr>
            <w:r>
              <w:rPr>
                <w:rFonts w:ascii="Times New Roman" w:hAnsi="Times New Roman" w:eastAsia="宋体" w:cs="Times New Roman"/>
                <w:b/>
                <w:bCs/>
                <w:snapToGrid/>
                <w:color w:val="auto"/>
                <w:kern w:val="2"/>
                <w:sz w:val="24"/>
                <w:szCs w:val="24"/>
                <w:highlight w:val="none"/>
                <w:lang w:eastAsia="zh-CN"/>
              </w:rPr>
              <w:t>表4.2-</w:t>
            </w:r>
            <w:r>
              <w:rPr>
                <w:rFonts w:hint="eastAsia" w:ascii="Times New Roman" w:hAnsi="Times New Roman" w:eastAsia="宋体" w:cs="Times New Roman"/>
                <w:b/>
                <w:bCs/>
                <w:snapToGrid/>
                <w:color w:val="auto"/>
                <w:kern w:val="2"/>
                <w:sz w:val="24"/>
                <w:szCs w:val="24"/>
                <w:highlight w:val="none"/>
                <w:lang w:val="en-US" w:eastAsia="zh-CN"/>
              </w:rPr>
              <w:t>9</w:t>
            </w:r>
            <w:r>
              <w:rPr>
                <w:rFonts w:ascii="Times New Roman" w:hAnsi="Times New Roman" w:eastAsia="宋体" w:cs="Times New Roman"/>
                <w:b/>
                <w:bCs/>
                <w:snapToGrid/>
                <w:color w:val="auto"/>
                <w:kern w:val="2"/>
                <w:sz w:val="24"/>
                <w:szCs w:val="24"/>
                <w:highlight w:val="none"/>
                <w:lang w:eastAsia="zh-CN"/>
              </w:rPr>
              <w:t xml:space="preserve">  </w:t>
            </w:r>
            <w:r>
              <w:rPr>
                <w:rFonts w:hint="eastAsia"/>
                <w:b/>
                <w:bCs/>
                <w:color w:val="auto"/>
                <w:highlight w:val="none"/>
                <w:lang w:val="en-US" w:eastAsia="zh-CN"/>
              </w:rPr>
              <w:t>导热油炉废气（全厂）</w:t>
            </w:r>
            <w:r>
              <w:rPr>
                <w:rFonts w:ascii="Times New Roman" w:hAnsi="Times New Roman" w:eastAsia="宋体" w:cs="Times New Roman"/>
                <w:b/>
                <w:bCs/>
                <w:snapToGrid/>
                <w:color w:val="auto"/>
                <w:kern w:val="2"/>
                <w:sz w:val="24"/>
                <w:szCs w:val="24"/>
                <w:highlight w:val="none"/>
                <w:lang w:eastAsia="zh-CN"/>
              </w:rPr>
              <w:t>排放情况一览表</w:t>
            </w:r>
          </w:p>
          <w:tbl>
            <w:tblPr>
              <w:tblStyle w:val="28"/>
              <w:tblW w:w="831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84"/>
              <w:gridCol w:w="2116"/>
              <w:gridCol w:w="3318"/>
            </w:tblGrid>
            <w:tr w14:paraId="7CF648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2884" w:type="dxa"/>
                  <w:tcBorders>
                    <w:tl2br w:val="nil"/>
                    <w:tr2bl w:val="nil"/>
                  </w:tcBorders>
                  <w:noWrap w:val="0"/>
                  <w:vAlign w:val="center"/>
                </w:tcPr>
                <w:p w14:paraId="0933D9A9">
                  <w:pPr>
                    <w:pStyle w:val="98"/>
                    <w:widowControl w:val="0"/>
                    <w:kinsoku/>
                    <w:autoSpaceDE/>
                    <w:autoSpaceDN/>
                    <w:adjustRightInd/>
                    <w:snapToGrid/>
                    <w:jc w:val="center"/>
                    <w:textAlignment w:val="auto"/>
                    <w:rPr>
                      <w:rFonts w:hint="default" w:ascii="Times New Roman" w:hAnsi="Times New Roman" w:eastAsia="宋体" w:cs="Times New Roman"/>
                      <w:b/>
                      <w:bCs/>
                      <w:snapToGrid/>
                      <w:color w:val="auto"/>
                      <w:kern w:val="2"/>
                      <w:szCs w:val="24"/>
                      <w:highlight w:val="none"/>
                      <w:lang w:val="en-US" w:eastAsia="zh-CN"/>
                    </w:rPr>
                  </w:pPr>
                  <w:r>
                    <w:rPr>
                      <w:rFonts w:hint="default" w:ascii="Times New Roman" w:hAnsi="Times New Roman" w:eastAsia="宋体" w:cs="Times New Roman"/>
                      <w:b/>
                      <w:bCs/>
                      <w:snapToGrid/>
                      <w:color w:val="auto"/>
                      <w:kern w:val="2"/>
                      <w:szCs w:val="24"/>
                      <w:highlight w:val="none"/>
                      <w:lang w:val="en-US" w:eastAsia="zh-CN"/>
                    </w:rPr>
                    <w:t>污染物来源</w:t>
                  </w:r>
                </w:p>
              </w:tc>
              <w:tc>
                <w:tcPr>
                  <w:tcW w:w="2116" w:type="dxa"/>
                  <w:tcBorders>
                    <w:tl2br w:val="nil"/>
                    <w:tr2bl w:val="nil"/>
                  </w:tcBorders>
                  <w:noWrap w:val="0"/>
                  <w:vAlign w:val="center"/>
                </w:tcPr>
                <w:p w14:paraId="10CD0C91">
                  <w:pPr>
                    <w:pStyle w:val="98"/>
                    <w:widowControl w:val="0"/>
                    <w:kinsoku/>
                    <w:autoSpaceDE/>
                    <w:autoSpaceDN/>
                    <w:adjustRightInd/>
                    <w:snapToGrid/>
                    <w:jc w:val="center"/>
                    <w:textAlignment w:val="auto"/>
                    <w:rPr>
                      <w:rFonts w:hint="default" w:ascii="Times New Roman" w:hAnsi="Times New Roman" w:eastAsia="宋体" w:cs="Times New Roman"/>
                      <w:b/>
                      <w:bCs/>
                      <w:snapToGrid/>
                      <w:color w:val="auto"/>
                      <w:kern w:val="2"/>
                      <w:szCs w:val="24"/>
                      <w:highlight w:val="none"/>
                      <w:lang w:val="en-US" w:eastAsia="zh-CN"/>
                    </w:rPr>
                  </w:pPr>
                  <w:r>
                    <w:rPr>
                      <w:rFonts w:hint="default" w:ascii="Times New Roman" w:hAnsi="Times New Roman" w:eastAsia="宋体" w:cs="Times New Roman"/>
                      <w:b/>
                      <w:bCs/>
                      <w:snapToGrid/>
                      <w:color w:val="auto"/>
                      <w:kern w:val="2"/>
                      <w:szCs w:val="24"/>
                      <w:highlight w:val="none"/>
                      <w:lang w:val="en-US" w:eastAsia="zh-CN"/>
                    </w:rPr>
                    <w:t>污染物</w:t>
                  </w:r>
                </w:p>
              </w:tc>
              <w:tc>
                <w:tcPr>
                  <w:tcW w:w="3318" w:type="dxa"/>
                  <w:tcBorders>
                    <w:tl2br w:val="nil"/>
                    <w:tr2bl w:val="nil"/>
                  </w:tcBorders>
                  <w:noWrap w:val="0"/>
                  <w:vAlign w:val="center"/>
                </w:tcPr>
                <w:p w14:paraId="47523C71">
                  <w:pPr>
                    <w:pStyle w:val="98"/>
                    <w:widowControl w:val="0"/>
                    <w:kinsoku/>
                    <w:autoSpaceDE/>
                    <w:autoSpaceDN/>
                    <w:adjustRightInd/>
                    <w:snapToGrid/>
                    <w:jc w:val="center"/>
                    <w:textAlignment w:val="auto"/>
                    <w:rPr>
                      <w:rFonts w:hint="default" w:ascii="Times New Roman" w:hAnsi="Times New Roman" w:eastAsia="宋体" w:cs="Times New Roman"/>
                      <w:b/>
                      <w:bCs/>
                      <w:snapToGrid/>
                      <w:color w:val="auto"/>
                      <w:kern w:val="2"/>
                      <w:szCs w:val="24"/>
                      <w:highlight w:val="none"/>
                      <w:lang w:val="en-US" w:eastAsia="zh-CN"/>
                    </w:rPr>
                  </w:pPr>
                  <w:r>
                    <w:rPr>
                      <w:rFonts w:hint="default" w:ascii="Times New Roman" w:hAnsi="Times New Roman" w:eastAsia="宋体" w:cs="Times New Roman"/>
                      <w:b/>
                      <w:bCs/>
                      <w:snapToGrid/>
                      <w:color w:val="auto"/>
                      <w:kern w:val="2"/>
                      <w:szCs w:val="24"/>
                      <w:highlight w:val="none"/>
                      <w:lang w:val="en-US" w:eastAsia="zh-CN"/>
                    </w:rPr>
                    <w:t>排放量（t/a）</w:t>
                  </w:r>
                </w:p>
              </w:tc>
            </w:tr>
            <w:tr w14:paraId="1872CB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2884" w:type="dxa"/>
                  <w:vMerge w:val="restart"/>
                  <w:tcBorders>
                    <w:tl2br w:val="nil"/>
                    <w:tr2bl w:val="nil"/>
                  </w:tcBorders>
                  <w:noWrap w:val="0"/>
                  <w:vAlign w:val="center"/>
                </w:tcPr>
                <w:p w14:paraId="4D6F0745">
                  <w:pPr>
                    <w:pStyle w:val="98"/>
                    <w:widowControl w:val="0"/>
                    <w:kinsoku/>
                    <w:autoSpaceDE/>
                    <w:autoSpaceDN/>
                    <w:adjustRightInd/>
                    <w:snapToGrid/>
                    <w:jc w:val="center"/>
                    <w:textAlignment w:val="auto"/>
                    <w:rPr>
                      <w:rFonts w:hint="default" w:ascii="Times New Roman" w:hAnsi="Times New Roman" w:eastAsia="宋体" w:cs="Times New Roman"/>
                      <w:snapToGrid/>
                      <w:color w:val="auto"/>
                      <w:kern w:val="2"/>
                      <w:szCs w:val="24"/>
                      <w:highlight w:val="none"/>
                      <w:lang w:val="en-US" w:eastAsia="zh-CN"/>
                    </w:rPr>
                  </w:pPr>
                  <w:r>
                    <w:rPr>
                      <w:rFonts w:hint="eastAsia" w:ascii="Times New Roman" w:hAnsi="Times New Roman" w:eastAsia="宋体" w:cs="Times New Roman"/>
                      <w:snapToGrid/>
                      <w:color w:val="auto"/>
                      <w:kern w:val="2"/>
                      <w:szCs w:val="24"/>
                      <w:highlight w:val="none"/>
                      <w:lang w:val="en-US" w:eastAsia="zh-CN"/>
                    </w:rPr>
                    <w:t>导热油炉燃烧</w:t>
                  </w:r>
                </w:p>
              </w:tc>
              <w:tc>
                <w:tcPr>
                  <w:tcW w:w="2116" w:type="dxa"/>
                  <w:tcBorders>
                    <w:tl2br w:val="nil"/>
                    <w:tr2bl w:val="nil"/>
                  </w:tcBorders>
                  <w:noWrap w:val="0"/>
                  <w:vAlign w:val="center"/>
                </w:tcPr>
                <w:p w14:paraId="41E9675F">
                  <w:pPr>
                    <w:pStyle w:val="98"/>
                    <w:widowControl w:val="0"/>
                    <w:kinsoku/>
                    <w:autoSpaceDE/>
                    <w:autoSpaceDN/>
                    <w:adjustRightInd/>
                    <w:snapToGrid/>
                    <w:ind w:firstLine="0" w:firstLineChars="0"/>
                    <w:jc w:val="center"/>
                    <w:textAlignment w:val="auto"/>
                    <w:rPr>
                      <w:rFonts w:hint="default" w:ascii="Times New Roman" w:hAnsi="Times New Roman" w:eastAsia="宋体" w:cs="Times New Roman"/>
                      <w:snapToGrid/>
                      <w:color w:val="auto"/>
                      <w:kern w:val="2"/>
                      <w:szCs w:val="24"/>
                      <w:highlight w:val="none"/>
                      <w:lang w:val="en-US" w:eastAsia="zh-CN"/>
                    </w:rPr>
                  </w:pPr>
                  <w:r>
                    <w:rPr>
                      <w:rFonts w:hint="eastAsia" w:ascii="Times New Roman" w:hAnsi="Times New Roman" w:eastAsia="宋体" w:cs="Times New Roman"/>
                      <w:snapToGrid/>
                      <w:color w:val="auto"/>
                      <w:kern w:val="2"/>
                      <w:szCs w:val="24"/>
                      <w:highlight w:val="none"/>
                      <w:lang w:eastAsia="zh-CN"/>
                    </w:rPr>
                    <w:t>颗粒物</w:t>
                  </w:r>
                </w:p>
              </w:tc>
              <w:tc>
                <w:tcPr>
                  <w:tcW w:w="3318" w:type="dxa"/>
                  <w:tcBorders>
                    <w:tl2br w:val="nil"/>
                    <w:tr2bl w:val="nil"/>
                  </w:tcBorders>
                  <w:noWrap w:val="0"/>
                  <w:vAlign w:val="center"/>
                </w:tcPr>
                <w:p w14:paraId="36F87EDA">
                  <w:pPr>
                    <w:pStyle w:val="98"/>
                    <w:widowControl w:val="0"/>
                    <w:kinsoku/>
                    <w:autoSpaceDE/>
                    <w:autoSpaceDN/>
                    <w:adjustRightInd/>
                    <w:snapToGrid/>
                    <w:jc w:val="center"/>
                    <w:textAlignment w:val="auto"/>
                    <w:rPr>
                      <w:rFonts w:hint="default" w:ascii="Times New Roman" w:hAnsi="Times New Roman" w:eastAsia="宋体" w:cs="Times New Roman"/>
                      <w:snapToGrid/>
                      <w:color w:val="auto"/>
                      <w:kern w:val="2"/>
                      <w:szCs w:val="24"/>
                      <w:highlight w:val="none"/>
                      <w:lang w:val="en-US" w:eastAsia="zh-CN"/>
                    </w:rPr>
                  </w:pPr>
                  <w:r>
                    <w:rPr>
                      <w:rFonts w:hint="eastAsia" w:ascii="Times New Roman" w:hAnsi="Times New Roman" w:eastAsia="宋体" w:cs="Times New Roman"/>
                      <w:snapToGrid/>
                      <w:color w:val="auto"/>
                      <w:kern w:val="2"/>
                      <w:szCs w:val="24"/>
                      <w:highlight w:val="none"/>
                      <w:lang w:val="en-US" w:eastAsia="zh-CN"/>
                    </w:rPr>
                    <w:t>0.048</w:t>
                  </w:r>
                </w:p>
              </w:tc>
            </w:tr>
            <w:tr w14:paraId="44784A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2884" w:type="dxa"/>
                  <w:vMerge w:val="continue"/>
                  <w:tcBorders>
                    <w:tl2br w:val="nil"/>
                    <w:tr2bl w:val="nil"/>
                  </w:tcBorders>
                  <w:noWrap w:val="0"/>
                  <w:vAlign w:val="center"/>
                </w:tcPr>
                <w:p w14:paraId="34827FC8">
                  <w:pPr>
                    <w:pStyle w:val="98"/>
                    <w:widowControl w:val="0"/>
                    <w:kinsoku/>
                    <w:autoSpaceDE/>
                    <w:autoSpaceDN/>
                    <w:adjustRightInd/>
                    <w:snapToGrid/>
                    <w:jc w:val="center"/>
                    <w:textAlignment w:val="auto"/>
                    <w:rPr>
                      <w:rFonts w:hint="eastAsia" w:ascii="Times New Roman" w:hAnsi="Times New Roman" w:eastAsia="宋体" w:cs="Times New Roman"/>
                      <w:snapToGrid/>
                      <w:color w:val="auto"/>
                      <w:kern w:val="2"/>
                      <w:szCs w:val="24"/>
                      <w:highlight w:val="none"/>
                      <w:lang w:val="en-US" w:eastAsia="zh-CN"/>
                    </w:rPr>
                  </w:pPr>
                </w:p>
              </w:tc>
              <w:tc>
                <w:tcPr>
                  <w:tcW w:w="2116" w:type="dxa"/>
                  <w:tcBorders>
                    <w:tl2br w:val="nil"/>
                    <w:tr2bl w:val="nil"/>
                  </w:tcBorders>
                  <w:noWrap w:val="0"/>
                  <w:vAlign w:val="center"/>
                </w:tcPr>
                <w:p w14:paraId="725366C8">
                  <w:pPr>
                    <w:pStyle w:val="98"/>
                    <w:widowControl w:val="0"/>
                    <w:kinsoku/>
                    <w:autoSpaceDE/>
                    <w:autoSpaceDN/>
                    <w:adjustRightInd/>
                    <w:snapToGrid/>
                    <w:ind w:firstLine="0" w:firstLineChars="0"/>
                    <w:jc w:val="center"/>
                    <w:textAlignment w:val="auto"/>
                    <w:rPr>
                      <w:rFonts w:hint="default" w:ascii="Times New Roman" w:hAnsi="Times New Roman" w:eastAsia="宋体" w:cs="Times New Roman"/>
                      <w:snapToGrid/>
                      <w:color w:val="auto"/>
                      <w:kern w:val="2"/>
                      <w:szCs w:val="24"/>
                      <w:highlight w:val="none"/>
                      <w:lang w:val="en-US" w:eastAsia="zh-CN"/>
                    </w:rPr>
                  </w:pPr>
                  <w:r>
                    <w:rPr>
                      <w:rFonts w:hint="eastAsia" w:ascii="Times New Roman" w:hAnsi="Times New Roman" w:eastAsia="宋体" w:cs="Times New Roman"/>
                      <w:snapToGrid/>
                      <w:color w:val="auto"/>
                      <w:kern w:val="2"/>
                      <w:szCs w:val="24"/>
                      <w:highlight w:val="none"/>
                      <w:lang w:eastAsia="zh-CN"/>
                    </w:rPr>
                    <w:t>SO</w:t>
                  </w:r>
                  <w:r>
                    <w:rPr>
                      <w:rFonts w:hint="eastAsia" w:ascii="Times New Roman" w:hAnsi="Times New Roman" w:eastAsia="宋体" w:cs="Times New Roman"/>
                      <w:snapToGrid/>
                      <w:color w:val="auto"/>
                      <w:kern w:val="2"/>
                      <w:szCs w:val="24"/>
                      <w:highlight w:val="none"/>
                      <w:vertAlign w:val="subscript"/>
                      <w:lang w:eastAsia="zh-CN"/>
                    </w:rPr>
                    <w:t>2</w:t>
                  </w:r>
                </w:p>
              </w:tc>
              <w:tc>
                <w:tcPr>
                  <w:tcW w:w="3318" w:type="dxa"/>
                  <w:tcBorders>
                    <w:tl2br w:val="nil"/>
                    <w:tr2bl w:val="nil"/>
                  </w:tcBorders>
                  <w:noWrap w:val="0"/>
                  <w:vAlign w:val="center"/>
                </w:tcPr>
                <w:p w14:paraId="20F1C564">
                  <w:pPr>
                    <w:pStyle w:val="98"/>
                    <w:widowControl w:val="0"/>
                    <w:kinsoku/>
                    <w:autoSpaceDE/>
                    <w:autoSpaceDN/>
                    <w:adjustRightInd/>
                    <w:snapToGrid/>
                    <w:jc w:val="center"/>
                    <w:textAlignment w:val="auto"/>
                    <w:rPr>
                      <w:rFonts w:hint="default" w:ascii="Times New Roman" w:hAnsi="Times New Roman" w:eastAsia="宋体" w:cs="Times New Roman"/>
                      <w:snapToGrid/>
                      <w:color w:val="auto"/>
                      <w:kern w:val="2"/>
                      <w:szCs w:val="24"/>
                      <w:highlight w:val="none"/>
                      <w:lang w:val="en-US" w:eastAsia="zh-CN"/>
                    </w:rPr>
                  </w:pPr>
                  <w:r>
                    <w:rPr>
                      <w:rFonts w:hint="eastAsia" w:ascii="Times New Roman" w:hAnsi="Times New Roman" w:eastAsia="宋体" w:cs="Times New Roman"/>
                      <w:snapToGrid/>
                      <w:color w:val="auto"/>
                      <w:kern w:val="2"/>
                      <w:szCs w:val="24"/>
                      <w:highlight w:val="none"/>
                      <w:lang w:val="en-US" w:eastAsia="zh-CN"/>
                    </w:rPr>
                    <w:t>0.033</w:t>
                  </w:r>
                </w:p>
              </w:tc>
            </w:tr>
            <w:tr w14:paraId="550554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2884" w:type="dxa"/>
                  <w:vMerge w:val="continue"/>
                  <w:tcBorders>
                    <w:tl2br w:val="nil"/>
                    <w:tr2bl w:val="nil"/>
                  </w:tcBorders>
                  <w:noWrap w:val="0"/>
                  <w:vAlign w:val="center"/>
                </w:tcPr>
                <w:p w14:paraId="07DD6AE1">
                  <w:pPr>
                    <w:pStyle w:val="98"/>
                    <w:widowControl w:val="0"/>
                    <w:kinsoku/>
                    <w:autoSpaceDE/>
                    <w:autoSpaceDN/>
                    <w:adjustRightInd/>
                    <w:snapToGrid/>
                    <w:jc w:val="center"/>
                    <w:textAlignment w:val="auto"/>
                    <w:rPr>
                      <w:rFonts w:hint="eastAsia" w:ascii="Times New Roman" w:hAnsi="Times New Roman" w:eastAsia="宋体" w:cs="Times New Roman"/>
                      <w:snapToGrid/>
                      <w:color w:val="auto"/>
                      <w:kern w:val="2"/>
                      <w:szCs w:val="24"/>
                      <w:highlight w:val="none"/>
                      <w:lang w:val="en-US" w:eastAsia="zh-CN"/>
                    </w:rPr>
                  </w:pPr>
                </w:p>
              </w:tc>
              <w:tc>
                <w:tcPr>
                  <w:tcW w:w="2116" w:type="dxa"/>
                  <w:tcBorders>
                    <w:tl2br w:val="nil"/>
                    <w:tr2bl w:val="nil"/>
                  </w:tcBorders>
                  <w:noWrap w:val="0"/>
                  <w:vAlign w:val="center"/>
                </w:tcPr>
                <w:p w14:paraId="302D8347">
                  <w:pPr>
                    <w:pStyle w:val="98"/>
                    <w:widowControl w:val="0"/>
                    <w:kinsoku/>
                    <w:autoSpaceDE/>
                    <w:autoSpaceDN/>
                    <w:adjustRightInd/>
                    <w:snapToGrid/>
                    <w:ind w:firstLine="0" w:firstLineChars="0"/>
                    <w:jc w:val="center"/>
                    <w:textAlignment w:val="auto"/>
                    <w:rPr>
                      <w:rFonts w:hint="default" w:ascii="Times New Roman" w:hAnsi="Times New Roman" w:eastAsia="宋体" w:cs="Times New Roman"/>
                      <w:snapToGrid/>
                      <w:color w:val="auto"/>
                      <w:kern w:val="2"/>
                      <w:szCs w:val="24"/>
                      <w:highlight w:val="none"/>
                      <w:lang w:val="en-US" w:eastAsia="zh-CN"/>
                    </w:rPr>
                  </w:pPr>
                  <w:r>
                    <w:rPr>
                      <w:rFonts w:hint="eastAsia" w:ascii="Times New Roman" w:hAnsi="Times New Roman" w:eastAsia="宋体" w:cs="Times New Roman"/>
                      <w:snapToGrid/>
                      <w:color w:val="auto"/>
                      <w:kern w:val="2"/>
                      <w:szCs w:val="24"/>
                      <w:highlight w:val="none"/>
                      <w:lang w:eastAsia="zh-CN"/>
                    </w:rPr>
                    <w:t>NO</w:t>
                  </w:r>
                  <w:r>
                    <w:rPr>
                      <w:rFonts w:hint="eastAsia" w:ascii="Times New Roman" w:hAnsi="Times New Roman" w:eastAsia="宋体" w:cs="Times New Roman"/>
                      <w:snapToGrid/>
                      <w:color w:val="auto"/>
                      <w:kern w:val="2"/>
                      <w:szCs w:val="24"/>
                      <w:highlight w:val="none"/>
                      <w:vertAlign w:val="subscript"/>
                      <w:lang w:eastAsia="zh-CN"/>
                    </w:rPr>
                    <w:t>X</w:t>
                  </w:r>
                </w:p>
              </w:tc>
              <w:tc>
                <w:tcPr>
                  <w:tcW w:w="3318" w:type="dxa"/>
                  <w:tcBorders>
                    <w:tl2br w:val="nil"/>
                    <w:tr2bl w:val="nil"/>
                  </w:tcBorders>
                  <w:noWrap w:val="0"/>
                  <w:vAlign w:val="center"/>
                </w:tcPr>
                <w:p w14:paraId="2C2AA91E">
                  <w:pPr>
                    <w:pStyle w:val="98"/>
                    <w:widowControl w:val="0"/>
                    <w:kinsoku/>
                    <w:autoSpaceDE/>
                    <w:autoSpaceDN/>
                    <w:adjustRightInd/>
                    <w:snapToGrid/>
                    <w:jc w:val="center"/>
                    <w:textAlignment w:val="auto"/>
                    <w:rPr>
                      <w:rFonts w:hint="default" w:ascii="Times New Roman" w:hAnsi="Times New Roman" w:eastAsia="宋体" w:cs="Times New Roman"/>
                      <w:snapToGrid/>
                      <w:color w:val="auto"/>
                      <w:kern w:val="2"/>
                      <w:szCs w:val="24"/>
                      <w:highlight w:val="none"/>
                      <w:lang w:val="en-US" w:eastAsia="zh-CN"/>
                    </w:rPr>
                  </w:pPr>
                  <w:r>
                    <w:rPr>
                      <w:rFonts w:hint="eastAsia" w:ascii="Times New Roman" w:hAnsi="Times New Roman" w:eastAsia="宋体" w:cs="Times New Roman"/>
                      <w:snapToGrid/>
                      <w:color w:val="auto"/>
                      <w:kern w:val="2"/>
                      <w:szCs w:val="24"/>
                      <w:highlight w:val="none"/>
                      <w:lang w:val="en-US" w:eastAsia="zh-CN"/>
                    </w:rPr>
                    <w:t>0.156</w:t>
                  </w:r>
                </w:p>
              </w:tc>
            </w:tr>
          </w:tbl>
          <w:p w14:paraId="0B044957">
            <w:pPr>
              <w:widowControl/>
              <w:ind w:firstLine="482"/>
              <w:jc w:val="left"/>
              <w:rPr>
                <w:rFonts w:hint="default" w:eastAsia="宋体"/>
                <w:b/>
                <w:bCs/>
                <w:color w:val="auto"/>
                <w:highlight w:val="none"/>
                <w:lang w:val="en-US" w:eastAsia="zh-CN"/>
              </w:rPr>
            </w:pPr>
            <w:r>
              <w:rPr>
                <w:rFonts w:hint="eastAsia"/>
                <w:b/>
                <w:bCs/>
                <w:color w:val="auto"/>
                <w:highlight w:val="none"/>
              </w:rPr>
              <w:t>（</w:t>
            </w:r>
            <w:r>
              <w:rPr>
                <w:rFonts w:hint="eastAsia"/>
                <w:b/>
                <w:bCs/>
                <w:color w:val="auto"/>
                <w:highlight w:val="none"/>
                <w:lang w:val="en-US" w:eastAsia="zh-CN"/>
              </w:rPr>
              <w:t>6</w:t>
            </w:r>
            <w:r>
              <w:rPr>
                <w:rFonts w:hint="eastAsia"/>
                <w:b/>
                <w:bCs/>
                <w:color w:val="auto"/>
                <w:highlight w:val="none"/>
              </w:rPr>
              <w:t>）</w:t>
            </w:r>
            <w:r>
              <w:rPr>
                <w:rFonts w:hint="eastAsia"/>
                <w:b/>
                <w:bCs/>
                <w:color w:val="auto"/>
                <w:highlight w:val="none"/>
                <w:lang w:val="en-US" w:eastAsia="zh-CN"/>
              </w:rPr>
              <w:t>沥青烟废气</w:t>
            </w:r>
          </w:p>
          <w:p w14:paraId="3FD6CBA4">
            <w:pPr>
              <w:bidi w:val="0"/>
              <w:rPr>
                <w:color w:val="auto"/>
                <w:highlight w:val="none"/>
              </w:rPr>
            </w:pPr>
            <w:r>
              <w:rPr>
                <w:rFonts w:hint="eastAsia" w:ascii="Times New Roman" w:hAnsi="Times New Roman" w:eastAsia="宋体" w:cs="Times New Roman"/>
                <w:color w:val="auto"/>
                <w:highlight w:val="none"/>
                <w:lang w:val="en-US" w:eastAsia="zh-CN"/>
              </w:rPr>
              <w:t>沥青搅拌和沥青加热过程产生的沥青烟</w:t>
            </w:r>
            <w:r>
              <w:rPr>
                <w:rFonts w:hint="eastAsia"/>
                <w:color w:val="auto"/>
                <w:highlight w:val="none"/>
                <w:lang w:val="en-US" w:eastAsia="zh-CN"/>
              </w:rPr>
              <w:t>气量参考参考前苏联拉扎列夫主编的《工业生产中的有害物质手册》第一卷（化学工业出版社，</w:t>
            </w:r>
            <w:r>
              <w:rPr>
                <w:rFonts w:hint="default"/>
                <w:color w:val="auto"/>
                <w:highlight w:val="none"/>
                <w:lang w:val="en-US" w:eastAsia="zh-CN"/>
              </w:rPr>
              <w:t>1987</w:t>
            </w:r>
            <w:r>
              <w:rPr>
                <w:rFonts w:hint="eastAsia"/>
                <w:color w:val="auto"/>
                <w:highlight w:val="none"/>
                <w:lang w:val="en-US" w:eastAsia="zh-CN"/>
              </w:rPr>
              <w:t>年</w:t>
            </w:r>
            <w:r>
              <w:rPr>
                <w:rFonts w:hint="default"/>
                <w:color w:val="auto"/>
                <w:highlight w:val="none"/>
                <w:lang w:val="en-US" w:eastAsia="zh-CN"/>
              </w:rPr>
              <w:t>12</w:t>
            </w:r>
            <w:r>
              <w:rPr>
                <w:rFonts w:hint="eastAsia"/>
                <w:color w:val="auto"/>
                <w:highlight w:val="none"/>
                <w:lang w:val="en-US" w:eastAsia="zh-CN"/>
              </w:rPr>
              <w:t>月出版）及金相灿主编的《有机化合物污染化学》（清华大学出版社，</w:t>
            </w:r>
            <w:r>
              <w:rPr>
                <w:rFonts w:hint="default"/>
                <w:color w:val="auto"/>
                <w:highlight w:val="none"/>
                <w:lang w:val="en-US" w:eastAsia="zh-CN"/>
              </w:rPr>
              <w:t>1990</w:t>
            </w:r>
            <w:r>
              <w:rPr>
                <w:rFonts w:hint="eastAsia"/>
                <w:color w:val="auto"/>
                <w:highlight w:val="none"/>
                <w:lang w:val="en-US" w:eastAsia="zh-CN"/>
              </w:rPr>
              <w:t>年</w:t>
            </w:r>
            <w:r>
              <w:rPr>
                <w:rFonts w:hint="default"/>
                <w:color w:val="auto"/>
                <w:highlight w:val="none"/>
                <w:lang w:val="en-US" w:eastAsia="zh-CN"/>
              </w:rPr>
              <w:t>8</w:t>
            </w:r>
            <w:r>
              <w:rPr>
                <w:rFonts w:hint="eastAsia"/>
                <w:color w:val="auto"/>
                <w:highlight w:val="none"/>
                <w:lang w:val="en-US" w:eastAsia="zh-CN"/>
              </w:rPr>
              <w:t>月出版），沥青烟的</w:t>
            </w:r>
            <w:r>
              <w:rPr>
                <w:rFonts w:hint="eastAsia" w:ascii="宋体" w:hAnsi="宋体" w:eastAsia="宋体" w:cs="宋体"/>
                <w:color w:val="auto"/>
                <w:kern w:val="0"/>
                <w:sz w:val="24"/>
                <w:szCs w:val="24"/>
                <w:highlight w:val="none"/>
                <w:lang w:val="en-US" w:eastAsia="zh-CN" w:bidi="ar"/>
              </w:rPr>
              <w:t>产污系数</w:t>
            </w:r>
            <w:r>
              <w:rPr>
                <w:rFonts w:hint="eastAsia"/>
                <w:color w:val="auto"/>
                <w:highlight w:val="none"/>
                <w:lang w:val="en-US" w:eastAsia="zh-CN"/>
              </w:rPr>
              <w:t>为</w:t>
            </w:r>
            <w:r>
              <w:rPr>
                <w:rFonts w:hint="default"/>
                <w:color w:val="auto"/>
                <w:highlight w:val="none"/>
                <w:lang w:val="en-US" w:eastAsia="zh-CN"/>
              </w:rPr>
              <w:t>76mg/kg</w:t>
            </w:r>
            <w:r>
              <w:rPr>
                <w:rFonts w:hint="eastAsia"/>
                <w:color w:val="auto"/>
                <w:highlight w:val="none"/>
                <w:lang w:val="en-US" w:eastAsia="zh-CN"/>
              </w:rPr>
              <w:t>，本项目一期沥青使用量为4950</w:t>
            </w:r>
            <w:r>
              <w:rPr>
                <w:rFonts w:hint="default"/>
                <w:color w:val="auto"/>
                <w:highlight w:val="none"/>
                <w:lang w:val="en-US" w:eastAsia="zh-CN"/>
              </w:rPr>
              <w:t>t/a</w:t>
            </w:r>
            <w:r>
              <w:rPr>
                <w:rFonts w:hint="eastAsia"/>
                <w:color w:val="auto"/>
                <w:highlight w:val="none"/>
                <w:lang w:val="en-US" w:eastAsia="zh-CN"/>
              </w:rPr>
              <w:t>，二期沥青使用量为9900</w:t>
            </w:r>
            <w:r>
              <w:rPr>
                <w:rFonts w:hint="default"/>
                <w:color w:val="auto"/>
                <w:highlight w:val="none"/>
                <w:lang w:val="en-US" w:eastAsia="zh-CN"/>
              </w:rPr>
              <w:t>t/a</w:t>
            </w:r>
            <w:r>
              <w:rPr>
                <w:rFonts w:hint="eastAsia"/>
                <w:color w:val="auto"/>
                <w:highlight w:val="none"/>
                <w:lang w:val="en-US" w:eastAsia="zh-CN"/>
              </w:rPr>
              <w:t>，则该工段一期沥青烟的产生量</w:t>
            </w:r>
            <w:r>
              <w:rPr>
                <w:rFonts w:hint="default"/>
                <w:color w:val="auto"/>
                <w:highlight w:val="none"/>
                <w:lang w:val="en-US" w:eastAsia="zh-CN"/>
              </w:rPr>
              <w:t>0.</w:t>
            </w:r>
            <w:r>
              <w:rPr>
                <w:rFonts w:hint="eastAsia"/>
                <w:color w:val="auto"/>
                <w:highlight w:val="none"/>
                <w:lang w:val="en-US" w:eastAsia="zh-CN"/>
              </w:rPr>
              <w:t>3762</w:t>
            </w:r>
            <w:r>
              <w:rPr>
                <w:rFonts w:hint="default"/>
                <w:color w:val="auto"/>
                <w:highlight w:val="none"/>
                <w:lang w:val="en-US" w:eastAsia="zh-CN"/>
              </w:rPr>
              <w:t>t/a</w:t>
            </w:r>
            <w:r>
              <w:rPr>
                <w:rFonts w:hint="eastAsia"/>
                <w:color w:val="auto"/>
                <w:highlight w:val="none"/>
                <w:lang w:val="en-US" w:eastAsia="zh-CN"/>
              </w:rPr>
              <w:t>，二期沥青烟的产生量</w:t>
            </w:r>
            <w:r>
              <w:rPr>
                <w:rFonts w:hint="default"/>
                <w:color w:val="auto"/>
                <w:highlight w:val="none"/>
                <w:lang w:val="en-US" w:eastAsia="zh-CN"/>
              </w:rPr>
              <w:t>0.</w:t>
            </w:r>
            <w:r>
              <w:rPr>
                <w:rFonts w:hint="eastAsia"/>
                <w:color w:val="auto"/>
                <w:highlight w:val="none"/>
                <w:lang w:val="en-US" w:eastAsia="zh-CN"/>
              </w:rPr>
              <w:t>7524</w:t>
            </w:r>
            <w:r>
              <w:rPr>
                <w:rFonts w:hint="default"/>
                <w:color w:val="auto"/>
                <w:highlight w:val="none"/>
                <w:lang w:val="en-US" w:eastAsia="zh-CN"/>
              </w:rPr>
              <w:t>t/a</w:t>
            </w:r>
            <w:r>
              <w:rPr>
                <w:rFonts w:hint="eastAsia"/>
                <w:color w:val="auto"/>
                <w:highlight w:val="none"/>
                <w:lang w:val="en-US" w:eastAsia="zh-CN"/>
              </w:rPr>
              <w:t>。</w:t>
            </w:r>
          </w:p>
          <w:p w14:paraId="4A4A5D13">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参考前苏联拉扎列夫主编的《工业生产中有害物物质手册》第一卷</w:t>
            </w:r>
            <w:r>
              <w:rPr>
                <w:rFonts w:hint="eastAsia"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化学工业出版社，</w:t>
            </w:r>
            <w:r>
              <w:rPr>
                <w:rFonts w:hint="default" w:ascii="Times New Roman" w:hAnsi="Times New Roman" w:eastAsia="宋体" w:cs="Times New Roman"/>
                <w:color w:val="auto"/>
                <w:kern w:val="0"/>
                <w:sz w:val="24"/>
                <w:szCs w:val="24"/>
                <w:highlight w:val="none"/>
                <w:lang w:val="en-US" w:eastAsia="zh-CN" w:bidi="ar"/>
              </w:rPr>
              <w:t>1987</w:t>
            </w:r>
            <w:r>
              <w:rPr>
                <w:rFonts w:hint="eastAsia" w:ascii="宋体" w:hAnsi="宋体" w:eastAsia="宋体" w:cs="宋体"/>
                <w:color w:val="auto"/>
                <w:kern w:val="0"/>
                <w:sz w:val="24"/>
                <w:szCs w:val="24"/>
                <w:highlight w:val="none"/>
                <w:lang w:val="en-US" w:eastAsia="zh-CN" w:bidi="ar"/>
              </w:rPr>
              <w:t>年</w:t>
            </w:r>
            <w:r>
              <w:rPr>
                <w:rFonts w:hint="default" w:ascii="Times New Roman" w:hAnsi="Times New Roman" w:eastAsia="宋体" w:cs="Times New Roman"/>
                <w:color w:val="auto"/>
                <w:kern w:val="0"/>
                <w:sz w:val="24"/>
                <w:szCs w:val="24"/>
                <w:highlight w:val="none"/>
                <w:lang w:val="en-US" w:eastAsia="zh-CN" w:bidi="ar"/>
              </w:rPr>
              <w:t>12</w:t>
            </w:r>
            <w:r>
              <w:rPr>
                <w:rFonts w:hint="eastAsia" w:ascii="宋体" w:hAnsi="宋体" w:eastAsia="宋体" w:cs="宋体"/>
                <w:color w:val="auto"/>
                <w:kern w:val="0"/>
                <w:sz w:val="24"/>
                <w:szCs w:val="24"/>
                <w:highlight w:val="none"/>
                <w:lang w:val="en-US" w:eastAsia="zh-CN" w:bidi="ar"/>
              </w:rPr>
              <w:t>月出版</w:t>
            </w:r>
            <w:r>
              <w:rPr>
                <w:rFonts w:hint="eastAsia"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及金相灿主编的《有机化合物污染化学》（清华大学出版社，</w:t>
            </w:r>
            <w:r>
              <w:rPr>
                <w:rFonts w:hint="default" w:ascii="Times New Roman" w:hAnsi="Times New Roman" w:eastAsia="宋体" w:cs="Times New Roman"/>
                <w:color w:val="auto"/>
                <w:kern w:val="0"/>
                <w:sz w:val="24"/>
                <w:szCs w:val="24"/>
                <w:highlight w:val="none"/>
                <w:lang w:val="en-US" w:eastAsia="zh-CN" w:bidi="ar"/>
              </w:rPr>
              <w:t>1990</w:t>
            </w:r>
            <w:r>
              <w:rPr>
                <w:rFonts w:hint="eastAsia" w:ascii="宋体" w:hAnsi="宋体" w:eastAsia="宋体" w:cs="宋体"/>
                <w:color w:val="auto"/>
                <w:kern w:val="0"/>
                <w:sz w:val="24"/>
                <w:szCs w:val="24"/>
                <w:highlight w:val="none"/>
                <w:lang w:val="en-US" w:eastAsia="zh-CN" w:bidi="ar"/>
              </w:rPr>
              <w:t>年</w:t>
            </w:r>
            <w:r>
              <w:rPr>
                <w:rFonts w:hint="default" w:ascii="Times New Roman" w:hAnsi="Times New Roman" w:eastAsia="宋体" w:cs="Times New Roman"/>
                <w:color w:val="auto"/>
                <w:kern w:val="0"/>
                <w:sz w:val="24"/>
                <w:szCs w:val="24"/>
                <w:highlight w:val="none"/>
                <w:lang w:val="en-US" w:eastAsia="zh-CN" w:bidi="ar"/>
              </w:rPr>
              <w:t>8</w:t>
            </w:r>
            <w:r>
              <w:rPr>
                <w:rFonts w:hint="eastAsia" w:ascii="宋体" w:hAnsi="宋体" w:eastAsia="宋体" w:cs="宋体"/>
                <w:color w:val="auto"/>
                <w:kern w:val="0"/>
                <w:sz w:val="24"/>
                <w:szCs w:val="24"/>
                <w:highlight w:val="none"/>
                <w:lang w:val="en-US" w:eastAsia="zh-CN" w:bidi="ar"/>
              </w:rPr>
              <w:t>月出版），沥青在加热（</w:t>
            </w:r>
            <w:r>
              <w:rPr>
                <w:rFonts w:hint="default" w:ascii="Times New Roman" w:hAnsi="Times New Roman" w:eastAsia="宋体" w:cs="Times New Roman"/>
                <w:color w:val="auto"/>
                <w:kern w:val="0"/>
                <w:sz w:val="24"/>
                <w:szCs w:val="24"/>
                <w:highlight w:val="none"/>
                <w:lang w:val="en-US" w:eastAsia="zh-CN" w:bidi="ar"/>
              </w:rPr>
              <w:t>150</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~170</w:t>
            </w:r>
            <w:r>
              <w:rPr>
                <w:rFonts w:hint="eastAsia" w:ascii="宋体" w:hAnsi="宋体" w:eastAsia="宋体" w:cs="宋体"/>
                <w:color w:val="auto"/>
                <w:kern w:val="0"/>
                <w:sz w:val="24"/>
                <w:szCs w:val="24"/>
                <w:highlight w:val="none"/>
                <w:lang w:val="en-US" w:eastAsia="zh-CN" w:bidi="ar"/>
              </w:rPr>
              <w:t>℃）过程中</w:t>
            </w:r>
            <w:r>
              <w:rPr>
                <w:rFonts w:hint="eastAsia" w:ascii="Times New Roman" w:hAnsi="Times New Roman" w:eastAsia="宋体" w:cs="Times New Roman"/>
                <w:color w:val="auto"/>
                <w:highlight w:val="none"/>
                <w:lang w:val="en-US" w:eastAsia="zh-CN"/>
              </w:rPr>
              <w:t>苯并[a]芘</w:t>
            </w:r>
            <w:r>
              <w:rPr>
                <w:rFonts w:hint="eastAsia" w:ascii="宋体" w:hAnsi="宋体" w:eastAsia="宋体" w:cs="宋体"/>
                <w:color w:val="auto"/>
                <w:kern w:val="0"/>
                <w:sz w:val="24"/>
                <w:szCs w:val="24"/>
                <w:highlight w:val="none"/>
                <w:lang w:val="en-US" w:eastAsia="zh-CN" w:bidi="ar"/>
              </w:rPr>
              <w:t>的产污系数为</w:t>
            </w:r>
            <w:r>
              <w:rPr>
                <w:rFonts w:hint="default" w:ascii="Times New Roman" w:hAnsi="Times New Roman" w:eastAsia="宋体" w:cs="Times New Roman"/>
                <w:color w:val="auto"/>
                <w:kern w:val="0"/>
                <w:sz w:val="24"/>
                <w:szCs w:val="24"/>
                <w:highlight w:val="none"/>
                <w:lang w:val="en-US" w:eastAsia="zh-CN" w:bidi="ar"/>
              </w:rPr>
              <w:t>0.1g/</w:t>
            </w:r>
            <w:r>
              <w:rPr>
                <w:rFonts w:hint="default"/>
                <w:color w:val="auto"/>
                <w:highlight w:val="none"/>
                <w:lang w:val="en-US" w:eastAsia="zh-CN"/>
              </w:rPr>
              <w:t>t</w:t>
            </w:r>
            <w:r>
              <w:rPr>
                <w:rFonts w:hint="eastAsia"/>
                <w:color w:val="auto"/>
                <w:highlight w:val="none"/>
                <w:lang w:val="en-US" w:eastAsia="zh-CN"/>
              </w:rPr>
              <w:t>，本项目一期沥青使用量为4950</w:t>
            </w:r>
            <w:r>
              <w:rPr>
                <w:rFonts w:hint="default"/>
                <w:color w:val="auto"/>
                <w:highlight w:val="none"/>
                <w:lang w:val="en-US" w:eastAsia="zh-CN"/>
              </w:rPr>
              <w:t>t/a</w:t>
            </w:r>
            <w:r>
              <w:rPr>
                <w:rFonts w:hint="eastAsia"/>
                <w:color w:val="auto"/>
                <w:highlight w:val="none"/>
                <w:lang w:val="en-US" w:eastAsia="zh-CN"/>
              </w:rPr>
              <w:t>，二期沥青使用量为9900</w:t>
            </w:r>
            <w:r>
              <w:rPr>
                <w:rFonts w:hint="default"/>
                <w:color w:val="auto"/>
                <w:highlight w:val="none"/>
                <w:lang w:val="en-US" w:eastAsia="zh-CN"/>
              </w:rPr>
              <w:t>t/a</w:t>
            </w:r>
            <w:r>
              <w:rPr>
                <w:rFonts w:hint="eastAsia"/>
                <w:color w:val="auto"/>
                <w:highlight w:val="none"/>
                <w:lang w:val="en-US" w:eastAsia="zh-CN"/>
              </w:rPr>
              <w:t>，则本项目一期苯并</w:t>
            </w:r>
            <w:r>
              <w:rPr>
                <w:rFonts w:hint="default"/>
                <w:color w:val="auto"/>
                <w:highlight w:val="none"/>
                <w:lang w:val="en-US" w:eastAsia="zh-CN"/>
              </w:rPr>
              <w:t>[a]</w:t>
            </w:r>
            <w:r>
              <w:rPr>
                <w:rFonts w:hint="eastAsia"/>
                <w:color w:val="auto"/>
                <w:highlight w:val="none"/>
                <w:lang w:val="en-US" w:eastAsia="zh-CN"/>
              </w:rPr>
              <w:t>芘产生量</w:t>
            </w:r>
            <w:r>
              <w:rPr>
                <w:rFonts w:hint="eastAsia" w:ascii="宋体" w:hAnsi="宋体" w:eastAsia="宋体" w:cs="宋体"/>
                <w:color w:val="auto"/>
                <w:kern w:val="0"/>
                <w:sz w:val="24"/>
                <w:szCs w:val="24"/>
                <w:highlight w:val="none"/>
                <w:lang w:val="en-US" w:eastAsia="zh-CN" w:bidi="ar"/>
              </w:rPr>
              <w:t>约为</w:t>
            </w:r>
            <w:r>
              <w:rPr>
                <w:rFonts w:hint="default" w:ascii="Times New Roman" w:hAnsi="Times New Roman" w:eastAsia="宋体" w:cs="Times New Roman"/>
                <w:color w:val="auto"/>
                <w:kern w:val="0"/>
                <w:sz w:val="24"/>
                <w:szCs w:val="24"/>
                <w:highlight w:val="none"/>
                <w:lang w:val="en-US" w:eastAsia="zh-CN" w:bidi="ar"/>
              </w:rPr>
              <w:t>0.000</w:t>
            </w:r>
            <w:r>
              <w:rPr>
                <w:rFonts w:hint="eastAsia" w:ascii="Times New Roman" w:hAnsi="Times New Roman" w:eastAsia="宋体" w:cs="Times New Roman"/>
                <w:color w:val="auto"/>
                <w:kern w:val="0"/>
                <w:sz w:val="24"/>
                <w:szCs w:val="24"/>
                <w:highlight w:val="none"/>
                <w:lang w:val="en-US" w:eastAsia="zh-CN" w:bidi="ar"/>
              </w:rPr>
              <w:t>5</w:t>
            </w:r>
            <w:r>
              <w:rPr>
                <w:rFonts w:hint="default" w:ascii="Times New Roman" w:hAnsi="Times New Roman" w:eastAsia="宋体" w:cs="Times New Roman"/>
                <w:color w:val="auto"/>
                <w:kern w:val="0"/>
                <w:sz w:val="24"/>
                <w:szCs w:val="24"/>
                <w:highlight w:val="none"/>
                <w:lang w:val="en-US" w:eastAsia="zh-CN" w:bidi="ar"/>
              </w:rPr>
              <w:t>t/a</w:t>
            </w:r>
            <w:r>
              <w:rPr>
                <w:rFonts w:hint="eastAsia" w:cs="Times New Roman"/>
                <w:color w:val="auto"/>
                <w:kern w:val="0"/>
                <w:sz w:val="24"/>
                <w:szCs w:val="24"/>
                <w:highlight w:val="none"/>
                <w:lang w:val="en-US" w:eastAsia="zh-CN" w:bidi="ar"/>
              </w:rPr>
              <w:t>，二</w:t>
            </w:r>
            <w:r>
              <w:rPr>
                <w:rFonts w:hint="eastAsia"/>
                <w:color w:val="auto"/>
                <w:highlight w:val="none"/>
                <w:lang w:val="en-US" w:eastAsia="zh-CN"/>
              </w:rPr>
              <w:t>期苯并</w:t>
            </w:r>
            <w:r>
              <w:rPr>
                <w:rFonts w:hint="default"/>
                <w:color w:val="auto"/>
                <w:highlight w:val="none"/>
                <w:lang w:val="en-US" w:eastAsia="zh-CN"/>
              </w:rPr>
              <w:t>[a]</w:t>
            </w:r>
            <w:r>
              <w:rPr>
                <w:rFonts w:hint="eastAsia"/>
                <w:color w:val="auto"/>
                <w:highlight w:val="none"/>
                <w:lang w:val="en-US" w:eastAsia="zh-CN"/>
              </w:rPr>
              <w:t>芘产生量</w:t>
            </w:r>
            <w:r>
              <w:rPr>
                <w:rFonts w:hint="eastAsia" w:ascii="宋体" w:hAnsi="宋体" w:eastAsia="宋体" w:cs="宋体"/>
                <w:color w:val="auto"/>
                <w:kern w:val="0"/>
                <w:sz w:val="24"/>
                <w:szCs w:val="24"/>
                <w:highlight w:val="none"/>
                <w:lang w:val="en-US" w:eastAsia="zh-CN" w:bidi="ar"/>
              </w:rPr>
              <w:t>约为</w:t>
            </w:r>
            <w:r>
              <w:rPr>
                <w:rFonts w:hint="default" w:ascii="Times New Roman" w:hAnsi="Times New Roman" w:eastAsia="宋体" w:cs="Times New Roman"/>
                <w:color w:val="auto"/>
                <w:kern w:val="0"/>
                <w:sz w:val="24"/>
                <w:szCs w:val="24"/>
                <w:highlight w:val="none"/>
                <w:lang w:val="en-US" w:eastAsia="zh-CN" w:bidi="ar"/>
              </w:rPr>
              <w:t>0.00</w:t>
            </w:r>
            <w:r>
              <w:rPr>
                <w:rFonts w:hint="eastAsia" w:ascii="Times New Roman" w:hAnsi="Times New Roman" w:eastAsia="宋体" w:cs="Times New Roman"/>
                <w:color w:val="auto"/>
                <w:kern w:val="0"/>
                <w:sz w:val="24"/>
                <w:szCs w:val="24"/>
                <w:highlight w:val="none"/>
                <w:lang w:val="en-US" w:eastAsia="zh-CN" w:bidi="ar"/>
              </w:rPr>
              <w:t>1</w:t>
            </w:r>
            <w:r>
              <w:rPr>
                <w:rFonts w:hint="default" w:ascii="Times New Roman" w:hAnsi="Times New Roman" w:eastAsia="宋体" w:cs="Times New Roman"/>
                <w:color w:val="auto"/>
                <w:kern w:val="0"/>
                <w:sz w:val="24"/>
                <w:szCs w:val="24"/>
                <w:highlight w:val="none"/>
                <w:lang w:val="en-US" w:eastAsia="zh-CN" w:bidi="ar"/>
              </w:rPr>
              <w:t>t/a</w:t>
            </w:r>
            <w:r>
              <w:rPr>
                <w:rFonts w:hint="eastAsia" w:ascii="宋体" w:hAnsi="宋体" w:eastAsia="宋体" w:cs="宋体"/>
                <w:color w:val="auto"/>
                <w:kern w:val="0"/>
                <w:sz w:val="24"/>
                <w:szCs w:val="24"/>
                <w:highlight w:val="none"/>
                <w:lang w:val="en-US" w:eastAsia="zh-CN" w:bidi="ar"/>
              </w:rPr>
              <w:t>。</w:t>
            </w:r>
          </w:p>
          <w:p w14:paraId="128EC2D3">
            <w:pPr>
              <w:bidi w:val="0"/>
              <w:rPr>
                <w:rFonts w:hint="eastAsia"/>
                <w:color w:val="auto"/>
                <w:highlight w:val="none"/>
                <w:lang w:val="en-US" w:eastAsia="zh-CN"/>
              </w:rPr>
            </w:pPr>
            <w:r>
              <w:rPr>
                <w:rFonts w:hint="eastAsia"/>
                <w:color w:val="auto"/>
                <w:highlight w:val="none"/>
                <w:lang w:val="en-US" w:eastAsia="zh-CN"/>
              </w:rPr>
              <w:t>参考前苏联拉扎列夫主编的《工业生产中的有害物质手册》第一卷（化学工业出版社，</w:t>
            </w:r>
            <w:r>
              <w:rPr>
                <w:rFonts w:hint="default"/>
                <w:color w:val="auto"/>
                <w:highlight w:val="none"/>
                <w:lang w:val="en-US" w:eastAsia="zh-CN"/>
              </w:rPr>
              <w:t>1987</w:t>
            </w:r>
            <w:r>
              <w:rPr>
                <w:rFonts w:hint="eastAsia"/>
                <w:color w:val="auto"/>
                <w:highlight w:val="none"/>
                <w:lang w:val="en-US" w:eastAsia="zh-CN"/>
              </w:rPr>
              <w:t>年</w:t>
            </w:r>
            <w:r>
              <w:rPr>
                <w:rFonts w:hint="default"/>
                <w:color w:val="auto"/>
                <w:highlight w:val="none"/>
                <w:lang w:val="en-US" w:eastAsia="zh-CN"/>
              </w:rPr>
              <w:t>12</w:t>
            </w:r>
            <w:r>
              <w:rPr>
                <w:rFonts w:hint="eastAsia"/>
                <w:color w:val="auto"/>
                <w:highlight w:val="none"/>
                <w:lang w:val="en-US" w:eastAsia="zh-CN"/>
              </w:rPr>
              <w:t>月出版）、金相灿主编的《有机化合物污染化学》（清华大学出版社，</w:t>
            </w:r>
            <w:r>
              <w:rPr>
                <w:rFonts w:hint="default"/>
                <w:color w:val="auto"/>
                <w:highlight w:val="none"/>
                <w:lang w:val="en-US" w:eastAsia="zh-CN"/>
              </w:rPr>
              <w:t>1990</w:t>
            </w:r>
            <w:r>
              <w:rPr>
                <w:rFonts w:hint="eastAsia"/>
                <w:color w:val="auto"/>
                <w:highlight w:val="none"/>
                <w:lang w:val="en-US" w:eastAsia="zh-CN"/>
              </w:rPr>
              <w:t>年</w:t>
            </w:r>
            <w:r>
              <w:rPr>
                <w:rFonts w:hint="default"/>
                <w:color w:val="auto"/>
                <w:highlight w:val="none"/>
                <w:lang w:val="en-US" w:eastAsia="zh-CN"/>
              </w:rPr>
              <w:t>8</w:t>
            </w:r>
            <w:r>
              <w:rPr>
                <w:rFonts w:hint="eastAsia"/>
                <w:color w:val="auto"/>
                <w:highlight w:val="none"/>
                <w:lang w:val="en-US" w:eastAsia="zh-CN"/>
              </w:rPr>
              <w:t>月出版）及《壳牌沥青手册》（壳牌大中华集团，</w:t>
            </w:r>
            <w:r>
              <w:rPr>
                <w:rFonts w:hint="default"/>
                <w:color w:val="auto"/>
                <w:highlight w:val="none"/>
                <w:lang w:val="en-US" w:eastAsia="zh-CN"/>
              </w:rPr>
              <w:t>1995</w:t>
            </w:r>
            <w:r>
              <w:rPr>
                <w:rFonts w:hint="eastAsia"/>
                <w:color w:val="auto"/>
                <w:highlight w:val="none"/>
                <w:lang w:val="en-US" w:eastAsia="zh-CN"/>
              </w:rPr>
              <w:t>年</w:t>
            </w:r>
            <w:r>
              <w:rPr>
                <w:rFonts w:hint="default"/>
                <w:color w:val="auto"/>
                <w:highlight w:val="none"/>
                <w:lang w:val="en-US" w:eastAsia="zh-CN"/>
              </w:rPr>
              <w:t>9</w:t>
            </w:r>
            <w:r>
              <w:rPr>
                <w:rFonts w:hint="eastAsia"/>
                <w:color w:val="auto"/>
                <w:highlight w:val="none"/>
                <w:lang w:val="en-US" w:eastAsia="zh-CN"/>
              </w:rPr>
              <w:t>月初版）的有关资料，每吨沥青在加热（</w:t>
            </w:r>
            <w:r>
              <w:rPr>
                <w:rFonts w:hint="default"/>
                <w:color w:val="auto"/>
                <w:highlight w:val="none"/>
                <w:lang w:val="en-US" w:eastAsia="zh-CN"/>
              </w:rPr>
              <w:t>150</w:t>
            </w:r>
            <w:r>
              <w:rPr>
                <w:rFonts w:hint="eastAsia" w:ascii="宋体" w:hAnsi="宋体" w:eastAsia="宋体" w:cs="宋体"/>
                <w:color w:val="auto"/>
                <w:kern w:val="0"/>
                <w:sz w:val="24"/>
                <w:szCs w:val="24"/>
                <w:highlight w:val="none"/>
                <w:lang w:val="en-US" w:eastAsia="zh-CN" w:bidi="ar"/>
              </w:rPr>
              <w:t>℃</w:t>
            </w:r>
            <w:r>
              <w:rPr>
                <w:rFonts w:hint="default"/>
                <w:color w:val="auto"/>
                <w:highlight w:val="none"/>
                <w:lang w:val="en-US" w:eastAsia="zh-CN"/>
              </w:rPr>
              <w:t>~170</w:t>
            </w:r>
            <w:r>
              <w:rPr>
                <w:rFonts w:hint="eastAsia" w:ascii="宋体" w:hAnsi="宋体" w:eastAsia="宋体" w:cs="宋体"/>
                <w:color w:val="auto"/>
                <w:kern w:val="0"/>
                <w:sz w:val="24"/>
                <w:szCs w:val="24"/>
                <w:highlight w:val="none"/>
                <w:lang w:val="en-US" w:eastAsia="zh-CN" w:bidi="ar"/>
              </w:rPr>
              <w:t>℃</w:t>
            </w:r>
            <w:r>
              <w:rPr>
                <w:rFonts w:hint="eastAsia"/>
                <w:color w:val="auto"/>
                <w:highlight w:val="none"/>
                <w:lang w:val="en-US" w:eastAsia="zh-CN"/>
              </w:rPr>
              <w:t>）过程中可产生非甲烷总烃的</w:t>
            </w:r>
            <w:r>
              <w:rPr>
                <w:rFonts w:hint="eastAsia" w:ascii="宋体" w:hAnsi="宋体" w:eastAsia="宋体" w:cs="宋体"/>
                <w:color w:val="auto"/>
                <w:kern w:val="0"/>
                <w:sz w:val="24"/>
                <w:szCs w:val="24"/>
                <w:highlight w:val="none"/>
                <w:lang w:val="en-US" w:eastAsia="zh-CN" w:bidi="ar"/>
              </w:rPr>
              <w:t>产污系数</w:t>
            </w:r>
            <w:r>
              <w:rPr>
                <w:rFonts w:hint="default"/>
                <w:color w:val="auto"/>
                <w:highlight w:val="none"/>
                <w:lang w:val="en-US" w:eastAsia="zh-CN"/>
              </w:rPr>
              <w:t>2.5g/t</w:t>
            </w:r>
            <w:r>
              <w:rPr>
                <w:rFonts w:hint="eastAsia"/>
                <w:color w:val="auto"/>
                <w:highlight w:val="none"/>
                <w:lang w:val="en-US" w:eastAsia="zh-CN"/>
              </w:rPr>
              <w:t>，本项目一期沥青使用量为4950</w:t>
            </w:r>
            <w:r>
              <w:rPr>
                <w:rFonts w:hint="default"/>
                <w:color w:val="auto"/>
                <w:highlight w:val="none"/>
                <w:lang w:val="en-US" w:eastAsia="zh-CN"/>
              </w:rPr>
              <w:t>t/a</w:t>
            </w:r>
            <w:r>
              <w:rPr>
                <w:rFonts w:hint="eastAsia"/>
                <w:color w:val="auto"/>
                <w:highlight w:val="none"/>
                <w:lang w:val="en-US" w:eastAsia="zh-CN"/>
              </w:rPr>
              <w:t>，二期沥青使用量为9900</w:t>
            </w:r>
            <w:r>
              <w:rPr>
                <w:rFonts w:hint="default"/>
                <w:color w:val="auto"/>
                <w:highlight w:val="none"/>
                <w:lang w:val="en-US" w:eastAsia="zh-CN"/>
              </w:rPr>
              <w:t>t/a</w:t>
            </w:r>
            <w:r>
              <w:rPr>
                <w:rFonts w:hint="eastAsia"/>
                <w:color w:val="auto"/>
                <w:highlight w:val="none"/>
                <w:lang w:val="en-US" w:eastAsia="zh-CN"/>
              </w:rPr>
              <w:t>，则本项目一期会产生非甲烷总烃0.0124</w:t>
            </w:r>
            <w:r>
              <w:rPr>
                <w:rFonts w:hint="default"/>
                <w:color w:val="auto"/>
                <w:highlight w:val="none"/>
                <w:lang w:val="en-US" w:eastAsia="zh-CN"/>
              </w:rPr>
              <w:t>t/a</w:t>
            </w:r>
            <w:r>
              <w:rPr>
                <w:rFonts w:hint="eastAsia"/>
                <w:color w:val="auto"/>
                <w:highlight w:val="none"/>
                <w:lang w:val="en-US" w:eastAsia="zh-CN"/>
              </w:rPr>
              <w:t>，二期会产生非甲烷总烃0.0248</w:t>
            </w:r>
            <w:r>
              <w:rPr>
                <w:rFonts w:hint="default"/>
                <w:color w:val="auto"/>
                <w:highlight w:val="none"/>
                <w:lang w:val="en-US" w:eastAsia="zh-CN"/>
              </w:rPr>
              <w:t>t/a</w:t>
            </w:r>
            <w:r>
              <w:rPr>
                <w:rFonts w:hint="eastAsia"/>
                <w:color w:val="auto"/>
                <w:highlight w:val="none"/>
                <w:lang w:val="en-US" w:eastAsia="zh-CN"/>
              </w:rPr>
              <w:t>。</w:t>
            </w:r>
          </w:p>
          <w:p w14:paraId="1E2B1303">
            <w:pPr>
              <w:bidi w:val="0"/>
              <w:rPr>
                <w:rFonts w:hint="eastAsia"/>
                <w:color w:val="auto"/>
                <w:highlight w:val="none"/>
                <w:lang w:val="en-US" w:eastAsia="zh-CN"/>
              </w:rPr>
            </w:pPr>
            <w:r>
              <w:rPr>
                <w:rFonts w:hint="eastAsia"/>
                <w:color w:val="auto"/>
                <w:highlight w:val="none"/>
                <w:lang w:val="en-US" w:eastAsia="zh-CN"/>
              </w:rPr>
              <w:t>由于项目沥青从加热到输送再到搅拌全部在密闭管道、设备中进行，生产过程只是对沥青进行加热，不进行燃烧，沥青烟气仅在成品卸料口装车时和沥青储罐呼吸口处会挥发出沥青烟气，本项目沥青烟气由管道再经集气罩负压收集，达到一定的负压条件，收集效率约在</w:t>
            </w:r>
            <w:r>
              <w:rPr>
                <w:rFonts w:hint="default"/>
                <w:color w:val="auto"/>
                <w:highlight w:val="none"/>
                <w:lang w:val="en-US" w:eastAsia="zh-CN"/>
              </w:rPr>
              <w:t>90%</w:t>
            </w:r>
            <w:r>
              <w:rPr>
                <w:rFonts w:hint="eastAsia"/>
                <w:color w:val="auto"/>
                <w:highlight w:val="none"/>
                <w:lang w:val="en-US" w:eastAsia="zh-CN"/>
              </w:rPr>
              <w:t>以上，本次评价按</w:t>
            </w:r>
            <w:r>
              <w:rPr>
                <w:rFonts w:hint="default"/>
                <w:color w:val="auto"/>
                <w:highlight w:val="none"/>
                <w:lang w:val="en-US" w:eastAsia="zh-CN"/>
              </w:rPr>
              <w:t>90%</w:t>
            </w:r>
            <w:r>
              <w:rPr>
                <w:rFonts w:hint="eastAsia"/>
                <w:color w:val="auto"/>
                <w:highlight w:val="none"/>
                <w:lang w:val="en-US" w:eastAsia="zh-CN"/>
              </w:rPr>
              <w:t>进行核算。</w:t>
            </w:r>
            <w:r>
              <w:rPr>
                <w:rFonts w:hint="default" w:ascii="Times New Roman" w:hAnsi="Times New Roman" w:cs="Times New Roman"/>
                <w:color w:val="auto"/>
                <w:highlight w:val="none"/>
                <w:lang w:val="en-US" w:eastAsia="zh-CN"/>
              </w:rPr>
              <w:t>本项目</w:t>
            </w:r>
            <w:r>
              <w:rPr>
                <w:rFonts w:hint="eastAsia"/>
                <w:color w:val="auto"/>
                <w:highlight w:val="none"/>
                <w:lang w:val="en-US" w:eastAsia="zh-CN"/>
              </w:rPr>
              <w:t>该工段</w:t>
            </w:r>
            <w:r>
              <w:rPr>
                <w:rFonts w:hint="default" w:ascii="Times New Roman" w:hAnsi="Times New Roman" w:cs="Times New Roman"/>
                <w:color w:val="auto"/>
                <w:highlight w:val="none"/>
                <w:lang w:val="en-US" w:eastAsia="zh-CN"/>
              </w:rPr>
              <w:t>一期设</w:t>
            </w: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lang w:val="en-US" w:eastAsia="zh-CN"/>
              </w:rPr>
              <w:t>根排气筒</w:t>
            </w:r>
            <w:r>
              <w:rPr>
                <w:rFonts w:hint="eastAsia" w:ascii="Times New Roman" w:hAnsi="Times New Roman" w:cs="Times New Roman"/>
                <w:color w:val="auto"/>
                <w:highlight w:val="none"/>
                <w:lang w:val="en-US" w:eastAsia="zh-CN"/>
              </w:rPr>
              <w:t>（DA003）</w:t>
            </w:r>
            <w:r>
              <w:rPr>
                <w:rFonts w:hint="default" w:ascii="Times New Roman" w:hAnsi="Times New Roman" w:cs="Times New Roman"/>
                <w:color w:val="auto"/>
                <w:highlight w:val="none"/>
                <w:lang w:val="en-US" w:eastAsia="zh-CN"/>
              </w:rPr>
              <w:t>，二期设</w:t>
            </w: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lang w:val="en-US" w:eastAsia="zh-CN"/>
              </w:rPr>
              <w:t>根排气筒</w:t>
            </w:r>
            <w:r>
              <w:rPr>
                <w:rFonts w:hint="eastAsia" w:ascii="Times New Roman" w:hAnsi="Times New Roman" w:cs="Times New Roman"/>
                <w:color w:val="auto"/>
                <w:highlight w:val="none"/>
                <w:lang w:val="en-US" w:eastAsia="zh-CN"/>
              </w:rPr>
              <w:t>（DA006）</w:t>
            </w:r>
            <w:r>
              <w:rPr>
                <w:rFonts w:hint="eastAsia"/>
                <w:color w:val="auto"/>
                <w:highlight w:val="none"/>
                <w:lang w:val="en-US" w:eastAsia="zh-CN"/>
              </w:rPr>
              <w:t>，</w:t>
            </w:r>
            <w:r>
              <w:rPr>
                <w:rFonts w:hint="eastAsia" w:ascii="Times New Roman" w:hAnsi="Times New Roman" w:eastAsia="宋体" w:cs="Times New Roman"/>
                <w:color w:val="auto"/>
                <w:highlight w:val="none"/>
                <w:lang w:val="en-US" w:eastAsia="zh-CN"/>
              </w:rPr>
              <w:t>沥青搅拌和沥青加热过程产生的</w:t>
            </w:r>
            <w:r>
              <w:rPr>
                <w:rFonts w:hint="eastAsia"/>
                <w:color w:val="auto"/>
                <w:highlight w:val="none"/>
                <w:lang w:val="en-US" w:eastAsia="zh-CN"/>
              </w:rPr>
              <w:t>废气经“喷淋塔+除雾器+</w:t>
            </w:r>
            <w:r>
              <w:rPr>
                <w:rFonts w:hint="eastAsia"/>
                <w:color w:val="auto"/>
                <w:highlight w:val="none"/>
              </w:rPr>
              <w:t>活性炭吸附</w:t>
            </w:r>
            <w:r>
              <w:rPr>
                <w:rFonts w:hint="eastAsia"/>
                <w:color w:val="auto"/>
                <w:highlight w:val="none"/>
                <w:lang w:val="en-US" w:eastAsia="zh-CN"/>
              </w:rPr>
              <w:t>装置”处理后通过</w:t>
            </w:r>
            <w:r>
              <w:rPr>
                <w:rFonts w:hint="default"/>
                <w:color w:val="auto"/>
                <w:highlight w:val="none"/>
                <w:lang w:val="en-US" w:eastAsia="zh-CN"/>
              </w:rPr>
              <w:t>15m</w:t>
            </w:r>
            <w:r>
              <w:rPr>
                <w:rFonts w:hint="eastAsia"/>
                <w:color w:val="auto"/>
                <w:highlight w:val="none"/>
                <w:lang w:val="en-US" w:eastAsia="zh-CN"/>
              </w:rPr>
              <w:t>高排气筒排放，处理效率按照</w:t>
            </w:r>
            <w:r>
              <w:rPr>
                <w:rFonts w:hint="default"/>
                <w:color w:val="auto"/>
                <w:highlight w:val="none"/>
                <w:lang w:val="en-US" w:eastAsia="zh-CN"/>
              </w:rPr>
              <w:t>80%</w:t>
            </w:r>
            <w:r>
              <w:rPr>
                <w:rFonts w:hint="eastAsia"/>
                <w:color w:val="auto"/>
                <w:highlight w:val="none"/>
                <w:lang w:val="en-US" w:eastAsia="zh-CN"/>
              </w:rPr>
              <w:t>计算，该工段一期</w:t>
            </w:r>
            <w:r>
              <w:rPr>
                <w:rFonts w:hint="eastAsia" w:ascii="宋体" w:hAnsi="宋体" w:cs="宋体"/>
                <w:color w:val="auto"/>
                <w:kern w:val="0"/>
                <w:highlight w:val="none"/>
                <w:lang w:bidi="ar"/>
              </w:rPr>
              <w:t>设计风量</w:t>
            </w:r>
            <w:r>
              <w:rPr>
                <w:rFonts w:hint="eastAsia" w:ascii="宋体" w:hAnsi="宋体" w:cs="宋体"/>
                <w:color w:val="auto"/>
                <w:kern w:val="0"/>
                <w:highlight w:val="none"/>
                <w:lang w:val="en-US" w:eastAsia="zh-CN" w:bidi="ar"/>
              </w:rPr>
              <w:t>为</w:t>
            </w:r>
            <w:r>
              <w:rPr>
                <w:rFonts w:hint="default" w:ascii="Times New Roman" w:hAnsi="Times New Roman" w:cs="Times New Roman"/>
                <w:color w:val="auto"/>
                <w:kern w:val="0"/>
                <w:highlight w:val="none"/>
                <w:lang w:val="en-US" w:eastAsia="zh-CN" w:bidi="ar"/>
              </w:rPr>
              <w:t>8</w:t>
            </w:r>
            <w:r>
              <w:rPr>
                <w:rFonts w:hint="default" w:ascii="Times New Roman" w:hAnsi="Times New Roman" w:cs="Times New Roman"/>
                <w:color w:val="auto"/>
                <w:highlight w:val="none"/>
                <w:lang w:val="en-US" w:eastAsia="zh-CN"/>
              </w:rPr>
              <w:t>0</w:t>
            </w:r>
            <w:r>
              <w:rPr>
                <w:rFonts w:hint="default" w:ascii="Times New Roman" w:hAnsi="Times New Roman" w:cs="Times New Roman"/>
                <w:color w:val="auto"/>
                <w:kern w:val="0"/>
                <w:highlight w:val="none"/>
                <w:lang w:val="en-US" w:eastAsia="zh-CN" w:bidi="ar"/>
              </w:rPr>
              <w:t>00</w:t>
            </w:r>
            <w:r>
              <w:rPr>
                <w:color w:val="auto"/>
                <w:kern w:val="0"/>
                <w:highlight w:val="none"/>
                <w:lang w:bidi="ar"/>
              </w:rPr>
              <w:t>m</w:t>
            </w:r>
            <w:r>
              <w:rPr>
                <w:rFonts w:hint="eastAsia"/>
                <w:color w:val="auto"/>
                <w:kern w:val="0"/>
                <w:highlight w:val="none"/>
                <w:vertAlign w:val="superscript"/>
                <w:lang w:bidi="ar"/>
              </w:rPr>
              <w:t>3</w:t>
            </w:r>
            <w:r>
              <w:rPr>
                <w:color w:val="auto"/>
                <w:kern w:val="0"/>
                <w:highlight w:val="none"/>
                <w:lang w:bidi="ar"/>
              </w:rPr>
              <w:t>/h</w:t>
            </w:r>
            <w:r>
              <w:rPr>
                <w:rFonts w:hint="eastAsia"/>
                <w:color w:val="auto"/>
                <w:kern w:val="0"/>
                <w:highlight w:val="none"/>
                <w:lang w:eastAsia="zh-CN" w:bidi="ar"/>
              </w:rPr>
              <w:t>，</w:t>
            </w:r>
            <w:r>
              <w:rPr>
                <w:rFonts w:hint="eastAsia"/>
                <w:color w:val="auto"/>
                <w:kern w:val="0"/>
                <w:highlight w:val="none"/>
                <w:lang w:val="en-US" w:eastAsia="zh-CN" w:bidi="ar"/>
              </w:rPr>
              <w:t>二期风量</w:t>
            </w:r>
            <w:r>
              <w:rPr>
                <w:rFonts w:hint="eastAsia" w:ascii="宋体" w:hAnsi="宋体" w:cs="宋体"/>
                <w:color w:val="auto"/>
                <w:kern w:val="0"/>
                <w:highlight w:val="none"/>
                <w:lang w:bidi="ar"/>
              </w:rPr>
              <w:t>设计风量</w:t>
            </w:r>
            <w:r>
              <w:rPr>
                <w:rFonts w:hint="eastAsia" w:ascii="宋体" w:hAnsi="宋体" w:cs="宋体"/>
                <w:color w:val="auto"/>
                <w:kern w:val="0"/>
                <w:highlight w:val="none"/>
                <w:lang w:val="en-US" w:eastAsia="zh-CN" w:bidi="ar"/>
              </w:rPr>
              <w:t>为</w:t>
            </w:r>
            <w:r>
              <w:rPr>
                <w:rFonts w:hint="default" w:ascii="Times New Roman" w:hAnsi="Times New Roman" w:cs="Times New Roman"/>
                <w:color w:val="auto"/>
                <w:kern w:val="0"/>
                <w:highlight w:val="none"/>
                <w:lang w:val="en-US" w:eastAsia="zh-CN" w:bidi="ar"/>
              </w:rPr>
              <w:t>10000</w:t>
            </w:r>
            <w:r>
              <w:rPr>
                <w:color w:val="auto"/>
                <w:kern w:val="0"/>
                <w:highlight w:val="none"/>
                <w:lang w:bidi="ar"/>
              </w:rPr>
              <w:t>m</w:t>
            </w:r>
            <w:r>
              <w:rPr>
                <w:rFonts w:hint="eastAsia"/>
                <w:color w:val="auto"/>
                <w:kern w:val="0"/>
                <w:highlight w:val="none"/>
                <w:vertAlign w:val="superscript"/>
                <w:lang w:bidi="ar"/>
              </w:rPr>
              <w:t>3</w:t>
            </w:r>
            <w:r>
              <w:rPr>
                <w:color w:val="auto"/>
                <w:kern w:val="0"/>
                <w:highlight w:val="none"/>
                <w:lang w:bidi="ar"/>
              </w:rPr>
              <w:t>/h</w:t>
            </w:r>
            <w:r>
              <w:rPr>
                <w:rFonts w:hint="eastAsia"/>
                <w:color w:val="auto"/>
                <w:highlight w:val="none"/>
                <w:lang w:val="en-US" w:eastAsia="zh-CN"/>
              </w:rPr>
              <w:t>，</w:t>
            </w:r>
            <w:r>
              <w:rPr>
                <w:rFonts w:hint="default" w:ascii="Times New Roman" w:hAnsi="Times New Roman" w:cs="Times New Roman"/>
                <w:color w:val="auto"/>
                <w:highlight w:val="none"/>
                <w:lang w:val="en-US" w:eastAsia="zh-CN"/>
              </w:rPr>
              <w:t>本项目</w:t>
            </w:r>
            <w:r>
              <w:rPr>
                <w:rFonts w:hint="eastAsia" w:ascii="Times New Roman" w:hAnsi="Times New Roman" w:cs="Times New Roman"/>
                <w:color w:val="auto"/>
                <w:highlight w:val="none"/>
                <w:lang w:val="en-US" w:eastAsia="zh-CN"/>
              </w:rPr>
              <w:t>该工段工作</w:t>
            </w:r>
            <w:r>
              <w:rPr>
                <w:rFonts w:hint="default" w:ascii="Times New Roman" w:hAnsi="Times New Roman" w:cs="Times New Roman"/>
                <w:color w:val="auto"/>
                <w:highlight w:val="none"/>
                <w:lang w:val="en-US" w:eastAsia="zh-CN"/>
              </w:rPr>
              <w:t>时间为</w:t>
            </w:r>
            <w:r>
              <w:rPr>
                <w:rFonts w:hint="eastAsia" w:ascii="Times New Roman" w:hAnsi="Times New Roman" w:cs="Times New Roman"/>
                <w:color w:val="auto"/>
                <w:highlight w:val="none"/>
                <w:lang w:val="en-US" w:eastAsia="zh-CN"/>
              </w:rPr>
              <w:t>3840</w:t>
            </w:r>
            <w:r>
              <w:rPr>
                <w:rFonts w:hint="default" w:ascii="Times New Roman" w:hAnsi="Times New Roman" w:cs="Times New Roman"/>
                <w:color w:val="auto"/>
                <w:highlight w:val="none"/>
                <w:lang w:val="en-US" w:eastAsia="zh-CN"/>
              </w:rPr>
              <w:t>h，计算得本项目</w:t>
            </w:r>
            <w:r>
              <w:rPr>
                <w:rFonts w:hint="eastAsia"/>
                <w:color w:val="auto"/>
                <w:highlight w:val="none"/>
                <w:lang w:val="en-US" w:eastAsia="zh-CN"/>
              </w:rPr>
              <w:t>沥青烟</w:t>
            </w:r>
            <w:r>
              <w:rPr>
                <w:rFonts w:hint="eastAsia"/>
                <w:color w:val="auto"/>
                <w:highlight w:val="none"/>
              </w:rPr>
              <w:t>废气</w:t>
            </w:r>
            <w:r>
              <w:rPr>
                <w:rFonts w:hint="default" w:ascii="Times New Roman" w:hAnsi="Times New Roman" w:cs="Times New Roman"/>
                <w:color w:val="auto"/>
                <w:highlight w:val="none"/>
                <w:lang w:val="en-US" w:eastAsia="zh-CN"/>
              </w:rPr>
              <w:t>排放情况见表4.2-</w:t>
            </w:r>
            <w:r>
              <w:rPr>
                <w:rFonts w:hint="eastAsia" w:ascii="Times New Roman" w:hAnsi="Times New Roman" w:cs="Times New Roman"/>
                <w:color w:val="auto"/>
                <w:highlight w:val="none"/>
                <w:lang w:val="en-US" w:eastAsia="zh-CN"/>
              </w:rPr>
              <w:t>10</w:t>
            </w:r>
            <w:r>
              <w:rPr>
                <w:rFonts w:hint="default" w:ascii="Times New Roman" w:hAnsi="Times New Roman" w:cs="Times New Roman"/>
                <w:color w:val="auto"/>
                <w:highlight w:val="none"/>
                <w:lang w:val="en-US" w:eastAsia="zh-CN"/>
              </w:rPr>
              <w:t>~表4.2-</w:t>
            </w:r>
            <w:r>
              <w:rPr>
                <w:rFonts w:hint="eastAsia" w:ascii="Times New Roman" w:hAnsi="Times New Roman" w:cs="Times New Roman"/>
                <w:color w:val="auto"/>
                <w:highlight w:val="none"/>
                <w:lang w:val="en-US" w:eastAsia="zh-CN"/>
              </w:rPr>
              <w:t>12</w:t>
            </w:r>
            <w:r>
              <w:rPr>
                <w:rFonts w:hint="default" w:ascii="Times New Roman" w:hAnsi="Times New Roman" w:cs="Times New Roman"/>
                <w:color w:val="auto"/>
                <w:highlight w:val="none"/>
                <w:lang w:val="en-US" w:eastAsia="zh-CN"/>
              </w:rPr>
              <w:t>。</w:t>
            </w:r>
          </w:p>
          <w:p w14:paraId="3E1872A2">
            <w:pPr>
              <w:ind w:firstLine="0" w:firstLineChars="0"/>
              <w:jc w:val="center"/>
              <w:rPr>
                <w:b/>
                <w:bCs/>
                <w:color w:val="auto"/>
                <w:highlight w:val="none"/>
              </w:rPr>
            </w:pPr>
            <w:r>
              <w:rPr>
                <w:b/>
                <w:bCs/>
                <w:color w:val="auto"/>
                <w:highlight w:val="none"/>
              </w:rPr>
              <w:t>表</w:t>
            </w:r>
            <w:r>
              <w:rPr>
                <w:rFonts w:hint="eastAsia"/>
                <w:b/>
                <w:bCs/>
                <w:color w:val="auto"/>
                <w:highlight w:val="none"/>
              </w:rPr>
              <w:t>4.2-</w:t>
            </w:r>
            <w:r>
              <w:rPr>
                <w:rFonts w:hint="eastAsia"/>
                <w:b/>
                <w:bCs/>
                <w:color w:val="auto"/>
                <w:highlight w:val="none"/>
                <w:lang w:val="en-US" w:eastAsia="zh-CN"/>
              </w:rPr>
              <w:t>10</w:t>
            </w:r>
            <w:r>
              <w:rPr>
                <w:b/>
                <w:bCs/>
                <w:color w:val="auto"/>
                <w:highlight w:val="none"/>
              </w:rPr>
              <w:t xml:space="preserve">  </w:t>
            </w:r>
            <w:r>
              <w:rPr>
                <w:rFonts w:hint="eastAsia" w:ascii="Times New Roman" w:hAnsi="Times New Roman" w:eastAsia="宋体" w:cs="Times New Roman"/>
                <w:b/>
                <w:bCs/>
                <w:snapToGrid/>
                <w:color w:val="auto"/>
                <w:kern w:val="2"/>
                <w:sz w:val="24"/>
                <w:szCs w:val="24"/>
                <w:highlight w:val="none"/>
                <w:lang w:val="en-US" w:eastAsia="zh-CN"/>
              </w:rPr>
              <w:t>沥青烟</w:t>
            </w:r>
            <w:r>
              <w:rPr>
                <w:rFonts w:hint="eastAsia"/>
                <w:b/>
                <w:bCs/>
                <w:color w:val="auto"/>
                <w:highlight w:val="none"/>
                <w:lang w:val="en-US" w:eastAsia="zh-CN"/>
              </w:rPr>
              <w:t>废气（一期）</w:t>
            </w:r>
            <w:r>
              <w:rPr>
                <w:rFonts w:ascii="Times New Roman" w:hAnsi="Times New Roman" w:eastAsia="宋体" w:cs="Times New Roman"/>
                <w:b/>
                <w:bCs/>
                <w:snapToGrid/>
                <w:color w:val="auto"/>
                <w:kern w:val="2"/>
                <w:sz w:val="24"/>
                <w:szCs w:val="24"/>
                <w:highlight w:val="none"/>
                <w:lang w:eastAsia="zh-CN"/>
              </w:rPr>
              <w:t>排放情况一览表</w:t>
            </w:r>
          </w:p>
          <w:tbl>
            <w:tblPr>
              <w:tblStyle w:val="129"/>
              <w:tblW w:w="839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827"/>
              <w:gridCol w:w="684"/>
              <w:gridCol w:w="668"/>
              <w:gridCol w:w="883"/>
              <w:gridCol w:w="723"/>
              <w:gridCol w:w="752"/>
              <w:gridCol w:w="777"/>
              <w:gridCol w:w="850"/>
              <w:gridCol w:w="705"/>
              <w:gridCol w:w="749"/>
              <w:gridCol w:w="776"/>
            </w:tblGrid>
            <w:tr w14:paraId="3C235B4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34" w:hRule="atLeast"/>
                <w:jc w:val="center"/>
              </w:trPr>
              <w:tc>
                <w:tcPr>
                  <w:tcW w:w="492" w:type="pct"/>
                  <w:tcBorders>
                    <w:tl2br w:val="nil"/>
                    <w:tr2bl w:val="nil"/>
                  </w:tcBorders>
                  <w:noWrap w:val="0"/>
                  <w:vAlign w:val="center"/>
                </w:tcPr>
                <w:p w14:paraId="1A3A7ED1">
                  <w:pPr>
                    <w:pStyle w:val="98"/>
                    <w:widowControl w:val="0"/>
                    <w:kinsoku/>
                    <w:autoSpaceDE/>
                    <w:autoSpaceDN/>
                    <w:adjustRightInd/>
                    <w:snapToGrid/>
                    <w:jc w:val="center"/>
                    <w:textAlignment w:val="auto"/>
                    <w:rPr>
                      <w:rFonts w:hint="eastAsia" w:ascii="Times New Roman" w:hAnsi="Times New Roman" w:cs="Times New Roman"/>
                      <w:b/>
                      <w:bCs/>
                      <w:snapToGrid/>
                      <w:color w:val="auto"/>
                      <w:kern w:val="2"/>
                      <w:szCs w:val="24"/>
                      <w:highlight w:val="none"/>
                      <w:lang w:eastAsia="zh-CN"/>
                    </w:rPr>
                  </w:pPr>
                  <w:r>
                    <w:rPr>
                      <w:rFonts w:hint="eastAsia" w:ascii="Times New Roman" w:hAnsi="Times New Roman" w:cs="Times New Roman"/>
                      <w:b/>
                      <w:bCs/>
                      <w:snapToGrid/>
                      <w:color w:val="auto"/>
                      <w:kern w:val="2"/>
                      <w:szCs w:val="24"/>
                      <w:highlight w:val="none"/>
                      <w:lang w:eastAsia="zh-CN"/>
                    </w:rPr>
                    <w:t>污染物</w:t>
                  </w:r>
                </w:p>
              </w:tc>
              <w:tc>
                <w:tcPr>
                  <w:tcW w:w="407" w:type="pct"/>
                  <w:tcBorders>
                    <w:tl2br w:val="nil"/>
                    <w:tr2bl w:val="nil"/>
                  </w:tcBorders>
                  <w:noWrap w:val="0"/>
                  <w:vAlign w:val="center"/>
                </w:tcPr>
                <w:p w14:paraId="0179833D">
                  <w:pPr>
                    <w:pStyle w:val="98"/>
                    <w:widowControl w:val="0"/>
                    <w:kinsoku/>
                    <w:autoSpaceDE/>
                    <w:autoSpaceDN/>
                    <w:adjustRightInd/>
                    <w:snapToGrid/>
                    <w:jc w:val="center"/>
                    <w:textAlignment w:val="auto"/>
                    <w:rPr>
                      <w:rFonts w:hint="eastAsia" w:ascii="Times New Roman" w:hAnsi="Times New Roman" w:cs="Times New Roman"/>
                      <w:b/>
                      <w:bCs/>
                      <w:snapToGrid/>
                      <w:color w:val="auto"/>
                      <w:kern w:val="2"/>
                      <w:szCs w:val="24"/>
                      <w:highlight w:val="none"/>
                      <w:lang w:eastAsia="zh-CN"/>
                    </w:rPr>
                  </w:pPr>
                  <w:r>
                    <w:rPr>
                      <w:rFonts w:hint="eastAsia" w:ascii="Times New Roman" w:hAnsi="Times New Roman" w:cs="Times New Roman"/>
                      <w:b/>
                      <w:bCs/>
                      <w:snapToGrid/>
                      <w:color w:val="auto"/>
                      <w:kern w:val="2"/>
                      <w:szCs w:val="24"/>
                      <w:highlight w:val="none"/>
                      <w:lang w:eastAsia="zh-CN"/>
                    </w:rPr>
                    <w:t>排放形式</w:t>
                  </w:r>
                </w:p>
              </w:tc>
              <w:tc>
                <w:tcPr>
                  <w:tcW w:w="397" w:type="pct"/>
                  <w:tcBorders>
                    <w:tl2br w:val="nil"/>
                    <w:tr2bl w:val="nil"/>
                  </w:tcBorders>
                  <w:noWrap w:val="0"/>
                  <w:vAlign w:val="center"/>
                </w:tcPr>
                <w:p w14:paraId="13C896CE">
                  <w:pPr>
                    <w:pStyle w:val="107"/>
                    <w:widowControl/>
                    <w:ind w:firstLine="0" w:firstLineChars="0"/>
                    <w:jc w:val="center"/>
                    <w:rPr>
                      <w:rFonts w:hint="eastAsia" w:ascii="Times New Roman" w:hAnsi="Times New Roman" w:eastAsia="宋体"/>
                      <w:b/>
                      <w:bCs/>
                      <w:color w:val="auto"/>
                      <w:sz w:val="21"/>
                      <w:szCs w:val="21"/>
                      <w:highlight w:val="none"/>
                    </w:rPr>
                  </w:pPr>
                  <w:r>
                    <w:rPr>
                      <w:rFonts w:hint="eastAsia" w:ascii="Times New Roman" w:hAnsi="Times New Roman" w:eastAsia="宋体"/>
                      <w:b/>
                      <w:bCs/>
                      <w:color w:val="auto"/>
                      <w:sz w:val="21"/>
                      <w:szCs w:val="21"/>
                      <w:highlight w:val="none"/>
                    </w:rPr>
                    <w:t>排放时间</w:t>
                  </w:r>
                </w:p>
                <w:p w14:paraId="69EB4D58">
                  <w:pPr>
                    <w:pStyle w:val="98"/>
                    <w:widowControl w:val="0"/>
                    <w:kinsoku/>
                    <w:autoSpaceDE/>
                    <w:autoSpaceDN/>
                    <w:adjustRightInd/>
                    <w:snapToGrid/>
                    <w:jc w:val="center"/>
                    <w:textAlignment w:val="auto"/>
                    <w:rPr>
                      <w:rFonts w:hint="default" w:ascii="Times New Roman" w:hAnsi="Times New Roman" w:cs="Times New Roman"/>
                      <w:b/>
                      <w:bCs/>
                      <w:snapToGrid/>
                      <w:color w:val="auto"/>
                      <w:kern w:val="2"/>
                      <w:szCs w:val="24"/>
                      <w:highlight w:val="none"/>
                      <w:lang w:val="en-US" w:eastAsia="zh-CN"/>
                    </w:rPr>
                  </w:pPr>
                  <w:r>
                    <w:rPr>
                      <w:rFonts w:hint="eastAsia" w:ascii="Times New Roman" w:hAnsi="Times New Roman" w:eastAsia="宋体"/>
                      <w:b/>
                      <w:bCs/>
                      <w:color w:val="auto"/>
                      <w:sz w:val="21"/>
                      <w:szCs w:val="21"/>
                      <w:highlight w:val="none"/>
                    </w:rPr>
                    <w:t>h</w:t>
                  </w:r>
                </w:p>
              </w:tc>
              <w:tc>
                <w:tcPr>
                  <w:tcW w:w="525" w:type="pct"/>
                  <w:tcBorders>
                    <w:tl2br w:val="nil"/>
                    <w:tr2bl w:val="nil"/>
                  </w:tcBorders>
                  <w:noWrap w:val="0"/>
                  <w:vAlign w:val="center"/>
                </w:tcPr>
                <w:p w14:paraId="7BD7898C">
                  <w:pPr>
                    <w:pStyle w:val="98"/>
                    <w:widowControl w:val="0"/>
                    <w:kinsoku/>
                    <w:autoSpaceDE/>
                    <w:autoSpaceDN/>
                    <w:adjustRightInd/>
                    <w:snapToGrid/>
                    <w:jc w:val="center"/>
                    <w:textAlignment w:val="auto"/>
                    <w:rPr>
                      <w:rFonts w:hint="default" w:ascii="Times New Roman" w:hAnsi="Times New Roman" w:cs="Times New Roman"/>
                      <w:b/>
                      <w:bCs/>
                      <w:snapToGrid/>
                      <w:color w:val="auto"/>
                      <w:kern w:val="2"/>
                      <w:szCs w:val="24"/>
                      <w:highlight w:val="none"/>
                      <w:lang w:val="en-US" w:eastAsia="zh-CN"/>
                    </w:rPr>
                  </w:pPr>
                  <w:r>
                    <w:rPr>
                      <w:rFonts w:hint="eastAsia" w:ascii="Times New Roman" w:hAnsi="Times New Roman" w:cs="Times New Roman"/>
                      <w:b/>
                      <w:bCs/>
                      <w:snapToGrid/>
                      <w:color w:val="auto"/>
                      <w:kern w:val="2"/>
                      <w:szCs w:val="24"/>
                      <w:highlight w:val="none"/>
                      <w:lang w:val="en-US" w:eastAsia="zh-CN"/>
                    </w:rPr>
                    <w:t>风机风量m</w:t>
                  </w:r>
                  <w:r>
                    <w:rPr>
                      <w:rFonts w:hint="eastAsia" w:ascii="Times New Roman" w:hAnsi="Times New Roman" w:cs="Times New Roman"/>
                      <w:b/>
                      <w:bCs/>
                      <w:snapToGrid/>
                      <w:color w:val="auto"/>
                      <w:kern w:val="2"/>
                      <w:szCs w:val="24"/>
                      <w:highlight w:val="none"/>
                      <w:vertAlign w:val="superscript"/>
                      <w:lang w:val="en-US" w:eastAsia="zh-CN"/>
                    </w:rPr>
                    <w:t>3</w:t>
                  </w:r>
                  <w:r>
                    <w:rPr>
                      <w:rFonts w:hint="eastAsia" w:ascii="Times New Roman" w:hAnsi="Times New Roman" w:cs="Times New Roman"/>
                      <w:b/>
                      <w:bCs/>
                      <w:snapToGrid/>
                      <w:color w:val="auto"/>
                      <w:kern w:val="2"/>
                      <w:szCs w:val="24"/>
                      <w:highlight w:val="none"/>
                      <w:lang w:val="en-US" w:eastAsia="zh-CN"/>
                    </w:rPr>
                    <w:t>/h</w:t>
                  </w:r>
                </w:p>
              </w:tc>
              <w:tc>
                <w:tcPr>
                  <w:tcW w:w="430" w:type="pct"/>
                  <w:tcBorders>
                    <w:tl2br w:val="nil"/>
                    <w:tr2bl w:val="nil"/>
                  </w:tcBorders>
                  <w:noWrap w:val="0"/>
                  <w:vAlign w:val="center"/>
                </w:tcPr>
                <w:p w14:paraId="36583F73">
                  <w:pPr>
                    <w:pStyle w:val="98"/>
                    <w:widowControl w:val="0"/>
                    <w:kinsoku/>
                    <w:autoSpaceDE/>
                    <w:autoSpaceDN/>
                    <w:adjustRightInd/>
                    <w:snapToGrid/>
                    <w:jc w:val="center"/>
                    <w:textAlignment w:val="auto"/>
                    <w:rPr>
                      <w:rFonts w:hint="default" w:ascii="Times New Roman" w:hAnsi="Times New Roman" w:cs="Times New Roman"/>
                      <w:b/>
                      <w:bCs/>
                      <w:snapToGrid/>
                      <w:color w:val="auto"/>
                      <w:kern w:val="2"/>
                      <w:szCs w:val="24"/>
                      <w:highlight w:val="none"/>
                      <w:lang w:val="en-US" w:eastAsia="zh-CN"/>
                    </w:rPr>
                  </w:pPr>
                  <w:r>
                    <w:rPr>
                      <w:rFonts w:hint="eastAsia" w:ascii="Times New Roman" w:hAnsi="Times New Roman" w:cs="Times New Roman"/>
                      <w:b/>
                      <w:bCs/>
                      <w:snapToGrid/>
                      <w:color w:val="auto"/>
                      <w:kern w:val="2"/>
                      <w:szCs w:val="24"/>
                      <w:highlight w:val="none"/>
                      <w:lang w:eastAsia="zh-CN"/>
                    </w:rPr>
                    <w:t>产生量 t/a</w:t>
                  </w:r>
                </w:p>
              </w:tc>
              <w:tc>
                <w:tcPr>
                  <w:tcW w:w="447" w:type="pct"/>
                  <w:tcBorders>
                    <w:tl2br w:val="nil"/>
                    <w:tr2bl w:val="nil"/>
                  </w:tcBorders>
                  <w:noWrap w:val="0"/>
                  <w:vAlign w:val="center"/>
                </w:tcPr>
                <w:p w14:paraId="1E9A9B81">
                  <w:pPr>
                    <w:pStyle w:val="98"/>
                    <w:widowControl w:val="0"/>
                    <w:kinsoku/>
                    <w:autoSpaceDE/>
                    <w:autoSpaceDN/>
                    <w:adjustRightInd/>
                    <w:snapToGrid/>
                    <w:jc w:val="center"/>
                    <w:textAlignment w:val="auto"/>
                    <w:rPr>
                      <w:rFonts w:hint="default" w:ascii="Times New Roman" w:hAnsi="Times New Roman" w:cs="Times New Roman"/>
                      <w:b/>
                      <w:bCs/>
                      <w:snapToGrid/>
                      <w:color w:val="auto"/>
                      <w:kern w:val="2"/>
                      <w:szCs w:val="24"/>
                      <w:highlight w:val="none"/>
                      <w:lang w:val="en-US" w:eastAsia="zh-CN"/>
                    </w:rPr>
                  </w:pPr>
                  <w:r>
                    <w:rPr>
                      <w:rFonts w:hint="eastAsia" w:ascii="Times New Roman" w:hAnsi="Times New Roman" w:cs="Times New Roman"/>
                      <w:b/>
                      <w:bCs/>
                      <w:snapToGrid/>
                      <w:color w:val="auto"/>
                      <w:kern w:val="2"/>
                      <w:szCs w:val="24"/>
                      <w:highlight w:val="none"/>
                      <w:lang w:val="en-US" w:eastAsia="zh-CN"/>
                    </w:rPr>
                    <w:t>产生速率</w:t>
                  </w:r>
                  <w:r>
                    <w:rPr>
                      <w:rFonts w:hint="eastAsia" w:ascii="Times New Roman" w:hAnsi="Times New Roman" w:cs="Times New Roman"/>
                      <w:b/>
                      <w:bCs/>
                      <w:snapToGrid/>
                      <w:color w:val="auto"/>
                      <w:kern w:val="2"/>
                      <w:szCs w:val="24"/>
                      <w:highlight w:val="none"/>
                      <w:lang w:eastAsia="zh-CN"/>
                    </w:rPr>
                    <w:t>kg/h</w:t>
                  </w:r>
                </w:p>
              </w:tc>
              <w:tc>
                <w:tcPr>
                  <w:tcW w:w="462" w:type="pct"/>
                  <w:tcBorders>
                    <w:tl2br w:val="nil"/>
                    <w:tr2bl w:val="nil"/>
                  </w:tcBorders>
                  <w:noWrap w:val="0"/>
                  <w:vAlign w:val="center"/>
                </w:tcPr>
                <w:p w14:paraId="005DE9B1">
                  <w:pPr>
                    <w:pStyle w:val="98"/>
                    <w:widowControl w:val="0"/>
                    <w:kinsoku/>
                    <w:autoSpaceDE/>
                    <w:autoSpaceDN/>
                    <w:adjustRightInd/>
                    <w:snapToGrid/>
                    <w:jc w:val="center"/>
                    <w:textAlignment w:val="auto"/>
                    <w:rPr>
                      <w:rFonts w:hint="eastAsia" w:ascii="Times New Roman" w:hAnsi="Times New Roman" w:cs="Times New Roman"/>
                      <w:b/>
                      <w:bCs/>
                      <w:snapToGrid/>
                      <w:color w:val="auto"/>
                      <w:kern w:val="2"/>
                      <w:szCs w:val="24"/>
                      <w:highlight w:val="none"/>
                      <w:lang w:val="en-US" w:eastAsia="zh-CN"/>
                    </w:rPr>
                  </w:pPr>
                  <w:r>
                    <w:rPr>
                      <w:rFonts w:hint="eastAsia" w:ascii="Times New Roman" w:hAnsi="Times New Roman" w:cs="Times New Roman"/>
                      <w:b/>
                      <w:bCs/>
                      <w:snapToGrid/>
                      <w:color w:val="auto"/>
                      <w:kern w:val="2"/>
                      <w:szCs w:val="24"/>
                      <w:highlight w:val="none"/>
                      <w:lang w:val="en-US" w:eastAsia="zh-CN"/>
                    </w:rPr>
                    <w:t>产生浓度</w:t>
                  </w:r>
                </w:p>
                <w:p w14:paraId="64912D93">
                  <w:pPr>
                    <w:pStyle w:val="98"/>
                    <w:widowControl w:val="0"/>
                    <w:kinsoku/>
                    <w:autoSpaceDE/>
                    <w:autoSpaceDN/>
                    <w:adjustRightInd/>
                    <w:snapToGrid/>
                    <w:jc w:val="center"/>
                    <w:textAlignment w:val="auto"/>
                    <w:rPr>
                      <w:rFonts w:hint="default" w:ascii="Times New Roman" w:hAnsi="Times New Roman" w:cs="Times New Roman"/>
                      <w:b/>
                      <w:bCs/>
                      <w:snapToGrid/>
                      <w:color w:val="auto"/>
                      <w:kern w:val="2"/>
                      <w:szCs w:val="24"/>
                      <w:highlight w:val="none"/>
                      <w:lang w:val="en-US" w:eastAsia="zh-CN"/>
                    </w:rPr>
                  </w:pPr>
                  <w:r>
                    <w:rPr>
                      <w:rFonts w:hint="eastAsia" w:ascii="Times New Roman" w:hAnsi="Times New Roman" w:cs="Times New Roman"/>
                      <w:b/>
                      <w:bCs/>
                      <w:snapToGrid/>
                      <w:color w:val="auto"/>
                      <w:kern w:val="2"/>
                      <w:szCs w:val="24"/>
                      <w:highlight w:val="none"/>
                      <w:lang w:eastAsia="zh-CN"/>
                    </w:rPr>
                    <w:t>mg/ m</w:t>
                  </w:r>
                  <w:r>
                    <w:rPr>
                      <w:rFonts w:hint="eastAsia" w:ascii="Times New Roman" w:hAnsi="Times New Roman" w:cs="Times New Roman"/>
                      <w:b/>
                      <w:bCs/>
                      <w:snapToGrid/>
                      <w:color w:val="auto"/>
                      <w:kern w:val="2"/>
                      <w:szCs w:val="24"/>
                      <w:highlight w:val="none"/>
                      <w:vertAlign w:val="superscript"/>
                      <w:lang w:eastAsia="zh-CN"/>
                    </w:rPr>
                    <w:t>3</w:t>
                  </w:r>
                </w:p>
              </w:tc>
              <w:tc>
                <w:tcPr>
                  <w:tcW w:w="506" w:type="pct"/>
                  <w:tcBorders>
                    <w:tl2br w:val="nil"/>
                    <w:tr2bl w:val="nil"/>
                  </w:tcBorders>
                  <w:noWrap w:val="0"/>
                  <w:vAlign w:val="center"/>
                </w:tcPr>
                <w:p w14:paraId="13494BF2">
                  <w:pPr>
                    <w:pStyle w:val="98"/>
                    <w:widowControl w:val="0"/>
                    <w:kinsoku/>
                    <w:autoSpaceDE/>
                    <w:autoSpaceDN/>
                    <w:adjustRightInd/>
                    <w:snapToGrid/>
                    <w:jc w:val="center"/>
                    <w:textAlignment w:val="auto"/>
                    <w:rPr>
                      <w:rFonts w:hint="eastAsia" w:ascii="Times New Roman" w:hAnsi="Times New Roman" w:cs="Times New Roman"/>
                      <w:b/>
                      <w:bCs/>
                      <w:snapToGrid/>
                      <w:color w:val="auto"/>
                      <w:kern w:val="2"/>
                      <w:szCs w:val="24"/>
                      <w:highlight w:val="none"/>
                      <w:lang w:eastAsia="zh-CN"/>
                    </w:rPr>
                  </w:pPr>
                  <w:r>
                    <w:rPr>
                      <w:rFonts w:hint="eastAsia" w:ascii="Times New Roman" w:hAnsi="Times New Roman" w:cs="Times New Roman"/>
                      <w:b/>
                      <w:bCs/>
                      <w:snapToGrid/>
                      <w:color w:val="auto"/>
                      <w:kern w:val="2"/>
                      <w:szCs w:val="24"/>
                      <w:highlight w:val="none"/>
                      <w:lang w:eastAsia="zh-CN"/>
                    </w:rPr>
                    <w:t>治理措施及处理效率</w:t>
                  </w:r>
                </w:p>
              </w:tc>
              <w:tc>
                <w:tcPr>
                  <w:tcW w:w="419" w:type="pct"/>
                  <w:tcBorders>
                    <w:tl2br w:val="nil"/>
                    <w:tr2bl w:val="nil"/>
                  </w:tcBorders>
                  <w:noWrap w:val="0"/>
                  <w:vAlign w:val="center"/>
                </w:tcPr>
                <w:p w14:paraId="4096B7E3">
                  <w:pPr>
                    <w:pStyle w:val="98"/>
                    <w:widowControl w:val="0"/>
                    <w:kinsoku/>
                    <w:autoSpaceDE/>
                    <w:autoSpaceDN/>
                    <w:adjustRightInd/>
                    <w:snapToGrid/>
                    <w:jc w:val="center"/>
                    <w:textAlignment w:val="auto"/>
                    <w:rPr>
                      <w:rFonts w:hint="eastAsia" w:ascii="Times New Roman" w:hAnsi="Times New Roman" w:cs="Times New Roman"/>
                      <w:b/>
                      <w:bCs/>
                      <w:snapToGrid/>
                      <w:color w:val="auto"/>
                      <w:kern w:val="2"/>
                      <w:szCs w:val="24"/>
                      <w:highlight w:val="none"/>
                      <w:lang w:eastAsia="zh-CN"/>
                    </w:rPr>
                  </w:pPr>
                  <w:r>
                    <w:rPr>
                      <w:rFonts w:hint="eastAsia" w:ascii="Times New Roman" w:hAnsi="Times New Roman" w:cs="Times New Roman"/>
                      <w:b/>
                      <w:bCs/>
                      <w:snapToGrid/>
                      <w:color w:val="auto"/>
                      <w:kern w:val="2"/>
                      <w:szCs w:val="24"/>
                      <w:highlight w:val="none"/>
                      <w:lang w:eastAsia="zh-CN"/>
                    </w:rPr>
                    <w:t>排放量t/a</w:t>
                  </w:r>
                </w:p>
              </w:tc>
              <w:tc>
                <w:tcPr>
                  <w:tcW w:w="446" w:type="pct"/>
                  <w:tcBorders>
                    <w:tl2br w:val="nil"/>
                    <w:tr2bl w:val="nil"/>
                  </w:tcBorders>
                  <w:noWrap w:val="0"/>
                  <w:vAlign w:val="center"/>
                </w:tcPr>
                <w:p w14:paraId="1FA7E832">
                  <w:pPr>
                    <w:pStyle w:val="98"/>
                    <w:widowControl w:val="0"/>
                    <w:kinsoku/>
                    <w:autoSpaceDE/>
                    <w:autoSpaceDN/>
                    <w:adjustRightInd/>
                    <w:snapToGrid/>
                    <w:jc w:val="center"/>
                    <w:textAlignment w:val="auto"/>
                    <w:rPr>
                      <w:rFonts w:hint="eastAsia" w:ascii="Times New Roman" w:hAnsi="Times New Roman" w:cs="Times New Roman"/>
                      <w:b/>
                      <w:bCs/>
                      <w:snapToGrid/>
                      <w:color w:val="auto"/>
                      <w:kern w:val="2"/>
                      <w:szCs w:val="24"/>
                      <w:highlight w:val="none"/>
                      <w:lang w:eastAsia="zh-CN"/>
                    </w:rPr>
                  </w:pPr>
                  <w:r>
                    <w:rPr>
                      <w:rFonts w:hint="eastAsia" w:ascii="Times New Roman" w:hAnsi="Times New Roman" w:cs="Times New Roman"/>
                      <w:b/>
                      <w:bCs/>
                      <w:snapToGrid/>
                      <w:color w:val="auto"/>
                      <w:kern w:val="2"/>
                      <w:szCs w:val="24"/>
                      <w:highlight w:val="none"/>
                      <w:lang w:eastAsia="zh-CN"/>
                    </w:rPr>
                    <w:t>排放速率kg/h</w:t>
                  </w:r>
                </w:p>
              </w:tc>
              <w:tc>
                <w:tcPr>
                  <w:tcW w:w="462" w:type="pct"/>
                  <w:tcBorders>
                    <w:tl2br w:val="nil"/>
                    <w:tr2bl w:val="nil"/>
                  </w:tcBorders>
                  <w:noWrap w:val="0"/>
                  <w:vAlign w:val="center"/>
                </w:tcPr>
                <w:p w14:paraId="0134D562">
                  <w:pPr>
                    <w:pStyle w:val="98"/>
                    <w:widowControl w:val="0"/>
                    <w:kinsoku/>
                    <w:autoSpaceDE/>
                    <w:autoSpaceDN/>
                    <w:adjustRightInd/>
                    <w:snapToGrid/>
                    <w:jc w:val="center"/>
                    <w:textAlignment w:val="auto"/>
                    <w:rPr>
                      <w:rFonts w:hint="eastAsia" w:ascii="Times New Roman" w:hAnsi="Times New Roman" w:cs="Times New Roman"/>
                      <w:b/>
                      <w:bCs/>
                      <w:snapToGrid/>
                      <w:color w:val="auto"/>
                      <w:kern w:val="2"/>
                      <w:szCs w:val="24"/>
                      <w:highlight w:val="none"/>
                      <w:lang w:eastAsia="zh-CN"/>
                    </w:rPr>
                  </w:pPr>
                  <w:r>
                    <w:rPr>
                      <w:rFonts w:hint="eastAsia" w:ascii="Times New Roman" w:hAnsi="Times New Roman" w:cs="Times New Roman"/>
                      <w:b/>
                      <w:bCs/>
                      <w:snapToGrid/>
                      <w:color w:val="auto"/>
                      <w:kern w:val="2"/>
                      <w:szCs w:val="24"/>
                      <w:highlight w:val="none"/>
                      <w:lang w:eastAsia="zh-CN"/>
                    </w:rPr>
                    <w:t>排放浓度</w:t>
                  </w:r>
                </w:p>
                <w:p w14:paraId="2FEC0EBD">
                  <w:pPr>
                    <w:pStyle w:val="98"/>
                    <w:widowControl w:val="0"/>
                    <w:kinsoku/>
                    <w:autoSpaceDE/>
                    <w:autoSpaceDN/>
                    <w:adjustRightInd/>
                    <w:snapToGrid/>
                    <w:jc w:val="center"/>
                    <w:textAlignment w:val="auto"/>
                    <w:rPr>
                      <w:rFonts w:hint="eastAsia" w:ascii="Times New Roman" w:hAnsi="Times New Roman" w:cs="Times New Roman"/>
                      <w:b/>
                      <w:bCs/>
                      <w:snapToGrid/>
                      <w:color w:val="auto"/>
                      <w:kern w:val="2"/>
                      <w:szCs w:val="24"/>
                      <w:highlight w:val="none"/>
                      <w:lang w:eastAsia="zh-CN"/>
                    </w:rPr>
                  </w:pPr>
                  <w:r>
                    <w:rPr>
                      <w:rFonts w:hint="eastAsia" w:ascii="Times New Roman" w:hAnsi="Times New Roman" w:cs="Times New Roman"/>
                      <w:b/>
                      <w:bCs/>
                      <w:snapToGrid/>
                      <w:color w:val="auto"/>
                      <w:kern w:val="2"/>
                      <w:szCs w:val="24"/>
                      <w:highlight w:val="none"/>
                      <w:lang w:eastAsia="zh-CN"/>
                    </w:rPr>
                    <w:t>mg/ m</w:t>
                  </w:r>
                  <w:r>
                    <w:rPr>
                      <w:rFonts w:hint="eastAsia" w:ascii="Times New Roman" w:hAnsi="Times New Roman" w:cs="Times New Roman"/>
                      <w:b/>
                      <w:bCs/>
                      <w:snapToGrid/>
                      <w:color w:val="auto"/>
                      <w:kern w:val="2"/>
                      <w:szCs w:val="24"/>
                      <w:highlight w:val="none"/>
                      <w:vertAlign w:val="superscript"/>
                      <w:lang w:eastAsia="zh-CN"/>
                    </w:rPr>
                    <w:t>3</w:t>
                  </w:r>
                </w:p>
              </w:tc>
            </w:tr>
            <w:tr w14:paraId="54ED54F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492" w:type="pct"/>
                  <w:tcBorders>
                    <w:tl2br w:val="nil"/>
                    <w:tr2bl w:val="nil"/>
                  </w:tcBorders>
                  <w:noWrap w:val="0"/>
                  <w:vAlign w:val="center"/>
                </w:tcPr>
                <w:p w14:paraId="554EDB73">
                  <w:pPr>
                    <w:pStyle w:val="98"/>
                    <w:widowControl w:val="0"/>
                    <w:kinsoku/>
                    <w:autoSpaceDE/>
                    <w:autoSpaceDN/>
                    <w:adjustRightInd/>
                    <w:snapToGrid/>
                    <w:jc w:val="center"/>
                    <w:textAlignment w:val="auto"/>
                    <w:rPr>
                      <w:rFonts w:hint="eastAsia" w:ascii="Times New Roman" w:hAnsi="Times New Roman" w:eastAsia="宋体" w:cs="Times New Roman"/>
                      <w:snapToGrid/>
                      <w:color w:val="auto"/>
                      <w:kern w:val="2"/>
                      <w:szCs w:val="24"/>
                      <w:highlight w:val="none"/>
                      <w:lang w:eastAsia="zh-CN"/>
                    </w:rPr>
                  </w:pPr>
                  <w:r>
                    <w:rPr>
                      <w:rFonts w:hint="eastAsia" w:ascii="Times New Roman" w:hAnsi="Times New Roman" w:eastAsia="宋体" w:cs="Times New Roman"/>
                      <w:snapToGrid/>
                      <w:color w:val="auto"/>
                      <w:kern w:val="2"/>
                      <w:szCs w:val="24"/>
                      <w:highlight w:val="none"/>
                      <w:lang w:val="en-US" w:eastAsia="zh-CN"/>
                    </w:rPr>
                    <w:t>沥青烟</w:t>
                  </w:r>
                </w:p>
              </w:tc>
              <w:tc>
                <w:tcPr>
                  <w:tcW w:w="407" w:type="pct"/>
                  <w:vMerge w:val="restart"/>
                  <w:tcBorders>
                    <w:tl2br w:val="nil"/>
                    <w:tr2bl w:val="nil"/>
                  </w:tcBorders>
                  <w:noWrap w:val="0"/>
                  <w:vAlign w:val="center"/>
                </w:tcPr>
                <w:p w14:paraId="06296EC3">
                  <w:pPr>
                    <w:pStyle w:val="98"/>
                    <w:widowControl w:val="0"/>
                    <w:kinsoku/>
                    <w:autoSpaceDE/>
                    <w:autoSpaceDN/>
                    <w:adjustRightInd/>
                    <w:snapToGrid/>
                    <w:jc w:val="center"/>
                    <w:textAlignment w:val="auto"/>
                    <w:rPr>
                      <w:rFonts w:hint="eastAsia" w:ascii="Times New Roman" w:hAnsi="Times New Roman" w:cs="Times New Roman"/>
                      <w:snapToGrid/>
                      <w:color w:val="auto"/>
                      <w:kern w:val="2"/>
                      <w:szCs w:val="24"/>
                      <w:highlight w:val="none"/>
                      <w:lang w:eastAsia="zh-CN"/>
                    </w:rPr>
                  </w:pPr>
                  <w:r>
                    <w:rPr>
                      <w:rFonts w:hint="eastAsia" w:ascii="Times New Roman" w:hAnsi="Times New Roman" w:cs="Times New Roman"/>
                      <w:snapToGrid/>
                      <w:color w:val="auto"/>
                      <w:kern w:val="2"/>
                      <w:szCs w:val="24"/>
                      <w:highlight w:val="none"/>
                      <w:lang w:eastAsia="zh-CN"/>
                    </w:rPr>
                    <w:t>有组织</w:t>
                  </w:r>
                </w:p>
              </w:tc>
              <w:tc>
                <w:tcPr>
                  <w:tcW w:w="397" w:type="pct"/>
                  <w:vMerge w:val="restart"/>
                  <w:tcBorders>
                    <w:tl2br w:val="nil"/>
                    <w:tr2bl w:val="nil"/>
                  </w:tcBorders>
                  <w:noWrap w:val="0"/>
                  <w:vAlign w:val="center"/>
                </w:tcPr>
                <w:p w14:paraId="32C087FE">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3840</w:t>
                  </w:r>
                </w:p>
              </w:tc>
              <w:tc>
                <w:tcPr>
                  <w:tcW w:w="525" w:type="pct"/>
                  <w:vMerge w:val="restart"/>
                  <w:tcBorders>
                    <w:tl2br w:val="nil"/>
                    <w:tr2bl w:val="nil"/>
                  </w:tcBorders>
                  <w:noWrap w:val="0"/>
                  <w:vAlign w:val="center"/>
                </w:tcPr>
                <w:p w14:paraId="09E9BD19">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8000</w:t>
                  </w:r>
                </w:p>
              </w:tc>
              <w:tc>
                <w:tcPr>
                  <w:tcW w:w="430" w:type="pct"/>
                  <w:tcBorders>
                    <w:tl2br w:val="nil"/>
                    <w:tr2bl w:val="nil"/>
                  </w:tcBorders>
                  <w:noWrap w:val="0"/>
                  <w:vAlign w:val="center"/>
                </w:tcPr>
                <w:p w14:paraId="67CC99E1">
                  <w:pPr>
                    <w:pStyle w:val="98"/>
                    <w:widowControl w:val="0"/>
                    <w:kinsoku/>
                    <w:autoSpaceDE/>
                    <w:autoSpaceDN/>
                    <w:adjustRightInd/>
                    <w:snapToGrid/>
                    <w:ind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w:t>
                  </w:r>
                  <w:r>
                    <w:rPr>
                      <w:rFonts w:hint="eastAsia" w:ascii="Times New Roman" w:hAnsi="Times New Roman" w:eastAsia="宋体" w:cs="Times New Roman"/>
                      <w:color w:val="auto"/>
                      <w:highlight w:val="none"/>
                      <w:lang w:val="en-US" w:eastAsia="zh-CN"/>
                    </w:rPr>
                    <w:t>3386</w:t>
                  </w:r>
                </w:p>
              </w:tc>
              <w:tc>
                <w:tcPr>
                  <w:tcW w:w="447" w:type="pct"/>
                  <w:tcBorders>
                    <w:tl2br w:val="nil"/>
                    <w:tr2bl w:val="nil"/>
                  </w:tcBorders>
                  <w:noWrap w:val="0"/>
                  <w:vAlign w:val="center"/>
                </w:tcPr>
                <w:p w14:paraId="1E208268">
                  <w:pPr>
                    <w:pStyle w:val="98"/>
                    <w:widowControl w:val="0"/>
                    <w:kinsoku/>
                    <w:autoSpaceDE/>
                    <w:autoSpaceDN/>
                    <w:adjustRightInd/>
                    <w:snapToGrid/>
                    <w:ind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0.088</w:t>
                  </w:r>
                </w:p>
              </w:tc>
              <w:tc>
                <w:tcPr>
                  <w:tcW w:w="462" w:type="pct"/>
                  <w:tcBorders>
                    <w:tl2br w:val="nil"/>
                    <w:tr2bl w:val="nil"/>
                  </w:tcBorders>
                  <w:noWrap w:val="0"/>
                  <w:vAlign w:val="center"/>
                </w:tcPr>
                <w:p w14:paraId="0FB1DA19">
                  <w:pPr>
                    <w:pStyle w:val="98"/>
                    <w:widowControl w:val="0"/>
                    <w:kinsoku/>
                    <w:autoSpaceDE/>
                    <w:autoSpaceDN/>
                    <w:adjustRightInd/>
                    <w:snapToGrid/>
                    <w:ind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11</w:t>
                  </w:r>
                </w:p>
              </w:tc>
              <w:tc>
                <w:tcPr>
                  <w:tcW w:w="506" w:type="pct"/>
                  <w:vMerge w:val="restart"/>
                  <w:tcBorders>
                    <w:tl2br w:val="nil"/>
                    <w:tr2bl w:val="nil"/>
                  </w:tcBorders>
                  <w:noWrap w:val="0"/>
                  <w:vAlign w:val="center"/>
                </w:tcPr>
                <w:p w14:paraId="69CF31B3">
                  <w:pPr>
                    <w:pStyle w:val="98"/>
                    <w:widowControl w:val="0"/>
                    <w:kinsoku/>
                    <w:autoSpaceDE/>
                    <w:autoSpaceDN/>
                    <w:adjustRightInd/>
                    <w:snapToGrid/>
                    <w:jc w:val="center"/>
                    <w:textAlignment w:val="auto"/>
                    <w:rPr>
                      <w:rFonts w:hint="default" w:ascii="Times New Roman" w:hAnsi="Times New Roman" w:eastAsia="宋体" w:cs="Times New Roman"/>
                      <w:snapToGrid/>
                      <w:color w:val="auto"/>
                      <w:kern w:val="2"/>
                      <w:szCs w:val="24"/>
                      <w:highlight w:val="none"/>
                      <w:lang w:val="en-US" w:eastAsia="zh-CN"/>
                    </w:rPr>
                  </w:pPr>
                  <w:r>
                    <w:rPr>
                      <w:rFonts w:hint="eastAsia" w:ascii="Times New Roman" w:hAnsi="Times New Roman" w:eastAsia="宋体" w:cs="Times New Roman"/>
                      <w:snapToGrid/>
                      <w:color w:val="auto"/>
                      <w:kern w:val="2"/>
                      <w:szCs w:val="24"/>
                      <w:highlight w:val="none"/>
                      <w:lang w:val="en-US" w:eastAsia="zh-CN"/>
                    </w:rPr>
                    <w:t>喷淋塔+除雾器+活性炭吸附装置（80%）</w:t>
                  </w:r>
                </w:p>
              </w:tc>
              <w:tc>
                <w:tcPr>
                  <w:tcW w:w="419" w:type="pct"/>
                  <w:tcBorders>
                    <w:tl2br w:val="nil"/>
                    <w:tr2bl w:val="nil"/>
                  </w:tcBorders>
                  <w:noWrap w:val="0"/>
                  <w:vAlign w:val="center"/>
                </w:tcPr>
                <w:p w14:paraId="4A8BFE15">
                  <w:pPr>
                    <w:pStyle w:val="98"/>
                    <w:widowControl w:val="0"/>
                    <w:kinsoku/>
                    <w:autoSpaceDE/>
                    <w:autoSpaceDN/>
                    <w:adjustRightInd/>
                    <w:snapToGrid/>
                    <w:ind w:firstLine="0" w:firstLineChars="0"/>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0.068</w:t>
                  </w:r>
                </w:p>
              </w:tc>
              <w:tc>
                <w:tcPr>
                  <w:tcW w:w="446" w:type="pct"/>
                  <w:tcBorders>
                    <w:tl2br w:val="nil"/>
                    <w:tr2bl w:val="nil"/>
                  </w:tcBorders>
                  <w:noWrap w:val="0"/>
                  <w:vAlign w:val="center"/>
                </w:tcPr>
                <w:p w14:paraId="57C70D42">
                  <w:pPr>
                    <w:pStyle w:val="98"/>
                    <w:widowControl w:val="0"/>
                    <w:kinsoku/>
                    <w:autoSpaceDE/>
                    <w:autoSpaceDN/>
                    <w:adjustRightInd/>
                    <w:snapToGrid/>
                    <w:ind w:firstLine="0" w:firstLineChars="0"/>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0.018</w:t>
                  </w:r>
                </w:p>
              </w:tc>
              <w:tc>
                <w:tcPr>
                  <w:tcW w:w="462" w:type="pct"/>
                  <w:tcBorders>
                    <w:tl2br w:val="nil"/>
                    <w:tr2bl w:val="nil"/>
                  </w:tcBorders>
                  <w:noWrap w:val="0"/>
                  <w:vAlign w:val="center"/>
                </w:tcPr>
                <w:p w14:paraId="522FD51F">
                  <w:pPr>
                    <w:pStyle w:val="98"/>
                    <w:widowControl w:val="0"/>
                    <w:kinsoku/>
                    <w:autoSpaceDE/>
                    <w:autoSpaceDN/>
                    <w:adjustRightInd/>
                    <w:snapToGrid/>
                    <w:ind w:firstLine="0" w:firstLineChars="0"/>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2.25</w:t>
                  </w:r>
                </w:p>
              </w:tc>
            </w:tr>
            <w:tr w14:paraId="723F312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08" w:hRule="atLeast"/>
                <w:jc w:val="center"/>
              </w:trPr>
              <w:tc>
                <w:tcPr>
                  <w:tcW w:w="492" w:type="pct"/>
                  <w:tcBorders>
                    <w:tl2br w:val="nil"/>
                    <w:tr2bl w:val="nil"/>
                  </w:tcBorders>
                  <w:noWrap w:val="0"/>
                  <w:vAlign w:val="center"/>
                </w:tcPr>
                <w:p w14:paraId="61A554BB">
                  <w:pPr>
                    <w:pStyle w:val="98"/>
                    <w:widowControl w:val="0"/>
                    <w:kinsoku/>
                    <w:autoSpaceDE/>
                    <w:autoSpaceDN/>
                    <w:adjustRightInd/>
                    <w:snapToGrid/>
                    <w:jc w:val="center"/>
                    <w:textAlignment w:val="auto"/>
                    <w:rPr>
                      <w:rFonts w:hint="eastAsia" w:ascii="Times New Roman" w:hAnsi="Times New Roman" w:eastAsia="宋体" w:cs="Times New Roman"/>
                      <w:snapToGrid/>
                      <w:color w:val="auto"/>
                      <w:kern w:val="2"/>
                      <w:szCs w:val="24"/>
                      <w:highlight w:val="none"/>
                      <w:lang w:eastAsia="zh-CN"/>
                    </w:rPr>
                  </w:pPr>
                  <w:r>
                    <w:rPr>
                      <w:rFonts w:hint="eastAsia" w:ascii="Times New Roman" w:hAnsi="Times New Roman" w:eastAsia="宋体" w:cs="Times New Roman"/>
                      <w:color w:val="auto"/>
                      <w:highlight w:val="none"/>
                      <w:lang w:val="en-US" w:eastAsia="zh-CN"/>
                    </w:rPr>
                    <w:t>苯并[a]芘</w:t>
                  </w:r>
                </w:p>
              </w:tc>
              <w:tc>
                <w:tcPr>
                  <w:tcW w:w="407" w:type="pct"/>
                  <w:vMerge w:val="continue"/>
                  <w:tcBorders>
                    <w:tl2br w:val="nil"/>
                    <w:tr2bl w:val="nil"/>
                  </w:tcBorders>
                  <w:noWrap w:val="0"/>
                  <w:vAlign w:val="center"/>
                </w:tcPr>
                <w:p w14:paraId="78E94887">
                  <w:pPr>
                    <w:pStyle w:val="98"/>
                    <w:widowControl w:val="0"/>
                    <w:kinsoku/>
                    <w:autoSpaceDE/>
                    <w:autoSpaceDN/>
                    <w:adjustRightInd/>
                    <w:snapToGrid/>
                    <w:jc w:val="center"/>
                    <w:textAlignment w:val="auto"/>
                    <w:rPr>
                      <w:rFonts w:hint="eastAsia" w:ascii="Times New Roman" w:hAnsi="Times New Roman" w:cs="Times New Roman"/>
                      <w:snapToGrid/>
                      <w:color w:val="auto"/>
                      <w:kern w:val="2"/>
                      <w:szCs w:val="24"/>
                      <w:highlight w:val="none"/>
                      <w:lang w:eastAsia="zh-CN"/>
                    </w:rPr>
                  </w:pPr>
                </w:p>
              </w:tc>
              <w:tc>
                <w:tcPr>
                  <w:tcW w:w="397" w:type="pct"/>
                  <w:vMerge w:val="continue"/>
                  <w:tcBorders>
                    <w:tl2br w:val="nil"/>
                    <w:tr2bl w:val="nil"/>
                  </w:tcBorders>
                  <w:noWrap w:val="0"/>
                  <w:vAlign w:val="center"/>
                </w:tcPr>
                <w:p w14:paraId="45E48902">
                  <w:pPr>
                    <w:pStyle w:val="98"/>
                    <w:widowControl w:val="0"/>
                    <w:kinsoku/>
                    <w:autoSpaceDE/>
                    <w:autoSpaceDN/>
                    <w:adjustRightInd/>
                    <w:snapToGrid/>
                    <w:jc w:val="center"/>
                    <w:textAlignment w:val="auto"/>
                    <w:rPr>
                      <w:rFonts w:hint="eastAsia" w:ascii="Times New Roman" w:hAnsi="Times New Roman" w:cs="Times New Roman"/>
                      <w:snapToGrid/>
                      <w:color w:val="auto"/>
                      <w:kern w:val="2"/>
                      <w:szCs w:val="24"/>
                      <w:highlight w:val="none"/>
                      <w:lang w:eastAsia="zh-CN"/>
                    </w:rPr>
                  </w:pPr>
                </w:p>
              </w:tc>
              <w:tc>
                <w:tcPr>
                  <w:tcW w:w="525" w:type="pct"/>
                  <w:vMerge w:val="continue"/>
                  <w:tcBorders>
                    <w:tl2br w:val="nil"/>
                    <w:tr2bl w:val="nil"/>
                  </w:tcBorders>
                  <w:noWrap w:val="0"/>
                  <w:vAlign w:val="center"/>
                </w:tcPr>
                <w:p w14:paraId="69B7A993">
                  <w:pPr>
                    <w:pStyle w:val="98"/>
                    <w:widowControl w:val="0"/>
                    <w:kinsoku/>
                    <w:autoSpaceDE/>
                    <w:autoSpaceDN/>
                    <w:adjustRightInd/>
                    <w:snapToGrid/>
                    <w:jc w:val="center"/>
                    <w:textAlignment w:val="auto"/>
                    <w:rPr>
                      <w:rFonts w:hint="eastAsia" w:ascii="Times New Roman" w:hAnsi="Times New Roman" w:cs="Times New Roman"/>
                      <w:snapToGrid/>
                      <w:color w:val="auto"/>
                      <w:kern w:val="2"/>
                      <w:szCs w:val="24"/>
                      <w:highlight w:val="none"/>
                      <w:lang w:eastAsia="zh-CN"/>
                    </w:rPr>
                  </w:pPr>
                </w:p>
              </w:tc>
              <w:tc>
                <w:tcPr>
                  <w:tcW w:w="430" w:type="pct"/>
                  <w:tcBorders>
                    <w:tl2br w:val="nil"/>
                    <w:tr2bl w:val="nil"/>
                  </w:tcBorders>
                  <w:noWrap w:val="0"/>
                  <w:vAlign w:val="center"/>
                </w:tcPr>
                <w:p w14:paraId="42A2D4B7">
                  <w:pPr>
                    <w:pStyle w:val="98"/>
                    <w:widowControl w:val="0"/>
                    <w:kinsoku/>
                    <w:autoSpaceDE/>
                    <w:autoSpaceDN/>
                    <w:adjustRightInd/>
                    <w:snapToGrid/>
                    <w:ind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0.000</w:t>
                  </w:r>
                  <w:r>
                    <w:rPr>
                      <w:rFonts w:hint="eastAsia" w:ascii="Times New Roman" w:hAnsi="Times New Roman" w:eastAsia="宋体" w:cs="Times New Roman"/>
                      <w:color w:val="auto"/>
                      <w:highlight w:val="none"/>
                      <w:lang w:val="en-US" w:eastAsia="zh-CN"/>
                    </w:rPr>
                    <w:t>45</w:t>
                  </w:r>
                </w:p>
              </w:tc>
              <w:tc>
                <w:tcPr>
                  <w:tcW w:w="447" w:type="pct"/>
                  <w:tcBorders>
                    <w:tl2br w:val="nil"/>
                    <w:tr2bl w:val="nil"/>
                  </w:tcBorders>
                  <w:noWrap w:val="0"/>
                  <w:vAlign w:val="center"/>
                </w:tcPr>
                <w:p w14:paraId="0BB3C96F">
                  <w:pPr>
                    <w:pStyle w:val="98"/>
                    <w:widowControl w:val="0"/>
                    <w:kinsoku/>
                    <w:autoSpaceDE/>
                    <w:autoSpaceDN/>
                    <w:adjustRightInd/>
                    <w:snapToGrid/>
                    <w:ind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0.0001</w:t>
                  </w:r>
                </w:p>
              </w:tc>
              <w:tc>
                <w:tcPr>
                  <w:tcW w:w="462" w:type="pct"/>
                  <w:tcBorders>
                    <w:tl2br w:val="nil"/>
                    <w:tr2bl w:val="nil"/>
                  </w:tcBorders>
                  <w:noWrap w:val="0"/>
                  <w:vAlign w:val="center"/>
                </w:tcPr>
                <w:p w14:paraId="28BA241F">
                  <w:pPr>
                    <w:pStyle w:val="98"/>
                    <w:widowControl w:val="0"/>
                    <w:kinsoku/>
                    <w:autoSpaceDE/>
                    <w:autoSpaceDN/>
                    <w:adjustRightInd/>
                    <w:snapToGrid/>
                    <w:ind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0.0125</w:t>
                  </w:r>
                </w:p>
              </w:tc>
              <w:tc>
                <w:tcPr>
                  <w:tcW w:w="506" w:type="pct"/>
                  <w:vMerge w:val="continue"/>
                  <w:tcBorders>
                    <w:tl2br w:val="nil"/>
                    <w:tr2bl w:val="nil"/>
                  </w:tcBorders>
                  <w:noWrap w:val="0"/>
                  <w:vAlign w:val="center"/>
                </w:tcPr>
                <w:p w14:paraId="589E4E1C">
                  <w:pPr>
                    <w:pStyle w:val="98"/>
                    <w:widowControl w:val="0"/>
                    <w:kinsoku/>
                    <w:autoSpaceDE/>
                    <w:autoSpaceDN/>
                    <w:adjustRightInd/>
                    <w:snapToGrid/>
                    <w:jc w:val="center"/>
                    <w:textAlignment w:val="auto"/>
                    <w:rPr>
                      <w:rFonts w:hint="default" w:ascii="Times New Roman" w:hAnsi="Times New Roman" w:eastAsia="宋体" w:cs="Times New Roman"/>
                      <w:snapToGrid/>
                      <w:color w:val="auto"/>
                      <w:kern w:val="2"/>
                      <w:szCs w:val="24"/>
                      <w:highlight w:val="none"/>
                      <w:lang w:val="en-US" w:eastAsia="zh-CN"/>
                    </w:rPr>
                  </w:pPr>
                </w:p>
              </w:tc>
              <w:tc>
                <w:tcPr>
                  <w:tcW w:w="419" w:type="pct"/>
                  <w:tcBorders>
                    <w:tl2br w:val="nil"/>
                    <w:tr2bl w:val="nil"/>
                  </w:tcBorders>
                  <w:noWrap w:val="0"/>
                  <w:vAlign w:val="center"/>
                </w:tcPr>
                <w:p w14:paraId="26C9282D">
                  <w:pPr>
                    <w:pStyle w:val="98"/>
                    <w:widowControl w:val="0"/>
                    <w:kinsoku/>
                    <w:autoSpaceDE/>
                    <w:autoSpaceDN/>
                    <w:adjustRightInd/>
                    <w:snapToGrid/>
                    <w:ind w:firstLine="0" w:firstLineChars="0"/>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0.0001</w:t>
                  </w:r>
                </w:p>
              </w:tc>
              <w:tc>
                <w:tcPr>
                  <w:tcW w:w="446" w:type="pct"/>
                  <w:tcBorders>
                    <w:tl2br w:val="nil"/>
                    <w:tr2bl w:val="nil"/>
                  </w:tcBorders>
                  <w:noWrap w:val="0"/>
                  <w:vAlign w:val="center"/>
                </w:tcPr>
                <w:p w14:paraId="7C02D20B">
                  <w:pPr>
                    <w:pStyle w:val="98"/>
                    <w:widowControl w:val="0"/>
                    <w:kinsoku/>
                    <w:autoSpaceDE/>
                    <w:autoSpaceDN/>
                    <w:adjustRightInd/>
                    <w:snapToGrid/>
                    <w:ind w:firstLine="0" w:firstLineChars="0"/>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0.00003</w:t>
                  </w:r>
                </w:p>
              </w:tc>
              <w:tc>
                <w:tcPr>
                  <w:tcW w:w="462" w:type="pct"/>
                  <w:tcBorders>
                    <w:tl2br w:val="nil"/>
                    <w:tr2bl w:val="nil"/>
                  </w:tcBorders>
                  <w:noWrap w:val="0"/>
                  <w:vAlign w:val="center"/>
                </w:tcPr>
                <w:p w14:paraId="6529F303">
                  <w:pPr>
                    <w:pStyle w:val="98"/>
                    <w:widowControl w:val="0"/>
                    <w:kinsoku/>
                    <w:autoSpaceDE/>
                    <w:autoSpaceDN/>
                    <w:adjustRightInd/>
                    <w:snapToGrid/>
                    <w:ind w:firstLine="0" w:firstLineChars="0"/>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0.004</w:t>
                  </w:r>
                </w:p>
              </w:tc>
            </w:tr>
            <w:tr w14:paraId="594D3CE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08" w:hRule="atLeast"/>
                <w:jc w:val="center"/>
              </w:trPr>
              <w:tc>
                <w:tcPr>
                  <w:tcW w:w="492" w:type="pct"/>
                  <w:tcBorders>
                    <w:tl2br w:val="nil"/>
                    <w:tr2bl w:val="nil"/>
                  </w:tcBorders>
                  <w:noWrap w:val="0"/>
                  <w:vAlign w:val="center"/>
                </w:tcPr>
                <w:p w14:paraId="5FD48178">
                  <w:pPr>
                    <w:pStyle w:val="98"/>
                    <w:widowControl w:val="0"/>
                    <w:kinsoku/>
                    <w:autoSpaceDE/>
                    <w:autoSpaceDN/>
                    <w:adjustRightInd/>
                    <w:snapToGrid/>
                    <w:jc w:val="center"/>
                    <w:textAlignment w:val="auto"/>
                    <w:rPr>
                      <w:rFonts w:hint="eastAsia" w:ascii="Times New Roman" w:hAnsi="Times New Roman" w:eastAsia="宋体" w:cs="Times New Roman"/>
                      <w:snapToGrid/>
                      <w:color w:val="auto"/>
                      <w:kern w:val="2"/>
                      <w:szCs w:val="24"/>
                      <w:highlight w:val="none"/>
                      <w:lang w:eastAsia="zh-CN"/>
                    </w:rPr>
                  </w:pPr>
                  <w:r>
                    <w:rPr>
                      <w:rFonts w:hint="eastAsia" w:ascii="Times New Roman" w:hAnsi="Times New Roman" w:eastAsia="宋体" w:cs="Times New Roman"/>
                      <w:snapToGrid/>
                      <w:color w:val="auto"/>
                      <w:kern w:val="2"/>
                      <w:szCs w:val="24"/>
                      <w:highlight w:val="none"/>
                      <w:lang w:val="en-US" w:eastAsia="zh-CN"/>
                    </w:rPr>
                    <w:t>非甲烷总烃</w:t>
                  </w:r>
                </w:p>
              </w:tc>
              <w:tc>
                <w:tcPr>
                  <w:tcW w:w="407" w:type="pct"/>
                  <w:vMerge w:val="continue"/>
                  <w:tcBorders>
                    <w:tl2br w:val="nil"/>
                    <w:tr2bl w:val="nil"/>
                  </w:tcBorders>
                  <w:noWrap w:val="0"/>
                  <w:vAlign w:val="center"/>
                </w:tcPr>
                <w:p w14:paraId="26BAC080">
                  <w:pPr>
                    <w:pStyle w:val="98"/>
                    <w:widowControl w:val="0"/>
                    <w:kinsoku/>
                    <w:autoSpaceDE/>
                    <w:autoSpaceDN/>
                    <w:adjustRightInd/>
                    <w:snapToGrid/>
                    <w:jc w:val="center"/>
                    <w:textAlignment w:val="auto"/>
                    <w:rPr>
                      <w:rFonts w:hint="eastAsia" w:ascii="Times New Roman" w:hAnsi="Times New Roman" w:cs="Times New Roman"/>
                      <w:snapToGrid/>
                      <w:color w:val="auto"/>
                      <w:kern w:val="2"/>
                      <w:szCs w:val="24"/>
                      <w:highlight w:val="none"/>
                      <w:lang w:eastAsia="zh-CN"/>
                    </w:rPr>
                  </w:pPr>
                </w:p>
              </w:tc>
              <w:tc>
                <w:tcPr>
                  <w:tcW w:w="397" w:type="pct"/>
                  <w:vMerge w:val="continue"/>
                  <w:tcBorders>
                    <w:tl2br w:val="nil"/>
                    <w:tr2bl w:val="nil"/>
                  </w:tcBorders>
                  <w:noWrap w:val="0"/>
                  <w:vAlign w:val="center"/>
                </w:tcPr>
                <w:p w14:paraId="77FB09B8">
                  <w:pPr>
                    <w:pStyle w:val="98"/>
                    <w:widowControl w:val="0"/>
                    <w:kinsoku/>
                    <w:autoSpaceDE/>
                    <w:autoSpaceDN/>
                    <w:adjustRightInd/>
                    <w:snapToGrid/>
                    <w:jc w:val="center"/>
                    <w:textAlignment w:val="auto"/>
                    <w:rPr>
                      <w:rFonts w:hint="eastAsia" w:ascii="Times New Roman" w:hAnsi="Times New Roman" w:cs="Times New Roman"/>
                      <w:snapToGrid/>
                      <w:color w:val="auto"/>
                      <w:kern w:val="2"/>
                      <w:szCs w:val="24"/>
                      <w:highlight w:val="none"/>
                      <w:lang w:eastAsia="zh-CN"/>
                    </w:rPr>
                  </w:pPr>
                </w:p>
              </w:tc>
              <w:tc>
                <w:tcPr>
                  <w:tcW w:w="525" w:type="pct"/>
                  <w:vMerge w:val="continue"/>
                  <w:tcBorders>
                    <w:tl2br w:val="nil"/>
                    <w:tr2bl w:val="nil"/>
                  </w:tcBorders>
                  <w:noWrap w:val="0"/>
                  <w:vAlign w:val="center"/>
                </w:tcPr>
                <w:p w14:paraId="78A03C9D">
                  <w:pPr>
                    <w:pStyle w:val="98"/>
                    <w:widowControl w:val="0"/>
                    <w:kinsoku/>
                    <w:autoSpaceDE/>
                    <w:autoSpaceDN/>
                    <w:adjustRightInd/>
                    <w:snapToGrid/>
                    <w:jc w:val="center"/>
                    <w:textAlignment w:val="auto"/>
                    <w:rPr>
                      <w:rFonts w:hint="eastAsia" w:ascii="Times New Roman" w:hAnsi="Times New Roman" w:cs="Times New Roman"/>
                      <w:snapToGrid/>
                      <w:color w:val="auto"/>
                      <w:kern w:val="2"/>
                      <w:szCs w:val="24"/>
                      <w:highlight w:val="none"/>
                      <w:lang w:eastAsia="zh-CN"/>
                    </w:rPr>
                  </w:pPr>
                </w:p>
              </w:tc>
              <w:tc>
                <w:tcPr>
                  <w:tcW w:w="430" w:type="pct"/>
                  <w:tcBorders>
                    <w:tl2br w:val="nil"/>
                    <w:tr2bl w:val="nil"/>
                  </w:tcBorders>
                  <w:noWrap w:val="0"/>
                  <w:vAlign w:val="center"/>
                </w:tcPr>
                <w:p w14:paraId="45ECF1F0">
                  <w:pPr>
                    <w:pStyle w:val="98"/>
                    <w:widowControl w:val="0"/>
                    <w:kinsoku/>
                    <w:autoSpaceDE/>
                    <w:autoSpaceDN/>
                    <w:adjustRightInd/>
                    <w:snapToGrid/>
                    <w:ind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0.0112</w:t>
                  </w:r>
                </w:p>
              </w:tc>
              <w:tc>
                <w:tcPr>
                  <w:tcW w:w="447" w:type="pct"/>
                  <w:tcBorders>
                    <w:tl2br w:val="nil"/>
                    <w:tr2bl w:val="nil"/>
                  </w:tcBorders>
                  <w:noWrap w:val="0"/>
                  <w:vAlign w:val="center"/>
                </w:tcPr>
                <w:p w14:paraId="648AEDD8">
                  <w:pPr>
                    <w:pStyle w:val="98"/>
                    <w:widowControl w:val="0"/>
                    <w:kinsoku/>
                    <w:autoSpaceDE/>
                    <w:autoSpaceDN/>
                    <w:adjustRightInd/>
                    <w:snapToGrid/>
                    <w:ind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0.0029</w:t>
                  </w:r>
                </w:p>
              </w:tc>
              <w:tc>
                <w:tcPr>
                  <w:tcW w:w="462" w:type="pct"/>
                  <w:tcBorders>
                    <w:tl2br w:val="nil"/>
                    <w:tr2bl w:val="nil"/>
                  </w:tcBorders>
                  <w:noWrap w:val="0"/>
                  <w:vAlign w:val="center"/>
                </w:tcPr>
                <w:p w14:paraId="00DCAF4F">
                  <w:pPr>
                    <w:pStyle w:val="98"/>
                    <w:widowControl w:val="0"/>
                    <w:kinsoku/>
                    <w:autoSpaceDE/>
                    <w:autoSpaceDN/>
                    <w:adjustRightInd/>
                    <w:snapToGrid/>
                    <w:ind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0.3625</w:t>
                  </w:r>
                </w:p>
              </w:tc>
              <w:tc>
                <w:tcPr>
                  <w:tcW w:w="506" w:type="pct"/>
                  <w:vMerge w:val="continue"/>
                  <w:tcBorders>
                    <w:tl2br w:val="nil"/>
                    <w:tr2bl w:val="nil"/>
                  </w:tcBorders>
                  <w:noWrap w:val="0"/>
                  <w:vAlign w:val="center"/>
                </w:tcPr>
                <w:p w14:paraId="68C9D812">
                  <w:pPr>
                    <w:pStyle w:val="98"/>
                    <w:widowControl w:val="0"/>
                    <w:kinsoku/>
                    <w:autoSpaceDE/>
                    <w:autoSpaceDN/>
                    <w:adjustRightInd/>
                    <w:snapToGrid/>
                    <w:jc w:val="center"/>
                    <w:textAlignment w:val="auto"/>
                    <w:rPr>
                      <w:rFonts w:hint="default" w:ascii="Times New Roman" w:hAnsi="Times New Roman" w:eastAsia="宋体" w:cs="Times New Roman"/>
                      <w:snapToGrid/>
                      <w:color w:val="auto"/>
                      <w:kern w:val="2"/>
                      <w:szCs w:val="24"/>
                      <w:highlight w:val="none"/>
                      <w:lang w:val="en-US" w:eastAsia="zh-CN"/>
                    </w:rPr>
                  </w:pPr>
                </w:p>
              </w:tc>
              <w:tc>
                <w:tcPr>
                  <w:tcW w:w="419" w:type="pct"/>
                  <w:tcBorders>
                    <w:tl2br w:val="nil"/>
                    <w:tr2bl w:val="nil"/>
                  </w:tcBorders>
                  <w:noWrap w:val="0"/>
                  <w:vAlign w:val="center"/>
                </w:tcPr>
                <w:p w14:paraId="44EB1705">
                  <w:pPr>
                    <w:pStyle w:val="98"/>
                    <w:widowControl w:val="0"/>
                    <w:kinsoku/>
                    <w:autoSpaceDE/>
                    <w:autoSpaceDN/>
                    <w:adjustRightInd/>
                    <w:snapToGrid/>
                    <w:ind w:firstLine="0" w:firstLineChars="0"/>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0.0022</w:t>
                  </w:r>
                </w:p>
              </w:tc>
              <w:tc>
                <w:tcPr>
                  <w:tcW w:w="446" w:type="pct"/>
                  <w:tcBorders>
                    <w:tl2br w:val="nil"/>
                    <w:tr2bl w:val="nil"/>
                  </w:tcBorders>
                  <w:noWrap w:val="0"/>
                  <w:vAlign w:val="center"/>
                </w:tcPr>
                <w:p w14:paraId="3DD12DCF">
                  <w:pPr>
                    <w:pStyle w:val="98"/>
                    <w:widowControl w:val="0"/>
                    <w:kinsoku/>
                    <w:autoSpaceDE/>
                    <w:autoSpaceDN/>
                    <w:adjustRightInd/>
                    <w:snapToGrid/>
                    <w:ind w:firstLine="0" w:firstLineChars="0"/>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0.0006</w:t>
                  </w:r>
                </w:p>
              </w:tc>
              <w:tc>
                <w:tcPr>
                  <w:tcW w:w="462" w:type="pct"/>
                  <w:tcBorders>
                    <w:tl2br w:val="nil"/>
                    <w:tr2bl w:val="nil"/>
                  </w:tcBorders>
                  <w:noWrap w:val="0"/>
                  <w:vAlign w:val="center"/>
                </w:tcPr>
                <w:p w14:paraId="4B7F7409">
                  <w:pPr>
                    <w:pStyle w:val="98"/>
                    <w:widowControl w:val="0"/>
                    <w:kinsoku/>
                    <w:autoSpaceDE/>
                    <w:autoSpaceDN/>
                    <w:adjustRightInd/>
                    <w:snapToGrid/>
                    <w:ind w:firstLine="0" w:firstLineChars="0"/>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0.075</w:t>
                  </w:r>
                </w:p>
              </w:tc>
            </w:tr>
            <w:tr w14:paraId="4D04449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2" w:hRule="atLeast"/>
                <w:jc w:val="center"/>
              </w:trPr>
              <w:tc>
                <w:tcPr>
                  <w:tcW w:w="492" w:type="pct"/>
                  <w:tcBorders>
                    <w:tl2br w:val="nil"/>
                    <w:tr2bl w:val="nil"/>
                  </w:tcBorders>
                  <w:noWrap w:val="0"/>
                  <w:vAlign w:val="center"/>
                </w:tcPr>
                <w:p w14:paraId="1BB239FF">
                  <w:pPr>
                    <w:pStyle w:val="98"/>
                    <w:widowControl w:val="0"/>
                    <w:kinsoku/>
                    <w:autoSpaceDE/>
                    <w:autoSpaceDN/>
                    <w:adjustRightInd/>
                    <w:snapToGrid/>
                    <w:ind w:firstLine="0" w:firstLineChars="0"/>
                    <w:jc w:val="center"/>
                    <w:textAlignment w:val="auto"/>
                    <w:rPr>
                      <w:rFonts w:hint="eastAsia" w:ascii="Times New Roman" w:hAnsi="Times New Roman" w:eastAsia="宋体" w:cs="Times New Roman"/>
                      <w:snapToGrid/>
                      <w:color w:val="auto"/>
                      <w:kern w:val="2"/>
                      <w:szCs w:val="24"/>
                      <w:highlight w:val="none"/>
                      <w:lang w:eastAsia="zh-CN"/>
                    </w:rPr>
                  </w:pPr>
                  <w:r>
                    <w:rPr>
                      <w:rFonts w:hint="eastAsia" w:ascii="Times New Roman" w:hAnsi="Times New Roman" w:eastAsia="宋体" w:cs="Times New Roman"/>
                      <w:snapToGrid/>
                      <w:color w:val="auto"/>
                      <w:kern w:val="2"/>
                      <w:szCs w:val="24"/>
                      <w:highlight w:val="none"/>
                      <w:lang w:val="en-US" w:eastAsia="zh-CN"/>
                    </w:rPr>
                    <w:t>沥青烟</w:t>
                  </w:r>
                </w:p>
              </w:tc>
              <w:tc>
                <w:tcPr>
                  <w:tcW w:w="407" w:type="pct"/>
                  <w:vMerge w:val="restart"/>
                  <w:tcBorders>
                    <w:tl2br w:val="nil"/>
                    <w:tr2bl w:val="nil"/>
                  </w:tcBorders>
                  <w:noWrap w:val="0"/>
                  <w:vAlign w:val="center"/>
                </w:tcPr>
                <w:p w14:paraId="11C95D40">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无组织</w:t>
                  </w:r>
                </w:p>
              </w:tc>
              <w:tc>
                <w:tcPr>
                  <w:tcW w:w="397" w:type="pct"/>
                  <w:vMerge w:val="continue"/>
                  <w:tcBorders>
                    <w:tl2br w:val="nil"/>
                    <w:tr2bl w:val="nil"/>
                  </w:tcBorders>
                  <w:noWrap w:val="0"/>
                  <w:vAlign w:val="center"/>
                </w:tcPr>
                <w:p w14:paraId="6A7B3E68">
                  <w:pPr>
                    <w:pStyle w:val="98"/>
                    <w:widowControl w:val="0"/>
                    <w:kinsoku/>
                    <w:autoSpaceDE/>
                    <w:autoSpaceDN/>
                    <w:adjustRightInd/>
                    <w:snapToGrid/>
                    <w:jc w:val="center"/>
                    <w:textAlignment w:val="auto"/>
                    <w:rPr>
                      <w:rFonts w:hint="eastAsia" w:ascii="Times New Roman" w:hAnsi="Times New Roman" w:cs="Times New Roman"/>
                      <w:snapToGrid/>
                      <w:color w:val="auto"/>
                      <w:kern w:val="2"/>
                      <w:szCs w:val="24"/>
                      <w:highlight w:val="none"/>
                      <w:lang w:eastAsia="zh-CN"/>
                    </w:rPr>
                  </w:pPr>
                </w:p>
              </w:tc>
              <w:tc>
                <w:tcPr>
                  <w:tcW w:w="525" w:type="pct"/>
                  <w:vMerge w:val="restart"/>
                  <w:tcBorders>
                    <w:tl2br w:val="nil"/>
                    <w:tr2bl w:val="nil"/>
                  </w:tcBorders>
                  <w:noWrap w:val="0"/>
                  <w:vAlign w:val="center"/>
                </w:tcPr>
                <w:p w14:paraId="77851B3E">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w:t>
                  </w:r>
                </w:p>
              </w:tc>
              <w:tc>
                <w:tcPr>
                  <w:tcW w:w="430" w:type="pct"/>
                  <w:tcBorders>
                    <w:tl2br w:val="nil"/>
                    <w:tr2bl w:val="nil"/>
                  </w:tcBorders>
                  <w:noWrap w:val="0"/>
                  <w:vAlign w:val="center"/>
                </w:tcPr>
                <w:p w14:paraId="61E0A6D5">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0.0376</w:t>
                  </w:r>
                </w:p>
              </w:tc>
              <w:tc>
                <w:tcPr>
                  <w:tcW w:w="447" w:type="pct"/>
                  <w:tcBorders>
                    <w:tl2br w:val="nil"/>
                    <w:tr2bl w:val="nil"/>
                  </w:tcBorders>
                  <w:noWrap w:val="0"/>
                  <w:vAlign w:val="center"/>
                </w:tcPr>
                <w:p w14:paraId="598279CF">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0.01</w:t>
                  </w:r>
                </w:p>
              </w:tc>
              <w:tc>
                <w:tcPr>
                  <w:tcW w:w="462" w:type="pct"/>
                  <w:tcBorders>
                    <w:tl2br w:val="nil"/>
                    <w:tr2bl w:val="nil"/>
                  </w:tcBorders>
                  <w:noWrap w:val="0"/>
                  <w:vAlign w:val="center"/>
                </w:tcPr>
                <w:p w14:paraId="07E6A127">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cs="Times New Roman"/>
                      <w:snapToGrid/>
                      <w:color w:val="auto"/>
                      <w:kern w:val="2"/>
                      <w:szCs w:val="24"/>
                      <w:highlight w:val="none"/>
                      <w:lang w:val="en-US" w:eastAsia="zh-CN"/>
                    </w:rPr>
                    <w:t>/</w:t>
                  </w:r>
                </w:p>
              </w:tc>
              <w:tc>
                <w:tcPr>
                  <w:tcW w:w="506" w:type="pct"/>
                  <w:vMerge w:val="restart"/>
                  <w:tcBorders>
                    <w:tl2br w:val="nil"/>
                    <w:tr2bl w:val="nil"/>
                  </w:tcBorders>
                  <w:noWrap w:val="0"/>
                  <w:vAlign w:val="center"/>
                </w:tcPr>
                <w:p w14:paraId="7CA4C799">
                  <w:pPr>
                    <w:pStyle w:val="98"/>
                    <w:widowControl w:val="0"/>
                    <w:kinsoku/>
                    <w:autoSpaceDE/>
                    <w:autoSpaceDN/>
                    <w:adjustRightInd/>
                    <w:snapToGrid/>
                    <w:jc w:val="center"/>
                    <w:textAlignment w:val="auto"/>
                    <w:rPr>
                      <w:rFonts w:hint="default" w:ascii="Times New Roman" w:hAnsi="Times New Roman" w:eastAsia="宋体" w:cs="Times New Roman"/>
                      <w:snapToGrid/>
                      <w:color w:val="auto"/>
                      <w:kern w:val="2"/>
                      <w:szCs w:val="24"/>
                      <w:highlight w:val="none"/>
                      <w:lang w:val="en-US" w:eastAsia="zh-CN"/>
                    </w:rPr>
                  </w:pPr>
                  <w:r>
                    <w:rPr>
                      <w:rFonts w:hint="eastAsia" w:ascii="Times New Roman" w:hAnsi="Times New Roman" w:eastAsia="宋体" w:cs="Times New Roman"/>
                      <w:snapToGrid/>
                      <w:color w:val="auto"/>
                      <w:kern w:val="2"/>
                      <w:szCs w:val="24"/>
                      <w:highlight w:val="none"/>
                      <w:lang w:val="en-US" w:eastAsia="zh-CN"/>
                    </w:rPr>
                    <w:t>/</w:t>
                  </w:r>
                </w:p>
              </w:tc>
              <w:tc>
                <w:tcPr>
                  <w:tcW w:w="419" w:type="pct"/>
                  <w:tcBorders>
                    <w:tl2br w:val="nil"/>
                    <w:tr2bl w:val="nil"/>
                  </w:tcBorders>
                  <w:noWrap w:val="0"/>
                  <w:vAlign w:val="center"/>
                </w:tcPr>
                <w:p w14:paraId="020C6B96">
                  <w:pPr>
                    <w:pStyle w:val="98"/>
                    <w:widowControl w:val="0"/>
                    <w:kinsoku/>
                    <w:autoSpaceDE/>
                    <w:autoSpaceDN/>
                    <w:adjustRightInd/>
                    <w:snapToGrid/>
                    <w:ind w:firstLine="0" w:firstLineChars="0"/>
                    <w:jc w:val="center"/>
                    <w:textAlignment w:val="auto"/>
                    <w:rPr>
                      <w:rFonts w:hint="eastAsia"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0.0376</w:t>
                  </w:r>
                </w:p>
              </w:tc>
              <w:tc>
                <w:tcPr>
                  <w:tcW w:w="446" w:type="pct"/>
                  <w:tcBorders>
                    <w:tl2br w:val="nil"/>
                    <w:tr2bl w:val="nil"/>
                  </w:tcBorders>
                  <w:noWrap w:val="0"/>
                  <w:vAlign w:val="center"/>
                </w:tcPr>
                <w:p w14:paraId="41EB7C4E">
                  <w:pPr>
                    <w:pStyle w:val="98"/>
                    <w:widowControl w:val="0"/>
                    <w:kinsoku/>
                    <w:autoSpaceDE/>
                    <w:autoSpaceDN/>
                    <w:adjustRightInd/>
                    <w:snapToGrid/>
                    <w:ind w:firstLine="0" w:firstLineChars="0"/>
                    <w:jc w:val="center"/>
                    <w:textAlignment w:val="auto"/>
                    <w:rPr>
                      <w:rFonts w:hint="eastAsia"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0.01</w:t>
                  </w:r>
                </w:p>
              </w:tc>
              <w:tc>
                <w:tcPr>
                  <w:tcW w:w="462" w:type="pct"/>
                  <w:tcBorders>
                    <w:tl2br w:val="nil"/>
                    <w:tr2bl w:val="nil"/>
                  </w:tcBorders>
                  <w:noWrap w:val="0"/>
                  <w:vAlign w:val="center"/>
                </w:tcPr>
                <w:p w14:paraId="7C74F415">
                  <w:pPr>
                    <w:pStyle w:val="98"/>
                    <w:widowControl w:val="0"/>
                    <w:kinsoku/>
                    <w:autoSpaceDE/>
                    <w:autoSpaceDN/>
                    <w:adjustRightInd/>
                    <w:snapToGrid/>
                    <w:ind w:firstLine="0" w:firstLineChars="0"/>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w:t>
                  </w:r>
                </w:p>
              </w:tc>
            </w:tr>
            <w:tr w14:paraId="3F4E72D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08" w:hRule="atLeast"/>
                <w:jc w:val="center"/>
              </w:trPr>
              <w:tc>
                <w:tcPr>
                  <w:tcW w:w="492" w:type="pct"/>
                  <w:tcBorders>
                    <w:tl2br w:val="nil"/>
                    <w:tr2bl w:val="nil"/>
                  </w:tcBorders>
                  <w:noWrap w:val="0"/>
                  <w:vAlign w:val="center"/>
                </w:tcPr>
                <w:p w14:paraId="77717E75">
                  <w:pPr>
                    <w:pStyle w:val="98"/>
                    <w:widowControl w:val="0"/>
                    <w:kinsoku/>
                    <w:autoSpaceDE/>
                    <w:autoSpaceDN/>
                    <w:adjustRightInd/>
                    <w:snapToGrid/>
                    <w:ind w:firstLine="0" w:firstLineChars="0"/>
                    <w:jc w:val="center"/>
                    <w:textAlignment w:val="auto"/>
                    <w:rPr>
                      <w:rFonts w:hint="eastAsia" w:ascii="Times New Roman" w:hAnsi="Times New Roman" w:eastAsia="宋体" w:cs="Times New Roman"/>
                      <w:snapToGrid/>
                      <w:color w:val="auto"/>
                      <w:kern w:val="2"/>
                      <w:szCs w:val="24"/>
                      <w:highlight w:val="none"/>
                      <w:lang w:eastAsia="zh-CN"/>
                    </w:rPr>
                  </w:pPr>
                  <w:r>
                    <w:rPr>
                      <w:rFonts w:hint="eastAsia" w:ascii="Times New Roman" w:hAnsi="Times New Roman" w:eastAsia="宋体" w:cs="Times New Roman"/>
                      <w:color w:val="auto"/>
                      <w:highlight w:val="none"/>
                      <w:lang w:val="en-US" w:eastAsia="zh-CN"/>
                    </w:rPr>
                    <w:t>苯并[a]芘</w:t>
                  </w:r>
                </w:p>
              </w:tc>
              <w:tc>
                <w:tcPr>
                  <w:tcW w:w="407" w:type="pct"/>
                  <w:vMerge w:val="continue"/>
                  <w:tcBorders>
                    <w:tl2br w:val="nil"/>
                    <w:tr2bl w:val="nil"/>
                  </w:tcBorders>
                  <w:noWrap w:val="0"/>
                  <w:vAlign w:val="center"/>
                </w:tcPr>
                <w:p w14:paraId="618A1A2F">
                  <w:pPr>
                    <w:pStyle w:val="98"/>
                    <w:widowControl w:val="0"/>
                    <w:kinsoku/>
                    <w:autoSpaceDE/>
                    <w:autoSpaceDN/>
                    <w:adjustRightInd/>
                    <w:snapToGrid/>
                    <w:jc w:val="center"/>
                    <w:textAlignment w:val="auto"/>
                    <w:rPr>
                      <w:rFonts w:hint="eastAsia" w:ascii="Times New Roman" w:hAnsi="Times New Roman" w:cs="Times New Roman"/>
                      <w:snapToGrid/>
                      <w:color w:val="auto"/>
                      <w:kern w:val="2"/>
                      <w:szCs w:val="24"/>
                      <w:highlight w:val="none"/>
                      <w:lang w:eastAsia="zh-CN"/>
                    </w:rPr>
                  </w:pPr>
                </w:p>
              </w:tc>
              <w:tc>
                <w:tcPr>
                  <w:tcW w:w="397" w:type="pct"/>
                  <w:vMerge w:val="continue"/>
                  <w:tcBorders>
                    <w:tl2br w:val="nil"/>
                    <w:tr2bl w:val="nil"/>
                  </w:tcBorders>
                  <w:noWrap w:val="0"/>
                  <w:vAlign w:val="center"/>
                </w:tcPr>
                <w:p w14:paraId="61095724">
                  <w:pPr>
                    <w:pStyle w:val="98"/>
                    <w:widowControl w:val="0"/>
                    <w:kinsoku/>
                    <w:autoSpaceDE/>
                    <w:autoSpaceDN/>
                    <w:adjustRightInd/>
                    <w:snapToGrid/>
                    <w:jc w:val="center"/>
                    <w:textAlignment w:val="auto"/>
                    <w:rPr>
                      <w:rFonts w:hint="eastAsia" w:ascii="Times New Roman" w:hAnsi="Times New Roman" w:cs="Times New Roman"/>
                      <w:snapToGrid/>
                      <w:color w:val="auto"/>
                      <w:kern w:val="2"/>
                      <w:szCs w:val="24"/>
                      <w:highlight w:val="none"/>
                      <w:lang w:eastAsia="zh-CN"/>
                    </w:rPr>
                  </w:pPr>
                </w:p>
              </w:tc>
              <w:tc>
                <w:tcPr>
                  <w:tcW w:w="525" w:type="pct"/>
                  <w:vMerge w:val="continue"/>
                  <w:tcBorders>
                    <w:tl2br w:val="nil"/>
                    <w:tr2bl w:val="nil"/>
                  </w:tcBorders>
                  <w:noWrap w:val="0"/>
                  <w:vAlign w:val="center"/>
                </w:tcPr>
                <w:p w14:paraId="07F19227">
                  <w:pPr>
                    <w:pStyle w:val="98"/>
                    <w:widowControl w:val="0"/>
                    <w:kinsoku/>
                    <w:autoSpaceDE/>
                    <w:autoSpaceDN/>
                    <w:adjustRightInd/>
                    <w:snapToGrid/>
                    <w:jc w:val="center"/>
                    <w:textAlignment w:val="auto"/>
                    <w:rPr>
                      <w:rFonts w:hint="eastAsia" w:ascii="Times New Roman" w:hAnsi="Times New Roman" w:cs="Times New Roman"/>
                      <w:snapToGrid/>
                      <w:color w:val="auto"/>
                      <w:kern w:val="2"/>
                      <w:szCs w:val="24"/>
                      <w:highlight w:val="none"/>
                      <w:lang w:eastAsia="zh-CN"/>
                    </w:rPr>
                  </w:pPr>
                </w:p>
              </w:tc>
              <w:tc>
                <w:tcPr>
                  <w:tcW w:w="430" w:type="pct"/>
                  <w:tcBorders>
                    <w:tl2br w:val="nil"/>
                    <w:tr2bl w:val="nil"/>
                  </w:tcBorders>
                  <w:noWrap w:val="0"/>
                  <w:vAlign w:val="center"/>
                </w:tcPr>
                <w:p w14:paraId="0A5CD1BF">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0.00005</w:t>
                  </w:r>
                </w:p>
              </w:tc>
              <w:tc>
                <w:tcPr>
                  <w:tcW w:w="447" w:type="pct"/>
                  <w:tcBorders>
                    <w:tl2br w:val="nil"/>
                    <w:tr2bl w:val="nil"/>
                  </w:tcBorders>
                  <w:noWrap w:val="0"/>
                  <w:vAlign w:val="center"/>
                </w:tcPr>
                <w:p w14:paraId="32E4E334">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0.00001</w:t>
                  </w:r>
                </w:p>
              </w:tc>
              <w:tc>
                <w:tcPr>
                  <w:tcW w:w="462" w:type="pct"/>
                  <w:tcBorders>
                    <w:tl2br w:val="nil"/>
                    <w:tr2bl w:val="nil"/>
                  </w:tcBorders>
                  <w:noWrap w:val="0"/>
                  <w:vAlign w:val="center"/>
                </w:tcPr>
                <w:p w14:paraId="505BA6C2">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cs="Times New Roman"/>
                      <w:snapToGrid/>
                      <w:color w:val="auto"/>
                      <w:kern w:val="2"/>
                      <w:szCs w:val="24"/>
                      <w:highlight w:val="none"/>
                      <w:lang w:val="en-US" w:eastAsia="zh-CN"/>
                    </w:rPr>
                    <w:t>/</w:t>
                  </w:r>
                </w:p>
              </w:tc>
              <w:tc>
                <w:tcPr>
                  <w:tcW w:w="506" w:type="pct"/>
                  <w:vMerge w:val="continue"/>
                  <w:tcBorders>
                    <w:tl2br w:val="nil"/>
                    <w:tr2bl w:val="nil"/>
                  </w:tcBorders>
                  <w:noWrap w:val="0"/>
                  <w:vAlign w:val="center"/>
                </w:tcPr>
                <w:p w14:paraId="1D43A069">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p>
              </w:tc>
              <w:tc>
                <w:tcPr>
                  <w:tcW w:w="419" w:type="pct"/>
                  <w:tcBorders>
                    <w:tl2br w:val="nil"/>
                    <w:tr2bl w:val="nil"/>
                  </w:tcBorders>
                  <w:noWrap w:val="0"/>
                  <w:vAlign w:val="center"/>
                </w:tcPr>
                <w:p w14:paraId="616A51F3">
                  <w:pPr>
                    <w:pStyle w:val="98"/>
                    <w:widowControl w:val="0"/>
                    <w:kinsoku/>
                    <w:autoSpaceDE/>
                    <w:autoSpaceDN/>
                    <w:adjustRightInd/>
                    <w:snapToGrid/>
                    <w:ind w:firstLine="0" w:firstLineChars="0"/>
                    <w:jc w:val="center"/>
                    <w:textAlignment w:val="auto"/>
                    <w:rPr>
                      <w:rFonts w:hint="eastAsia"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0.00005</w:t>
                  </w:r>
                </w:p>
              </w:tc>
              <w:tc>
                <w:tcPr>
                  <w:tcW w:w="446" w:type="pct"/>
                  <w:tcBorders>
                    <w:tl2br w:val="nil"/>
                    <w:tr2bl w:val="nil"/>
                  </w:tcBorders>
                  <w:noWrap w:val="0"/>
                  <w:vAlign w:val="center"/>
                </w:tcPr>
                <w:p w14:paraId="635683E4">
                  <w:pPr>
                    <w:pStyle w:val="98"/>
                    <w:widowControl w:val="0"/>
                    <w:kinsoku/>
                    <w:autoSpaceDE/>
                    <w:autoSpaceDN/>
                    <w:adjustRightInd/>
                    <w:snapToGrid/>
                    <w:ind w:firstLine="0" w:firstLineChars="0"/>
                    <w:jc w:val="center"/>
                    <w:textAlignment w:val="auto"/>
                    <w:rPr>
                      <w:rFonts w:hint="eastAsia"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0.00001</w:t>
                  </w:r>
                </w:p>
              </w:tc>
              <w:tc>
                <w:tcPr>
                  <w:tcW w:w="462" w:type="pct"/>
                  <w:tcBorders>
                    <w:tl2br w:val="nil"/>
                    <w:tr2bl w:val="nil"/>
                  </w:tcBorders>
                  <w:noWrap w:val="0"/>
                  <w:vAlign w:val="center"/>
                </w:tcPr>
                <w:p w14:paraId="4ECE1FB7">
                  <w:pPr>
                    <w:pStyle w:val="98"/>
                    <w:widowControl w:val="0"/>
                    <w:kinsoku/>
                    <w:autoSpaceDE/>
                    <w:autoSpaceDN/>
                    <w:adjustRightInd/>
                    <w:snapToGrid/>
                    <w:ind w:firstLine="0" w:firstLineChars="0"/>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w:t>
                  </w:r>
                </w:p>
              </w:tc>
            </w:tr>
            <w:tr w14:paraId="361490F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35" w:hRule="atLeast"/>
                <w:jc w:val="center"/>
              </w:trPr>
              <w:tc>
                <w:tcPr>
                  <w:tcW w:w="492" w:type="pct"/>
                  <w:tcBorders>
                    <w:tl2br w:val="nil"/>
                    <w:tr2bl w:val="nil"/>
                  </w:tcBorders>
                  <w:noWrap w:val="0"/>
                  <w:vAlign w:val="center"/>
                </w:tcPr>
                <w:p w14:paraId="280CA75C">
                  <w:pPr>
                    <w:pStyle w:val="98"/>
                    <w:widowControl w:val="0"/>
                    <w:kinsoku/>
                    <w:autoSpaceDE/>
                    <w:autoSpaceDN/>
                    <w:adjustRightInd/>
                    <w:snapToGrid/>
                    <w:ind w:firstLine="0" w:firstLineChars="0"/>
                    <w:jc w:val="center"/>
                    <w:textAlignment w:val="auto"/>
                    <w:rPr>
                      <w:rFonts w:hint="eastAsia" w:ascii="Times New Roman" w:hAnsi="Times New Roman" w:eastAsia="宋体" w:cs="Times New Roman"/>
                      <w:snapToGrid/>
                      <w:color w:val="auto"/>
                      <w:kern w:val="2"/>
                      <w:szCs w:val="24"/>
                      <w:highlight w:val="none"/>
                      <w:lang w:eastAsia="zh-CN"/>
                    </w:rPr>
                  </w:pPr>
                  <w:r>
                    <w:rPr>
                      <w:rFonts w:hint="eastAsia" w:ascii="Times New Roman" w:hAnsi="Times New Roman" w:eastAsia="宋体" w:cs="Times New Roman"/>
                      <w:snapToGrid/>
                      <w:color w:val="auto"/>
                      <w:kern w:val="2"/>
                      <w:szCs w:val="24"/>
                      <w:highlight w:val="none"/>
                      <w:lang w:val="en-US" w:eastAsia="zh-CN"/>
                    </w:rPr>
                    <w:t>非甲烷总烃</w:t>
                  </w:r>
                </w:p>
              </w:tc>
              <w:tc>
                <w:tcPr>
                  <w:tcW w:w="407" w:type="pct"/>
                  <w:vMerge w:val="continue"/>
                  <w:tcBorders>
                    <w:tl2br w:val="nil"/>
                    <w:tr2bl w:val="nil"/>
                  </w:tcBorders>
                  <w:noWrap w:val="0"/>
                  <w:vAlign w:val="center"/>
                </w:tcPr>
                <w:p w14:paraId="165735A3">
                  <w:pPr>
                    <w:pStyle w:val="98"/>
                    <w:widowControl w:val="0"/>
                    <w:kinsoku/>
                    <w:autoSpaceDE/>
                    <w:autoSpaceDN/>
                    <w:adjustRightInd/>
                    <w:snapToGrid/>
                    <w:jc w:val="center"/>
                    <w:textAlignment w:val="auto"/>
                    <w:rPr>
                      <w:rFonts w:hint="eastAsia" w:ascii="Times New Roman" w:hAnsi="Times New Roman" w:cs="Times New Roman"/>
                      <w:snapToGrid/>
                      <w:color w:val="auto"/>
                      <w:kern w:val="2"/>
                      <w:szCs w:val="24"/>
                      <w:highlight w:val="none"/>
                      <w:lang w:eastAsia="zh-CN"/>
                    </w:rPr>
                  </w:pPr>
                </w:p>
              </w:tc>
              <w:tc>
                <w:tcPr>
                  <w:tcW w:w="397" w:type="pct"/>
                  <w:vMerge w:val="continue"/>
                  <w:tcBorders>
                    <w:tl2br w:val="nil"/>
                    <w:tr2bl w:val="nil"/>
                  </w:tcBorders>
                  <w:noWrap w:val="0"/>
                  <w:vAlign w:val="center"/>
                </w:tcPr>
                <w:p w14:paraId="04A5AF74">
                  <w:pPr>
                    <w:pStyle w:val="98"/>
                    <w:widowControl w:val="0"/>
                    <w:kinsoku/>
                    <w:autoSpaceDE/>
                    <w:autoSpaceDN/>
                    <w:adjustRightInd/>
                    <w:snapToGrid/>
                    <w:jc w:val="center"/>
                    <w:textAlignment w:val="auto"/>
                    <w:rPr>
                      <w:rFonts w:hint="eastAsia" w:ascii="Times New Roman" w:hAnsi="Times New Roman" w:cs="Times New Roman"/>
                      <w:snapToGrid/>
                      <w:color w:val="auto"/>
                      <w:kern w:val="2"/>
                      <w:szCs w:val="24"/>
                      <w:highlight w:val="none"/>
                      <w:lang w:eastAsia="zh-CN"/>
                    </w:rPr>
                  </w:pPr>
                </w:p>
              </w:tc>
              <w:tc>
                <w:tcPr>
                  <w:tcW w:w="525" w:type="pct"/>
                  <w:vMerge w:val="continue"/>
                  <w:tcBorders>
                    <w:tl2br w:val="nil"/>
                    <w:tr2bl w:val="nil"/>
                  </w:tcBorders>
                  <w:noWrap w:val="0"/>
                  <w:vAlign w:val="center"/>
                </w:tcPr>
                <w:p w14:paraId="2DD9DB11">
                  <w:pPr>
                    <w:pStyle w:val="98"/>
                    <w:widowControl w:val="0"/>
                    <w:kinsoku/>
                    <w:autoSpaceDE/>
                    <w:autoSpaceDN/>
                    <w:adjustRightInd/>
                    <w:snapToGrid/>
                    <w:jc w:val="center"/>
                    <w:textAlignment w:val="auto"/>
                    <w:rPr>
                      <w:rFonts w:hint="eastAsia" w:ascii="Times New Roman" w:hAnsi="Times New Roman" w:cs="Times New Roman"/>
                      <w:snapToGrid/>
                      <w:color w:val="auto"/>
                      <w:kern w:val="2"/>
                      <w:szCs w:val="24"/>
                      <w:highlight w:val="none"/>
                      <w:lang w:eastAsia="zh-CN"/>
                    </w:rPr>
                  </w:pPr>
                </w:p>
              </w:tc>
              <w:tc>
                <w:tcPr>
                  <w:tcW w:w="430" w:type="pct"/>
                  <w:tcBorders>
                    <w:tl2br w:val="nil"/>
                    <w:tr2bl w:val="nil"/>
                  </w:tcBorders>
                  <w:noWrap w:val="0"/>
                  <w:vAlign w:val="center"/>
                </w:tcPr>
                <w:p w14:paraId="43E66C73">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0.0012</w:t>
                  </w:r>
                </w:p>
              </w:tc>
              <w:tc>
                <w:tcPr>
                  <w:tcW w:w="447" w:type="pct"/>
                  <w:tcBorders>
                    <w:tl2br w:val="nil"/>
                    <w:tr2bl w:val="nil"/>
                  </w:tcBorders>
                  <w:noWrap w:val="0"/>
                  <w:vAlign w:val="center"/>
                </w:tcPr>
                <w:p w14:paraId="7AE94E0F">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0.0003</w:t>
                  </w:r>
                </w:p>
              </w:tc>
              <w:tc>
                <w:tcPr>
                  <w:tcW w:w="462" w:type="pct"/>
                  <w:tcBorders>
                    <w:tl2br w:val="nil"/>
                    <w:tr2bl w:val="nil"/>
                  </w:tcBorders>
                  <w:noWrap w:val="0"/>
                  <w:vAlign w:val="center"/>
                </w:tcPr>
                <w:p w14:paraId="4B14BFFD">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cs="Times New Roman"/>
                      <w:snapToGrid/>
                      <w:color w:val="auto"/>
                      <w:kern w:val="2"/>
                      <w:szCs w:val="24"/>
                      <w:highlight w:val="none"/>
                      <w:lang w:val="en-US" w:eastAsia="zh-CN"/>
                    </w:rPr>
                    <w:t>/</w:t>
                  </w:r>
                </w:p>
              </w:tc>
              <w:tc>
                <w:tcPr>
                  <w:tcW w:w="506" w:type="pct"/>
                  <w:vMerge w:val="continue"/>
                  <w:tcBorders>
                    <w:tl2br w:val="nil"/>
                    <w:tr2bl w:val="nil"/>
                  </w:tcBorders>
                  <w:noWrap w:val="0"/>
                  <w:vAlign w:val="center"/>
                </w:tcPr>
                <w:p w14:paraId="20315EE5">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p>
              </w:tc>
              <w:tc>
                <w:tcPr>
                  <w:tcW w:w="419" w:type="pct"/>
                  <w:tcBorders>
                    <w:tl2br w:val="nil"/>
                    <w:tr2bl w:val="nil"/>
                  </w:tcBorders>
                  <w:noWrap w:val="0"/>
                  <w:vAlign w:val="center"/>
                </w:tcPr>
                <w:p w14:paraId="017783C3">
                  <w:pPr>
                    <w:pStyle w:val="98"/>
                    <w:widowControl w:val="0"/>
                    <w:kinsoku/>
                    <w:autoSpaceDE/>
                    <w:autoSpaceDN/>
                    <w:adjustRightInd/>
                    <w:snapToGrid/>
                    <w:ind w:firstLine="0" w:firstLineChars="0"/>
                    <w:jc w:val="center"/>
                    <w:textAlignment w:val="auto"/>
                    <w:rPr>
                      <w:rFonts w:hint="eastAsia"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0.0012</w:t>
                  </w:r>
                </w:p>
              </w:tc>
              <w:tc>
                <w:tcPr>
                  <w:tcW w:w="446" w:type="pct"/>
                  <w:tcBorders>
                    <w:tl2br w:val="nil"/>
                    <w:tr2bl w:val="nil"/>
                  </w:tcBorders>
                  <w:noWrap w:val="0"/>
                  <w:vAlign w:val="center"/>
                </w:tcPr>
                <w:p w14:paraId="2F3C140B">
                  <w:pPr>
                    <w:pStyle w:val="98"/>
                    <w:widowControl w:val="0"/>
                    <w:kinsoku/>
                    <w:autoSpaceDE/>
                    <w:autoSpaceDN/>
                    <w:adjustRightInd/>
                    <w:snapToGrid/>
                    <w:ind w:firstLine="0" w:firstLineChars="0"/>
                    <w:jc w:val="center"/>
                    <w:textAlignment w:val="auto"/>
                    <w:rPr>
                      <w:rFonts w:hint="eastAsia"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0.0003</w:t>
                  </w:r>
                </w:p>
              </w:tc>
              <w:tc>
                <w:tcPr>
                  <w:tcW w:w="462" w:type="pct"/>
                  <w:tcBorders>
                    <w:tl2br w:val="nil"/>
                    <w:tr2bl w:val="nil"/>
                  </w:tcBorders>
                  <w:noWrap w:val="0"/>
                  <w:vAlign w:val="center"/>
                </w:tcPr>
                <w:p w14:paraId="53A32605">
                  <w:pPr>
                    <w:pStyle w:val="98"/>
                    <w:widowControl w:val="0"/>
                    <w:kinsoku/>
                    <w:autoSpaceDE/>
                    <w:autoSpaceDN/>
                    <w:adjustRightInd/>
                    <w:snapToGrid/>
                    <w:ind w:firstLine="0" w:firstLineChars="0"/>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w:t>
                  </w:r>
                </w:p>
              </w:tc>
            </w:tr>
          </w:tbl>
          <w:p w14:paraId="07EE3EE7">
            <w:pPr>
              <w:ind w:firstLine="0" w:firstLineChars="0"/>
              <w:jc w:val="center"/>
              <w:rPr>
                <w:b/>
                <w:bCs/>
                <w:color w:val="auto"/>
                <w:highlight w:val="none"/>
              </w:rPr>
            </w:pPr>
          </w:p>
          <w:p w14:paraId="73AF54DF">
            <w:pPr>
              <w:ind w:firstLine="0" w:firstLineChars="0"/>
              <w:jc w:val="center"/>
              <w:rPr>
                <w:b/>
                <w:bCs/>
                <w:color w:val="auto"/>
                <w:highlight w:val="none"/>
              </w:rPr>
            </w:pPr>
            <w:r>
              <w:rPr>
                <w:b/>
                <w:bCs/>
                <w:color w:val="auto"/>
                <w:highlight w:val="none"/>
              </w:rPr>
              <w:t>表</w:t>
            </w:r>
            <w:r>
              <w:rPr>
                <w:rFonts w:hint="eastAsia"/>
                <w:b/>
                <w:bCs/>
                <w:color w:val="auto"/>
                <w:highlight w:val="none"/>
              </w:rPr>
              <w:t>4.2-</w:t>
            </w:r>
            <w:r>
              <w:rPr>
                <w:rFonts w:hint="eastAsia"/>
                <w:b/>
                <w:bCs/>
                <w:color w:val="auto"/>
                <w:highlight w:val="none"/>
                <w:lang w:val="en-US" w:eastAsia="zh-CN"/>
              </w:rPr>
              <w:t>11</w:t>
            </w:r>
            <w:r>
              <w:rPr>
                <w:b/>
                <w:bCs/>
                <w:color w:val="auto"/>
                <w:highlight w:val="none"/>
              </w:rPr>
              <w:t xml:space="preserve">  </w:t>
            </w:r>
            <w:r>
              <w:rPr>
                <w:rFonts w:hint="eastAsia" w:ascii="Times New Roman" w:hAnsi="Times New Roman" w:eastAsia="宋体" w:cs="Times New Roman"/>
                <w:b/>
                <w:bCs/>
                <w:snapToGrid/>
                <w:color w:val="auto"/>
                <w:kern w:val="2"/>
                <w:sz w:val="24"/>
                <w:szCs w:val="24"/>
                <w:highlight w:val="none"/>
                <w:lang w:val="en-US" w:eastAsia="zh-CN"/>
              </w:rPr>
              <w:t>沥青烟</w:t>
            </w:r>
            <w:r>
              <w:rPr>
                <w:rFonts w:hint="eastAsia"/>
                <w:b/>
                <w:bCs/>
                <w:color w:val="auto"/>
                <w:highlight w:val="none"/>
                <w:lang w:val="en-US" w:eastAsia="zh-CN"/>
              </w:rPr>
              <w:t>废气（二期）</w:t>
            </w:r>
            <w:r>
              <w:rPr>
                <w:rFonts w:ascii="Times New Roman" w:hAnsi="Times New Roman" w:eastAsia="宋体" w:cs="Times New Roman"/>
                <w:b/>
                <w:bCs/>
                <w:snapToGrid/>
                <w:color w:val="auto"/>
                <w:kern w:val="2"/>
                <w:sz w:val="24"/>
                <w:szCs w:val="24"/>
                <w:highlight w:val="none"/>
                <w:lang w:eastAsia="zh-CN"/>
              </w:rPr>
              <w:t>排放情况一览表</w:t>
            </w:r>
          </w:p>
          <w:tbl>
            <w:tblPr>
              <w:tblStyle w:val="129"/>
              <w:tblW w:w="839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827"/>
              <w:gridCol w:w="684"/>
              <w:gridCol w:w="668"/>
              <w:gridCol w:w="883"/>
              <w:gridCol w:w="723"/>
              <w:gridCol w:w="752"/>
              <w:gridCol w:w="777"/>
              <w:gridCol w:w="850"/>
              <w:gridCol w:w="705"/>
              <w:gridCol w:w="749"/>
              <w:gridCol w:w="776"/>
            </w:tblGrid>
            <w:tr w14:paraId="5224B7E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34" w:hRule="atLeast"/>
                <w:jc w:val="center"/>
              </w:trPr>
              <w:tc>
                <w:tcPr>
                  <w:tcW w:w="492" w:type="pct"/>
                  <w:tcBorders>
                    <w:tl2br w:val="nil"/>
                    <w:tr2bl w:val="nil"/>
                  </w:tcBorders>
                  <w:noWrap w:val="0"/>
                  <w:vAlign w:val="center"/>
                </w:tcPr>
                <w:p w14:paraId="06D6AF07">
                  <w:pPr>
                    <w:pStyle w:val="98"/>
                    <w:widowControl w:val="0"/>
                    <w:kinsoku/>
                    <w:autoSpaceDE/>
                    <w:autoSpaceDN/>
                    <w:adjustRightInd/>
                    <w:snapToGrid/>
                    <w:jc w:val="center"/>
                    <w:textAlignment w:val="auto"/>
                    <w:rPr>
                      <w:rFonts w:hint="eastAsia" w:ascii="Times New Roman" w:hAnsi="Times New Roman" w:cs="Times New Roman"/>
                      <w:b/>
                      <w:bCs/>
                      <w:snapToGrid/>
                      <w:color w:val="auto"/>
                      <w:kern w:val="2"/>
                      <w:szCs w:val="24"/>
                      <w:highlight w:val="none"/>
                      <w:lang w:eastAsia="zh-CN"/>
                    </w:rPr>
                  </w:pPr>
                  <w:r>
                    <w:rPr>
                      <w:rFonts w:hint="eastAsia" w:ascii="Times New Roman" w:hAnsi="Times New Roman" w:cs="Times New Roman"/>
                      <w:b/>
                      <w:bCs/>
                      <w:snapToGrid/>
                      <w:color w:val="auto"/>
                      <w:kern w:val="2"/>
                      <w:szCs w:val="24"/>
                      <w:highlight w:val="none"/>
                      <w:lang w:eastAsia="zh-CN"/>
                    </w:rPr>
                    <w:t>污染物</w:t>
                  </w:r>
                </w:p>
              </w:tc>
              <w:tc>
                <w:tcPr>
                  <w:tcW w:w="407" w:type="pct"/>
                  <w:tcBorders>
                    <w:tl2br w:val="nil"/>
                    <w:tr2bl w:val="nil"/>
                  </w:tcBorders>
                  <w:noWrap w:val="0"/>
                  <w:vAlign w:val="center"/>
                </w:tcPr>
                <w:p w14:paraId="09D5058C">
                  <w:pPr>
                    <w:pStyle w:val="98"/>
                    <w:widowControl w:val="0"/>
                    <w:kinsoku/>
                    <w:autoSpaceDE/>
                    <w:autoSpaceDN/>
                    <w:adjustRightInd/>
                    <w:snapToGrid/>
                    <w:jc w:val="center"/>
                    <w:textAlignment w:val="auto"/>
                    <w:rPr>
                      <w:rFonts w:hint="eastAsia" w:ascii="Times New Roman" w:hAnsi="Times New Roman" w:cs="Times New Roman"/>
                      <w:b/>
                      <w:bCs/>
                      <w:snapToGrid/>
                      <w:color w:val="auto"/>
                      <w:kern w:val="2"/>
                      <w:szCs w:val="24"/>
                      <w:highlight w:val="none"/>
                      <w:lang w:eastAsia="zh-CN"/>
                    </w:rPr>
                  </w:pPr>
                  <w:r>
                    <w:rPr>
                      <w:rFonts w:hint="eastAsia" w:ascii="Times New Roman" w:hAnsi="Times New Roman" w:cs="Times New Roman"/>
                      <w:b/>
                      <w:bCs/>
                      <w:snapToGrid/>
                      <w:color w:val="auto"/>
                      <w:kern w:val="2"/>
                      <w:szCs w:val="24"/>
                      <w:highlight w:val="none"/>
                      <w:lang w:eastAsia="zh-CN"/>
                    </w:rPr>
                    <w:t>排放形式</w:t>
                  </w:r>
                </w:p>
              </w:tc>
              <w:tc>
                <w:tcPr>
                  <w:tcW w:w="397" w:type="pct"/>
                  <w:tcBorders>
                    <w:tl2br w:val="nil"/>
                    <w:tr2bl w:val="nil"/>
                  </w:tcBorders>
                  <w:noWrap w:val="0"/>
                  <w:vAlign w:val="center"/>
                </w:tcPr>
                <w:p w14:paraId="31A7D736">
                  <w:pPr>
                    <w:pStyle w:val="107"/>
                    <w:widowControl/>
                    <w:ind w:firstLine="0" w:firstLineChars="0"/>
                    <w:jc w:val="center"/>
                    <w:rPr>
                      <w:rFonts w:hint="eastAsia" w:ascii="Times New Roman" w:hAnsi="Times New Roman" w:eastAsia="宋体"/>
                      <w:b/>
                      <w:bCs/>
                      <w:color w:val="auto"/>
                      <w:sz w:val="21"/>
                      <w:szCs w:val="21"/>
                      <w:highlight w:val="none"/>
                    </w:rPr>
                  </w:pPr>
                  <w:r>
                    <w:rPr>
                      <w:rFonts w:hint="eastAsia" w:ascii="Times New Roman" w:hAnsi="Times New Roman" w:eastAsia="宋体"/>
                      <w:b/>
                      <w:bCs/>
                      <w:color w:val="auto"/>
                      <w:sz w:val="21"/>
                      <w:szCs w:val="21"/>
                      <w:highlight w:val="none"/>
                    </w:rPr>
                    <w:t>排放时间</w:t>
                  </w:r>
                </w:p>
                <w:p w14:paraId="005F4651">
                  <w:pPr>
                    <w:pStyle w:val="98"/>
                    <w:widowControl w:val="0"/>
                    <w:kinsoku/>
                    <w:autoSpaceDE/>
                    <w:autoSpaceDN/>
                    <w:adjustRightInd/>
                    <w:snapToGrid/>
                    <w:jc w:val="center"/>
                    <w:textAlignment w:val="auto"/>
                    <w:rPr>
                      <w:rFonts w:hint="default" w:ascii="Times New Roman" w:hAnsi="Times New Roman" w:cs="Times New Roman"/>
                      <w:b/>
                      <w:bCs/>
                      <w:snapToGrid/>
                      <w:color w:val="auto"/>
                      <w:kern w:val="2"/>
                      <w:szCs w:val="24"/>
                      <w:highlight w:val="none"/>
                      <w:lang w:val="en-US" w:eastAsia="zh-CN"/>
                    </w:rPr>
                  </w:pPr>
                  <w:r>
                    <w:rPr>
                      <w:rFonts w:hint="eastAsia" w:ascii="Times New Roman" w:hAnsi="Times New Roman" w:eastAsia="宋体"/>
                      <w:b/>
                      <w:bCs/>
                      <w:color w:val="auto"/>
                      <w:sz w:val="21"/>
                      <w:szCs w:val="21"/>
                      <w:highlight w:val="none"/>
                    </w:rPr>
                    <w:t>h</w:t>
                  </w:r>
                </w:p>
              </w:tc>
              <w:tc>
                <w:tcPr>
                  <w:tcW w:w="525" w:type="pct"/>
                  <w:tcBorders>
                    <w:tl2br w:val="nil"/>
                    <w:tr2bl w:val="nil"/>
                  </w:tcBorders>
                  <w:noWrap w:val="0"/>
                  <w:vAlign w:val="center"/>
                </w:tcPr>
                <w:p w14:paraId="2217D830">
                  <w:pPr>
                    <w:pStyle w:val="98"/>
                    <w:widowControl w:val="0"/>
                    <w:kinsoku/>
                    <w:autoSpaceDE/>
                    <w:autoSpaceDN/>
                    <w:adjustRightInd/>
                    <w:snapToGrid/>
                    <w:jc w:val="center"/>
                    <w:textAlignment w:val="auto"/>
                    <w:rPr>
                      <w:rFonts w:hint="default" w:ascii="Times New Roman" w:hAnsi="Times New Roman" w:cs="Times New Roman"/>
                      <w:b/>
                      <w:bCs/>
                      <w:snapToGrid/>
                      <w:color w:val="auto"/>
                      <w:kern w:val="2"/>
                      <w:szCs w:val="24"/>
                      <w:highlight w:val="none"/>
                      <w:lang w:val="en-US" w:eastAsia="zh-CN"/>
                    </w:rPr>
                  </w:pPr>
                  <w:r>
                    <w:rPr>
                      <w:rFonts w:hint="eastAsia" w:ascii="Times New Roman" w:hAnsi="Times New Roman" w:cs="Times New Roman"/>
                      <w:b/>
                      <w:bCs/>
                      <w:snapToGrid/>
                      <w:color w:val="auto"/>
                      <w:kern w:val="2"/>
                      <w:szCs w:val="24"/>
                      <w:highlight w:val="none"/>
                      <w:lang w:val="en-US" w:eastAsia="zh-CN"/>
                    </w:rPr>
                    <w:t>风机风量m</w:t>
                  </w:r>
                  <w:r>
                    <w:rPr>
                      <w:rFonts w:hint="eastAsia" w:ascii="Times New Roman" w:hAnsi="Times New Roman" w:cs="Times New Roman"/>
                      <w:b/>
                      <w:bCs/>
                      <w:snapToGrid/>
                      <w:color w:val="auto"/>
                      <w:kern w:val="2"/>
                      <w:szCs w:val="24"/>
                      <w:highlight w:val="none"/>
                      <w:vertAlign w:val="superscript"/>
                      <w:lang w:val="en-US" w:eastAsia="zh-CN"/>
                    </w:rPr>
                    <w:t>3</w:t>
                  </w:r>
                  <w:r>
                    <w:rPr>
                      <w:rFonts w:hint="eastAsia" w:ascii="Times New Roman" w:hAnsi="Times New Roman" w:cs="Times New Roman"/>
                      <w:b/>
                      <w:bCs/>
                      <w:snapToGrid/>
                      <w:color w:val="auto"/>
                      <w:kern w:val="2"/>
                      <w:szCs w:val="24"/>
                      <w:highlight w:val="none"/>
                      <w:lang w:val="en-US" w:eastAsia="zh-CN"/>
                    </w:rPr>
                    <w:t>/h</w:t>
                  </w:r>
                </w:p>
              </w:tc>
              <w:tc>
                <w:tcPr>
                  <w:tcW w:w="430" w:type="pct"/>
                  <w:tcBorders>
                    <w:tl2br w:val="nil"/>
                    <w:tr2bl w:val="nil"/>
                  </w:tcBorders>
                  <w:noWrap w:val="0"/>
                  <w:vAlign w:val="center"/>
                </w:tcPr>
                <w:p w14:paraId="67B8EA0D">
                  <w:pPr>
                    <w:pStyle w:val="98"/>
                    <w:widowControl w:val="0"/>
                    <w:kinsoku/>
                    <w:autoSpaceDE/>
                    <w:autoSpaceDN/>
                    <w:adjustRightInd/>
                    <w:snapToGrid/>
                    <w:jc w:val="center"/>
                    <w:textAlignment w:val="auto"/>
                    <w:rPr>
                      <w:rFonts w:hint="default" w:ascii="Times New Roman" w:hAnsi="Times New Roman" w:cs="Times New Roman"/>
                      <w:b/>
                      <w:bCs/>
                      <w:snapToGrid/>
                      <w:color w:val="auto"/>
                      <w:kern w:val="2"/>
                      <w:szCs w:val="24"/>
                      <w:highlight w:val="none"/>
                      <w:lang w:val="en-US" w:eastAsia="zh-CN"/>
                    </w:rPr>
                  </w:pPr>
                  <w:r>
                    <w:rPr>
                      <w:rFonts w:hint="eastAsia" w:ascii="Times New Roman" w:hAnsi="Times New Roman" w:cs="Times New Roman"/>
                      <w:b/>
                      <w:bCs/>
                      <w:snapToGrid/>
                      <w:color w:val="auto"/>
                      <w:kern w:val="2"/>
                      <w:szCs w:val="24"/>
                      <w:highlight w:val="none"/>
                      <w:lang w:eastAsia="zh-CN"/>
                    </w:rPr>
                    <w:t>产生量 t/a</w:t>
                  </w:r>
                </w:p>
              </w:tc>
              <w:tc>
                <w:tcPr>
                  <w:tcW w:w="447" w:type="pct"/>
                  <w:tcBorders>
                    <w:tl2br w:val="nil"/>
                    <w:tr2bl w:val="nil"/>
                  </w:tcBorders>
                  <w:noWrap w:val="0"/>
                  <w:vAlign w:val="center"/>
                </w:tcPr>
                <w:p w14:paraId="302E9F87">
                  <w:pPr>
                    <w:pStyle w:val="98"/>
                    <w:widowControl w:val="0"/>
                    <w:kinsoku/>
                    <w:autoSpaceDE/>
                    <w:autoSpaceDN/>
                    <w:adjustRightInd/>
                    <w:snapToGrid/>
                    <w:jc w:val="center"/>
                    <w:textAlignment w:val="auto"/>
                    <w:rPr>
                      <w:rFonts w:hint="default" w:ascii="Times New Roman" w:hAnsi="Times New Roman" w:cs="Times New Roman"/>
                      <w:b/>
                      <w:bCs/>
                      <w:snapToGrid/>
                      <w:color w:val="auto"/>
                      <w:kern w:val="2"/>
                      <w:szCs w:val="24"/>
                      <w:highlight w:val="none"/>
                      <w:lang w:val="en-US" w:eastAsia="zh-CN"/>
                    </w:rPr>
                  </w:pPr>
                  <w:r>
                    <w:rPr>
                      <w:rFonts w:hint="eastAsia" w:ascii="Times New Roman" w:hAnsi="Times New Roman" w:cs="Times New Roman"/>
                      <w:b/>
                      <w:bCs/>
                      <w:snapToGrid/>
                      <w:color w:val="auto"/>
                      <w:kern w:val="2"/>
                      <w:szCs w:val="24"/>
                      <w:highlight w:val="none"/>
                      <w:lang w:val="en-US" w:eastAsia="zh-CN"/>
                    </w:rPr>
                    <w:t>产生速率</w:t>
                  </w:r>
                  <w:r>
                    <w:rPr>
                      <w:rFonts w:hint="eastAsia" w:ascii="Times New Roman" w:hAnsi="Times New Roman" w:cs="Times New Roman"/>
                      <w:b/>
                      <w:bCs/>
                      <w:snapToGrid/>
                      <w:color w:val="auto"/>
                      <w:kern w:val="2"/>
                      <w:szCs w:val="24"/>
                      <w:highlight w:val="none"/>
                      <w:lang w:eastAsia="zh-CN"/>
                    </w:rPr>
                    <w:t>kg/h</w:t>
                  </w:r>
                </w:p>
              </w:tc>
              <w:tc>
                <w:tcPr>
                  <w:tcW w:w="462" w:type="pct"/>
                  <w:tcBorders>
                    <w:tl2br w:val="nil"/>
                    <w:tr2bl w:val="nil"/>
                  </w:tcBorders>
                  <w:noWrap w:val="0"/>
                  <w:vAlign w:val="center"/>
                </w:tcPr>
                <w:p w14:paraId="0DF3DDC7">
                  <w:pPr>
                    <w:pStyle w:val="98"/>
                    <w:widowControl w:val="0"/>
                    <w:kinsoku/>
                    <w:autoSpaceDE/>
                    <w:autoSpaceDN/>
                    <w:adjustRightInd/>
                    <w:snapToGrid/>
                    <w:jc w:val="center"/>
                    <w:textAlignment w:val="auto"/>
                    <w:rPr>
                      <w:rFonts w:hint="eastAsia" w:ascii="Times New Roman" w:hAnsi="Times New Roman" w:cs="Times New Roman"/>
                      <w:b/>
                      <w:bCs/>
                      <w:snapToGrid/>
                      <w:color w:val="auto"/>
                      <w:kern w:val="2"/>
                      <w:szCs w:val="24"/>
                      <w:highlight w:val="none"/>
                      <w:lang w:val="en-US" w:eastAsia="zh-CN"/>
                    </w:rPr>
                  </w:pPr>
                  <w:r>
                    <w:rPr>
                      <w:rFonts w:hint="eastAsia" w:ascii="Times New Roman" w:hAnsi="Times New Roman" w:cs="Times New Roman"/>
                      <w:b/>
                      <w:bCs/>
                      <w:snapToGrid/>
                      <w:color w:val="auto"/>
                      <w:kern w:val="2"/>
                      <w:szCs w:val="24"/>
                      <w:highlight w:val="none"/>
                      <w:lang w:val="en-US" w:eastAsia="zh-CN"/>
                    </w:rPr>
                    <w:t>产生浓度</w:t>
                  </w:r>
                </w:p>
                <w:p w14:paraId="3F232E28">
                  <w:pPr>
                    <w:pStyle w:val="98"/>
                    <w:widowControl w:val="0"/>
                    <w:kinsoku/>
                    <w:autoSpaceDE/>
                    <w:autoSpaceDN/>
                    <w:adjustRightInd/>
                    <w:snapToGrid/>
                    <w:jc w:val="center"/>
                    <w:textAlignment w:val="auto"/>
                    <w:rPr>
                      <w:rFonts w:hint="default" w:ascii="Times New Roman" w:hAnsi="Times New Roman" w:cs="Times New Roman"/>
                      <w:b/>
                      <w:bCs/>
                      <w:snapToGrid/>
                      <w:color w:val="auto"/>
                      <w:kern w:val="2"/>
                      <w:szCs w:val="24"/>
                      <w:highlight w:val="none"/>
                      <w:lang w:val="en-US" w:eastAsia="zh-CN"/>
                    </w:rPr>
                  </w:pPr>
                  <w:r>
                    <w:rPr>
                      <w:rFonts w:hint="eastAsia" w:ascii="Times New Roman" w:hAnsi="Times New Roman" w:cs="Times New Roman"/>
                      <w:b/>
                      <w:bCs/>
                      <w:snapToGrid/>
                      <w:color w:val="auto"/>
                      <w:kern w:val="2"/>
                      <w:szCs w:val="24"/>
                      <w:highlight w:val="none"/>
                      <w:lang w:eastAsia="zh-CN"/>
                    </w:rPr>
                    <w:t>mg/ m</w:t>
                  </w:r>
                  <w:r>
                    <w:rPr>
                      <w:rFonts w:hint="eastAsia" w:ascii="Times New Roman" w:hAnsi="Times New Roman" w:cs="Times New Roman"/>
                      <w:b/>
                      <w:bCs/>
                      <w:snapToGrid/>
                      <w:color w:val="auto"/>
                      <w:kern w:val="2"/>
                      <w:szCs w:val="24"/>
                      <w:highlight w:val="none"/>
                      <w:vertAlign w:val="superscript"/>
                      <w:lang w:eastAsia="zh-CN"/>
                    </w:rPr>
                    <w:t>3</w:t>
                  </w:r>
                </w:p>
              </w:tc>
              <w:tc>
                <w:tcPr>
                  <w:tcW w:w="506" w:type="pct"/>
                  <w:tcBorders>
                    <w:tl2br w:val="nil"/>
                    <w:tr2bl w:val="nil"/>
                  </w:tcBorders>
                  <w:noWrap w:val="0"/>
                  <w:vAlign w:val="center"/>
                </w:tcPr>
                <w:p w14:paraId="5857B062">
                  <w:pPr>
                    <w:pStyle w:val="98"/>
                    <w:widowControl w:val="0"/>
                    <w:kinsoku/>
                    <w:autoSpaceDE/>
                    <w:autoSpaceDN/>
                    <w:adjustRightInd/>
                    <w:snapToGrid/>
                    <w:jc w:val="center"/>
                    <w:textAlignment w:val="auto"/>
                    <w:rPr>
                      <w:rFonts w:hint="eastAsia" w:ascii="Times New Roman" w:hAnsi="Times New Roman" w:cs="Times New Roman"/>
                      <w:b/>
                      <w:bCs/>
                      <w:snapToGrid/>
                      <w:color w:val="auto"/>
                      <w:kern w:val="2"/>
                      <w:szCs w:val="24"/>
                      <w:highlight w:val="none"/>
                      <w:lang w:eastAsia="zh-CN"/>
                    </w:rPr>
                  </w:pPr>
                  <w:r>
                    <w:rPr>
                      <w:rFonts w:hint="eastAsia" w:ascii="Times New Roman" w:hAnsi="Times New Roman" w:cs="Times New Roman"/>
                      <w:b/>
                      <w:bCs/>
                      <w:snapToGrid/>
                      <w:color w:val="auto"/>
                      <w:kern w:val="2"/>
                      <w:szCs w:val="24"/>
                      <w:highlight w:val="none"/>
                      <w:lang w:eastAsia="zh-CN"/>
                    </w:rPr>
                    <w:t>治理措施及处理效率</w:t>
                  </w:r>
                </w:p>
              </w:tc>
              <w:tc>
                <w:tcPr>
                  <w:tcW w:w="419" w:type="pct"/>
                  <w:tcBorders>
                    <w:tl2br w:val="nil"/>
                    <w:tr2bl w:val="nil"/>
                  </w:tcBorders>
                  <w:noWrap w:val="0"/>
                  <w:vAlign w:val="center"/>
                </w:tcPr>
                <w:p w14:paraId="2DEE52ED">
                  <w:pPr>
                    <w:pStyle w:val="98"/>
                    <w:widowControl w:val="0"/>
                    <w:kinsoku/>
                    <w:autoSpaceDE/>
                    <w:autoSpaceDN/>
                    <w:adjustRightInd/>
                    <w:snapToGrid/>
                    <w:jc w:val="center"/>
                    <w:textAlignment w:val="auto"/>
                    <w:rPr>
                      <w:rFonts w:hint="eastAsia" w:ascii="Times New Roman" w:hAnsi="Times New Roman" w:cs="Times New Roman"/>
                      <w:b/>
                      <w:bCs/>
                      <w:snapToGrid/>
                      <w:color w:val="auto"/>
                      <w:kern w:val="2"/>
                      <w:szCs w:val="24"/>
                      <w:highlight w:val="none"/>
                      <w:lang w:eastAsia="zh-CN"/>
                    </w:rPr>
                  </w:pPr>
                  <w:r>
                    <w:rPr>
                      <w:rFonts w:hint="eastAsia" w:ascii="Times New Roman" w:hAnsi="Times New Roman" w:cs="Times New Roman"/>
                      <w:b/>
                      <w:bCs/>
                      <w:snapToGrid/>
                      <w:color w:val="auto"/>
                      <w:kern w:val="2"/>
                      <w:szCs w:val="24"/>
                      <w:highlight w:val="none"/>
                      <w:lang w:eastAsia="zh-CN"/>
                    </w:rPr>
                    <w:t>排放量t/a</w:t>
                  </w:r>
                </w:p>
              </w:tc>
              <w:tc>
                <w:tcPr>
                  <w:tcW w:w="446" w:type="pct"/>
                  <w:tcBorders>
                    <w:tl2br w:val="nil"/>
                    <w:tr2bl w:val="nil"/>
                  </w:tcBorders>
                  <w:noWrap w:val="0"/>
                  <w:vAlign w:val="center"/>
                </w:tcPr>
                <w:p w14:paraId="348B7273">
                  <w:pPr>
                    <w:pStyle w:val="98"/>
                    <w:widowControl w:val="0"/>
                    <w:kinsoku/>
                    <w:autoSpaceDE/>
                    <w:autoSpaceDN/>
                    <w:adjustRightInd/>
                    <w:snapToGrid/>
                    <w:jc w:val="center"/>
                    <w:textAlignment w:val="auto"/>
                    <w:rPr>
                      <w:rFonts w:hint="eastAsia" w:ascii="Times New Roman" w:hAnsi="Times New Roman" w:cs="Times New Roman"/>
                      <w:b/>
                      <w:bCs/>
                      <w:snapToGrid/>
                      <w:color w:val="auto"/>
                      <w:kern w:val="2"/>
                      <w:szCs w:val="24"/>
                      <w:highlight w:val="none"/>
                      <w:lang w:eastAsia="zh-CN"/>
                    </w:rPr>
                  </w:pPr>
                  <w:r>
                    <w:rPr>
                      <w:rFonts w:hint="eastAsia" w:ascii="Times New Roman" w:hAnsi="Times New Roman" w:cs="Times New Roman"/>
                      <w:b/>
                      <w:bCs/>
                      <w:snapToGrid/>
                      <w:color w:val="auto"/>
                      <w:kern w:val="2"/>
                      <w:szCs w:val="24"/>
                      <w:highlight w:val="none"/>
                      <w:lang w:eastAsia="zh-CN"/>
                    </w:rPr>
                    <w:t>排放速率kg/h</w:t>
                  </w:r>
                </w:p>
              </w:tc>
              <w:tc>
                <w:tcPr>
                  <w:tcW w:w="462" w:type="pct"/>
                  <w:tcBorders>
                    <w:tl2br w:val="nil"/>
                    <w:tr2bl w:val="nil"/>
                  </w:tcBorders>
                  <w:noWrap w:val="0"/>
                  <w:vAlign w:val="center"/>
                </w:tcPr>
                <w:p w14:paraId="2F269834">
                  <w:pPr>
                    <w:pStyle w:val="98"/>
                    <w:widowControl w:val="0"/>
                    <w:kinsoku/>
                    <w:autoSpaceDE/>
                    <w:autoSpaceDN/>
                    <w:adjustRightInd/>
                    <w:snapToGrid/>
                    <w:jc w:val="center"/>
                    <w:textAlignment w:val="auto"/>
                    <w:rPr>
                      <w:rFonts w:hint="eastAsia" w:ascii="Times New Roman" w:hAnsi="Times New Roman" w:cs="Times New Roman"/>
                      <w:b/>
                      <w:bCs/>
                      <w:snapToGrid/>
                      <w:color w:val="auto"/>
                      <w:kern w:val="2"/>
                      <w:szCs w:val="24"/>
                      <w:highlight w:val="none"/>
                      <w:lang w:eastAsia="zh-CN"/>
                    </w:rPr>
                  </w:pPr>
                  <w:r>
                    <w:rPr>
                      <w:rFonts w:hint="eastAsia" w:ascii="Times New Roman" w:hAnsi="Times New Roman" w:cs="Times New Roman"/>
                      <w:b/>
                      <w:bCs/>
                      <w:snapToGrid/>
                      <w:color w:val="auto"/>
                      <w:kern w:val="2"/>
                      <w:szCs w:val="24"/>
                      <w:highlight w:val="none"/>
                      <w:lang w:eastAsia="zh-CN"/>
                    </w:rPr>
                    <w:t>排放浓度</w:t>
                  </w:r>
                </w:p>
                <w:p w14:paraId="548B0C9E">
                  <w:pPr>
                    <w:pStyle w:val="98"/>
                    <w:widowControl w:val="0"/>
                    <w:kinsoku/>
                    <w:autoSpaceDE/>
                    <w:autoSpaceDN/>
                    <w:adjustRightInd/>
                    <w:snapToGrid/>
                    <w:jc w:val="center"/>
                    <w:textAlignment w:val="auto"/>
                    <w:rPr>
                      <w:rFonts w:hint="eastAsia" w:ascii="Times New Roman" w:hAnsi="Times New Roman" w:cs="Times New Roman"/>
                      <w:b/>
                      <w:bCs/>
                      <w:snapToGrid/>
                      <w:color w:val="auto"/>
                      <w:kern w:val="2"/>
                      <w:szCs w:val="24"/>
                      <w:highlight w:val="none"/>
                      <w:lang w:eastAsia="zh-CN"/>
                    </w:rPr>
                  </w:pPr>
                  <w:r>
                    <w:rPr>
                      <w:rFonts w:hint="eastAsia" w:ascii="Times New Roman" w:hAnsi="Times New Roman" w:cs="Times New Roman"/>
                      <w:b/>
                      <w:bCs/>
                      <w:snapToGrid/>
                      <w:color w:val="auto"/>
                      <w:kern w:val="2"/>
                      <w:szCs w:val="24"/>
                      <w:highlight w:val="none"/>
                      <w:lang w:eastAsia="zh-CN"/>
                    </w:rPr>
                    <w:t>mg/ m</w:t>
                  </w:r>
                  <w:r>
                    <w:rPr>
                      <w:rFonts w:hint="eastAsia" w:ascii="Times New Roman" w:hAnsi="Times New Roman" w:cs="Times New Roman"/>
                      <w:b/>
                      <w:bCs/>
                      <w:snapToGrid/>
                      <w:color w:val="auto"/>
                      <w:kern w:val="2"/>
                      <w:szCs w:val="24"/>
                      <w:highlight w:val="none"/>
                      <w:vertAlign w:val="superscript"/>
                      <w:lang w:eastAsia="zh-CN"/>
                    </w:rPr>
                    <w:t>3</w:t>
                  </w:r>
                </w:p>
              </w:tc>
            </w:tr>
            <w:tr w14:paraId="61A54A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7" w:hRule="atLeast"/>
                <w:jc w:val="center"/>
              </w:trPr>
              <w:tc>
                <w:tcPr>
                  <w:tcW w:w="492" w:type="pct"/>
                  <w:tcBorders>
                    <w:tl2br w:val="nil"/>
                    <w:tr2bl w:val="nil"/>
                  </w:tcBorders>
                  <w:noWrap w:val="0"/>
                  <w:vAlign w:val="center"/>
                </w:tcPr>
                <w:p w14:paraId="1CA9E558">
                  <w:pPr>
                    <w:pStyle w:val="98"/>
                    <w:widowControl w:val="0"/>
                    <w:kinsoku/>
                    <w:autoSpaceDE/>
                    <w:autoSpaceDN/>
                    <w:adjustRightInd/>
                    <w:snapToGrid/>
                    <w:jc w:val="center"/>
                    <w:textAlignment w:val="auto"/>
                    <w:rPr>
                      <w:rFonts w:hint="eastAsia" w:ascii="Times New Roman" w:hAnsi="Times New Roman" w:eastAsia="宋体" w:cs="Times New Roman"/>
                      <w:snapToGrid/>
                      <w:color w:val="auto"/>
                      <w:kern w:val="2"/>
                      <w:szCs w:val="24"/>
                      <w:highlight w:val="none"/>
                      <w:lang w:eastAsia="zh-CN"/>
                    </w:rPr>
                  </w:pPr>
                  <w:r>
                    <w:rPr>
                      <w:rFonts w:hint="eastAsia" w:ascii="Times New Roman" w:hAnsi="Times New Roman" w:eastAsia="宋体" w:cs="Times New Roman"/>
                      <w:snapToGrid/>
                      <w:color w:val="auto"/>
                      <w:kern w:val="2"/>
                      <w:szCs w:val="24"/>
                      <w:highlight w:val="none"/>
                      <w:lang w:val="en-US" w:eastAsia="zh-CN"/>
                    </w:rPr>
                    <w:t>沥青烟</w:t>
                  </w:r>
                </w:p>
              </w:tc>
              <w:tc>
                <w:tcPr>
                  <w:tcW w:w="407" w:type="pct"/>
                  <w:vMerge w:val="restart"/>
                  <w:tcBorders>
                    <w:tl2br w:val="nil"/>
                    <w:tr2bl w:val="nil"/>
                  </w:tcBorders>
                  <w:noWrap w:val="0"/>
                  <w:vAlign w:val="center"/>
                </w:tcPr>
                <w:p w14:paraId="4B96579F">
                  <w:pPr>
                    <w:pStyle w:val="98"/>
                    <w:widowControl w:val="0"/>
                    <w:kinsoku/>
                    <w:autoSpaceDE/>
                    <w:autoSpaceDN/>
                    <w:adjustRightInd/>
                    <w:snapToGrid/>
                    <w:jc w:val="center"/>
                    <w:textAlignment w:val="auto"/>
                    <w:rPr>
                      <w:rFonts w:hint="eastAsia" w:ascii="Times New Roman" w:hAnsi="Times New Roman" w:cs="Times New Roman"/>
                      <w:snapToGrid/>
                      <w:color w:val="auto"/>
                      <w:kern w:val="2"/>
                      <w:szCs w:val="24"/>
                      <w:highlight w:val="none"/>
                      <w:lang w:eastAsia="zh-CN"/>
                    </w:rPr>
                  </w:pPr>
                  <w:r>
                    <w:rPr>
                      <w:rFonts w:hint="eastAsia" w:ascii="Times New Roman" w:hAnsi="Times New Roman" w:cs="Times New Roman"/>
                      <w:snapToGrid/>
                      <w:color w:val="auto"/>
                      <w:kern w:val="2"/>
                      <w:szCs w:val="24"/>
                      <w:highlight w:val="none"/>
                      <w:lang w:eastAsia="zh-CN"/>
                    </w:rPr>
                    <w:t>有组织</w:t>
                  </w:r>
                </w:p>
              </w:tc>
              <w:tc>
                <w:tcPr>
                  <w:tcW w:w="397" w:type="pct"/>
                  <w:vMerge w:val="restart"/>
                  <w:tcBorders>
                    <w:tl2br w:val="nil"/>
                    <w:tr2bl w:val="nil"/>
                  </w:tcBorders>
                  <w:noWrap w:val="0"/>
                  <w:vAlign w:val="center"/>
                </w:tcPr>
                <w:p w14:paraId="473C6EDA">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3840</w:t>
                  </w:r>
                </w:p>
              </w:tc>
              <w:tc>
                <w:tcPr>
                  <w:tcW w:w="525" w:type="pct"/>
                  <w:vMerge w:val="restart"/>
                  <w:tcBorders>
                    <w:tl2br w:val="nil"/>
                    <w:tr2bl w:val="nil"/>
                  </w:tcBorders>
                  <w:noWrap w:val="0"/>
                  <w:vAlign w:val="center"/>
                </w:tcPr>
                <w:p w14:paraId="61BCB1F7">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10000</w:t>
                  </w:r>
                </w:p>
              </w:tc>
              <w:tc>
                <w:tcPr>
                  <w:tcW w:w="430" w:type="pct"/>
                  <w:tcBorders>
                    <w:tl2br w:val="nil"/>
                    <w:tr2bl w:val="nil"/>
                  </w:tcBorders>
                  <w:noWrap w:val="0"/>
                  <w:vAlign w:val="center"/>
                </w:tcPr>
                <w:p w14:paraId="65B3A295">
                  <w:pPr>
                    <w:pStyle w:val="98"/>
                    <w:widowControl w:val="0"/>
                    <w:kinsoku/>
                    <w:autoSpaceDE/>
                    <w:autoSpaceDN/>
                    <w:adjustRightInd/>
                    <w:snapToGrid/>
                    <w:ind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0.6772</w:t>
                  </w:r>
                </w:p>
              </w:tc>
              <w:tc>
                <w:tcPr>
                  <w:tcW w:w="447" w:type="pct"/>
                  <w:tcBorders>
                    <w:tl2br w:val="nil"/>
                    <w:tr2bl w:val="nil"/>
                  </w:tcBorders>
                  <w:noWrap w:val="0"/>
                  <w:vAlign w:val="center"/>
                </w:tcPr>
                <w:p w14:paraId="327DC842">
                  <w:pPr>
                    <w:pStyle w:val="98"/>
                    <w:widowControl w:val="0"/>
                    <w:kinsoku/>
                    <w:autoSpaceDE/>
                    <w:autoSpaceDN/>
                    <w:adjustRightInd/>
                    <w:snapToGrid/>
                    <w:ind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0.176</w:t>
                  </w:r>
                </w:p>
              </w:tc>
              <w:tc>
                <w:tcPr>
                  <w:tcW w:w="462" w:type="pct"/>
                  <w:tcBorders>
                    <w:tl2br w:val="nil"/>
                    <w:tr2bl w:val="nil"/>
                  </w:tcBorders>
                  <w:noWrap w:val="0"/>
                  <w:vAlign w:val="center"/>
                </w:tcPr>
                <w:p w14:paraId="0D0C702C">
                  <w:pPr>
                    <w:pStyle w:val="98"/>
                    <w:widowControl w:val="0"/>
                    <w:kinsoku/>
                    <w:autoSpaceDE/>
                    <w:autoSpaceDN/>
                    <w:adjustRightInd/>
                    <w:snapToGrid/>
                    <w:ind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17.6</w:t>
                  </w:r>
                </w:p>
              </w:tc>
              <w:tc>
                <w:tcPr>
                  <w:tcW w:w="506" w:type="pct"/>
                  <w:vMerge w:val="restart"/>
                  <w:tcBorders>
                    <w:tl2br w:val="nil"/>
                    <w:tr2bl w:val="nil"/>
                  </w:tcBorders>
                  <w:noWrap w:val="0"/>
                  <w:vAlign w:val="center"/>
                </w:tcPr>
                <w:p w14:paraId="6DDAD54E">
                  <w:pPr>
                    <w:pStyle w:val="98"/>
                    <w:widowControl w:val="0"/>
                    <w:kinsoku/>
                    <w:autoSpaceDE/>
                    <w:autoSpaceDN/>
                    <w:adjustRightInd/>
                    <w:snapToGrid/>
                    <w:jc w:val="center"/>
                    <w:textAlignment w:val="auto"/>
                    <w:rPr>
                      <w:rFonts w:hint="default" w:ascii="Times New Roman" w:hAnsi="Times New Roman" w:eastAsia="宋体" w:cs="Times New Roman"/>
                      <w:snapToGrid/>
                      <w:color w:val="auto"/>
                      <w:kern w:val="2"/>
                      <w:szCs w:val="24"/>
                      <w:highlight w:val="none"/>
                      <w:lang w:val="en-US" w:eastAsia="zh-CN"/>
                    </w:rPr>
                  </w:pPr>
                  <w:r>
                    <w:rPr>
                      <w:rFonts w:hint="eastAsia" w:ascii="Times New Roman" w:hAnsi="Times New Roman" w:eastAsia="宋体" w:cs="Times New Roman"/>
                      <w:snapToGrid/>
                      <w:color w:val="auto"/>
                      <w:kern w:val="2"/>
                      <w:szCs w:val="24"/>
                      <w:highlight w:val="none"/>
                      <w:lang w:val="en-US" w:eastAsia="zh-CN"/>
                    </w:rPr>
                    <w:t>喷淋塔+除雾器+活性炭吸附装置（80%）</w:t>
                  </w:r>
                </w:p>
              </w:tc>
              <w:tc>
                <w:tcPr>
                  <w:tcW w:w="419" w:type="pct"/>
                  <w:tcBorders>
                    <w:tl2br w:val="nil"/>
                    <w:tr2bl w:val="nil"/>
                  </w:tcBorders>
                  <w:noWrap w:val="0"/>
                  <w:vAlign w:val="center"/>
                </w:tcPr>
                <w:p w14:paraId="35BB6F91">
                  <w:pPr>
                    <w:pStyle w:val="98"/>
                    <w:widowControl w:val="0"/>
                    <w:kinsoku/>
                    <w:autoSpaceDE/>
                    <w:autoSpaceDN/>
                    <w:adjustRightInd/>
                    <w:snapToGrid/>
                    <w:ind w:firstLine="0" w:firstLineChars="0"/>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0.135</w:t>
                  </w:r>
                </w:p>
              </w:tc>
              <w:tc>
                <w:tcPr>
                  <w:tcW w:w="446" w:type="pct"/>
                  <w:tcBorders>
                    <w:tl2br w:val="nil"/>
                    <w:tr2bl w:val="nil"/>
                  </w:tcBorders>
                  <w:noWrap w:val="0"/>
                  <w:vAlign w:val="center"/>
                </w:tcPr>
                <w:p w14:paraId="19514EE9">
                  <w:pPr>
                    <w:pStyle w:val="98"/>
                    <w:widowControl w:val="0"/>
                    <w:kinsoku/>
                    <w:autoSpaceDE/>
                    <w:autoSpaceDN/>
                    <w:adjustRightInd/>
                    <w:snapToGrid/>
                    <w:ind w:firstLine="0" w:firstLineChars="0"/>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0.035</w:t>
                  </w:r>
                </w:p>
              </w:tc>
              <w:tc>
                <w:tcPr>
                  <w:tcW w:w="462" w:type="pct"/>
                  <w:tcBorders>
                    <w:tl2br w:val="nil"/>
                    <w:tr2bl w:val="nil"/>
                  </w:tcBorders>
                  <w:noWrap w:val="0"/>
                  <w:vAlign w:val="center"/>
                </w:tcPr>
                <w:p w14:paraId="04F88E8A">
                  <w:pPr>
                    <w:pStyle w:val="98"/>
                    <w:widowControl w:val="0"/>
                    <w:kinsoku/>
                    <w:autoSpaceDE/>
                    <w:autoSpaceDN/>
                    <w:adjustRightInd/>
                    <w:snapToGrid/>
                    <w:ind w:firstLine="0" w:firstLineChars="0"/>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3.5</w:t>
                  </w:r>
                </w:p>
              </w:tc>
            </w:tr>
            <w:tr w14:paraId="244A4A6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08" w:hRule="atLeast"/>
                <w:jc w:val="center"/>
              </w:trPr>
              <w:tc>
                <w:tcPr>
                  <w:tcW w:w="492" w:type="pct"/>
                  <w:tcBorders>
                    <w:tl2br w:val="nil"/>
                    <w:tr2bl w:val="nil"/>
                  </w:tcBorders>
                  <w:noWrap w:val="0"/>
                  <w:vAlign w:val="center"/>
                </w:tcPr>
                <w:p w14:paraId="5DCE4683">
                  <w:pPr>
                    <w:pStyle w:val="98"/>
                    <w:widowControl w:val="0"/>
                    <w:kinsoku/>
                    <w:autoSpaceDE/>
                    <w:autoSpaceDN/>
                    <w:adjustRightInd/>
                    <w:snapToGrid/>
                    <w:jc w:val="center"/>
                    <w:textAlignment w:val="auto"/>
                    <w:rPr>
                      <w:rFonts w:hint="eastAsia" w:ascii="Times New Roman" w:hAnsi="Times New Roman" w:eastAsia="宋体" w:cs="Times New Roman"/>
                      <w:snapToGrid/>
                      <w:color w:val="auto"/>
                      <w:kern w:val="2"/>
                      <w:szCs w:val="24"/>
                      <w:highlight w:val="none"/>
                      <w:lang w:eastAsia="zh-CN"/>
                    </w:rPr>
                  </w:pPr>
                  <w:r>
                    <w:rPr>
                      <w:rFonts w:hint="eastAsia" w:ascii="Times New Roman" w:hAnsi="Times New Roman" w:eastAsia="宋体" w:cs="Times New Roman"/>
                      <w:color w:val="auto"/>
                      <w:highlight w:val="none"/>
                      <w:lang w:val="en-US" w:eastAsia="zh-CN"/>
                    </w:rPr>
                    <w:t>苯并[a]芘</w:t>
                  </w:r>
                </w:p>
              </w:tc>
              <w:tc>
                <w:tcPr>
                  <w:tcW w:w="407" w:type="pct"/>
                  <w:vMerge w:val="continue"/>
                  <w:tcBorders>
                    <w:tl2br w:val="nil"/>
                    <w:tr2bl w:val="nil"/>
                  </w:tcBorders>
                  <w:noWrap w:val="0"/>
                  <w:vAlign w:val="center"/>
                </w:tcPr>
                <w:p w14:paraId="08A21525">
                  <w:pPr>
                    <w:pStyle w:val="98"/>
                    <w:widowControl w:val="0"/>
                    <w:kinsoku/>
                    <w:autoSpaceDE/>
                    <w:autoSpaceDN/>
                    <w:adjustRightInd/>
                    <w:snapToGrid/>
                    <w:jc w:val="center"/>
                    <w:textAlignment w:val="auto"/>
                    <w:rPr>
                      <w:rFonts w:hint="eastAsia" w:ascii="Times New Roman" w:hAnsi="Times New Roman" w:cs="Times New Roman"/>
                      <w:snapToGrid/>
                      <w:color w:val="auto"/>
                      <w:kern w:val="2"/>
                      <w:szCs w:val="24"/>
                      <w:highlight w:val="none"/>
                      <w:lang w:eastAsia="zh-CN"/>
                    </w:rPr>
                  </w:pPr>
                </w:p>
              </w:tc>
              <w:tc>
                <w:tcPr>
                  <w:tcW w:w="397" w:type="pct"/>
                  <w:vMerge w:val="continue"/>
                  <w:tcBorders>
                    <w:tl2br w:val="nil"/>
                    <w:tr2bl w:val="nil"/>
                  </w:tcBorders>
                  <w:noWrap w:val="0"/>
                  <w:vAlign w:val="center"/>
                </w:tcPr>
                <w:p w14:paraId="7BE9B652">
                  <w:pPr>
                    <w:pStyle w:val="98"/>
                    <w:widowControl w:val="0"/>
                    <w:kinsoku/>
                    <w:autoSpaceDE/>
                    <w:autoSpaceDN/>
                    <w:adjustRightInd/>
                    <w:snapToGrid/>
                    <w:jc w:val="center"/>
                    <w:textAlignment w:val="auto"/>
                    <w:rPr>
                      <w:rFonts w:hint="eastAsia" w:ascii="Times New Roman" w:hAnsi="Times New Roman" w:cs="Times New Roman"/>
                      <w:snapToGrid/>
                      <w:color w:val="auto"/>
                      <w:kern w:val="2"/>
                      <w:szCs w:val="24"/>
                      <w:highlight w:val="none"/>
                      <w:lang w:eastAsia="zh-CN"/>
                    </w:rPr>
                  </w:pPr>
                </w:p>
              </w:tc>
              <w:tc>
                <w:tcPr>
                  <w:tcW w:w="525" w:type="pct"/>
                  <w:vMerge w:val="continue"/>
                  <w:tcBorders>
                    <w:tl2br w:val="nil"/>
                    <w:tr2bl w:val="nil"/>
                  </w:tcBorders>
                  <w:noWrap w:val="0"/>
                  <w:vAlign w:val="center"/>
                </w:tcPr>
                <w:p w14:paraId="173B664C">
                  <w:pPr>
                    <w:pStyle w:val="98"/>
                    <w:widowControl w:val="0"/>
                    <w:kinsoku/>
                    <w:autoSpaceDE/>
                    <w:autoSpaceDN/>
                    <w:adjustRightInd/>
                    <w:snapToGrid/>
                    <w:jc w:val="center"/>
                    <w:textAlignment w:val="auto"/>
                    <w:rPr>
                      <w:rFonts w:hint="eastAsia" w:ascii="Times New Roman" w:hAnsi="Times New Roman" w:cs="Times New Roman"/>
                      <w:snapToGrid/>
                      <w:color w:val="auto"/>
                      <w:kern w:val="2"/>
                      <w:szCs w:val="24"/>
                      <w:highlight w:val="none"/>
                      <w:lang w:eastAsia="zh-CN"/>
                    </w:rPr>
                  </w:pPr>
                </w:p>
              </w:tc>
              <w:tc>
                <w:tcPr>
                  <w:tcW w:w="430" w:type="pct"/>
                  <w:tcBorders>
                    <w:tl2br w:val="nil"/>
                    <w:tr2bl w:val="nil"/>
                  </w:tcBorders>
                  <w:noWrap w:val="0"/>
                  <w:vAlign w:val="center"/>
                </w:tcPr>
                <w:p w14:paraId="2E57678B">
                  <w:pPr>
                    <w:pStyle w:val="98"/>
                    <w:widowControl w:val="0"/>
                    <w:kinsoku/>
                    <w:autoSpaceDE/>
                    <w:autoSpaceDN/>
                    <w:adjustRightInd/>
                    <w:snapToGrid/>
                    <w:ind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0.0009</w:t>
                  </w:r>
                </w:p>
              </w:tc>
              <w:tc>
                <w:tcPr>
                  <w:tcW w:w="447" w:type="pct"/>
                  <w:tcBorders>
                    <w:tl2br w:val="nil"/>
                    <w:tr2bl w:val="nil"/>
                  </w:tcBorders>
                  <w:noWrap w:val="0"/>
                  <w:vAlign w:val="center"/>
                </w:tcPr>
                <w:p w14:paraId="3FC20B5A">
                  <w:pPr>
                    <w:pStyle w:val="98"/>
                    <w:widowControl w:val="0"/>
                    <w:kinsoku/>
                    <w:autoSpaceDE/>
                    <w:autoSpaceDN/>
                    <w:adjustRightInd/>
                    <w:snapToGrid/>
                    <w:ind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0.0002</w:t>
                  </w:r>
                </w:p>
              </w:tc>
              <w:tc>
                <w:tcPr>
                  <w:tcW w:w="462" w:type="pct"/>
                  <w:tcBorders>
                    <w:tl2br w:val="nil"/>
                    <w:tr2bl w:val="nil"/>
                  </w:tcBorders>
                  <w:noWrap w:val="0"/>
                  <w:vAlign w:val="center"/>
                </w:tcPr>
                <w:p w14:paraId="24248746">
                  <w:pPr>
                    <w:pStyle w:val="98"/>
                    <w:widowControl w:val="0"/>
                    <w:kinsoku/>
                    <w:autoSpaceDE/>
                    <w:autoSpaceDN/>
                    <w:adjustRightInd/>
                    <w:snapToGrid/>
                    <w:ind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0.02</w:t>
                  </w:r>
                </w:p>
              </w:tc>
              <w:tc>
                <w:tcPr>
                  <w:tcW w:w="506" w:type="pct"/>
                  <w:vMerge w:val="continue"/>
                  <w:tcBorders>
                    <w:tl2br w:val="nil"/>
                    <w:tr2bl w:val="nil"/>
                  </w:tcBorders>
                  <w:noWrap w:val="0"/>
                  <w:vAlign w:val="center"/>
                </w:tcPr>
                <w:p w14:paraId="2FDB4C78">
                  <w:pPr>
                    <w:pStyle w:val="98"/>
                    <w:widowControl w:val="0"/>
                    <w:kinsoku/>
                    <w:autoSpaceDE/>
                    <w:autoSpaceDN/>
                    <w:adjustRightInd/>
                    <w:snapToGrid/>
                    <w:jc w:val="center"/>
                    <w:textAlignment w:val="auto"/>
                    <w:rPr>
                      <w:rFonts w:hint="default" w:ascii="Times New Roman" w:hAnsi="Times New Roman" w:eastAsia="宋体" w:cs="Times New Roman"/>
                      <w:snapToGrid/>
                      <w:color w:val="auto"/>
                      <w:kern w:val="2"/>
                      <w:szCs w:val="24"/>
                      <w:highlight w:val="none"/>
                      <w:lang w:val="en-US" w:eastAsia="zh-CN"/>
                    </w:rPr>
                  </w:pPr>
                </w:p>
              </w:tc>
              <w:tc>
                <w:tcPr>
                  <w:tcW w:w="419" w:type="pct"/>
                  <w:tcBorders>
                    <w:tl2br w:val="nil"/>
                    <w:tr2bl w:val="nil"/>
                  </w:tcBorders>
                  <w:noWrap w:val="0"/>
                  <w:vAlign w:val="center"/>
                </w:tcPr>
                <w:p w14:paraId="5071B646">
                  <w:pPr>
                    <w:pStyle w:val="98"/>
                    <w:widowControl w:val="0"/>
                    <w:kinsoku/>
                    <w:autoSpaceDE/>
                    <w:autoSpaceDN/>
                    <w:adjustRightInd/>
                    <w:snapToGrid/>
                    <w:ind w:firstLine="0" w:firstLineChars="0"/>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0.0002</w:t>
                  </w:r>
                </w:p>
              </w:tc>
              <w:tc>
                <w:tcPr>
                  <w:tcW w:w="446" w:type="pct"/>
                  <w:tcBorders>
                    <w:tl2br w:val="nil"/>
                    <w:tr2bl w:val="nil"/>
                  </w:tcBorders>
                  <w:noWrap w:val="0"/>
                  <w:vAlign w:val="center"/>
                </w:tcPr>
                <w:p w14:paraId="7CDD6E86">
                  <w:pPr>
                    <w:pStyle w:val="98"/>
                    <w:widowControl w:val="0"/>
                    <w:kinsoku/>
                    <w:autoSpaceDE/>
                    <w:autoSpaceDN/>
                    <w:adjustRightInd/>
                    <w:snapToGrid/>
                    <w:ind w:firstLine="0" w:firstLineChars="0"/>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0.00005</w:t>
                  </w:r>
                </w:p>
              </w:tc>
              <w:tc>
                <w:tcPr>
                  <w:tcW w:w="462" w:type="pct"/>
                  <w:tcBorders>
                    <w:tl2br w:val="nil"/>
                    <w:tr2bl w:val="nil"/>
                  </w:tcBorders>
                  <w:noWrap w:val="0"/>
                  <w:vAlign w:val="center"/>
                </w:tcPr>
                <w:p w14:paraId="49B9146A">
                  <w:pPr>
                    <w:pStyle w:val="98"/>
                    <w:widowControl w:val="0"/>
                    <w:kinsoku/>
                    <w:autoSpaceDE/>
                    <w:autoSpaceDN/>
                    <w:adjustRightInd/>
                    <w:snapToGrid/>
                    <w:ind w:firstLine="0" w:firstLineChars="0"/>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0.005</w:t>
                  </w:r>
                </w:p>
              </w:tc>
            </w:tr>
            <w:tr w14:paraId="0BBF3B7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08" w:hRule="atLeast"/>
                <w:jc w:val="center"/>
              </w:trPr>
              <w:tc>
                <w:tcPr>
                  <w:tcW w:w="492" w:type="pct"/>
                  <w:tcBorders>
                    <w:tl2br w:val="nil"/>
                    <w:tr2bl w:val="nil"/>
                  </w:tcBorders>
                  <w:noWrap w:val="0"/>
                  <w:vAlign w:val="center"/>
                </w:tcPr>
                <w:p w14:paraId="15B960F8">
                  <w:pPr>
                    <w:pStyle w:val="98"/>
                    <w:widowControl w:val="0"/>
                    <w:kinsoku/>
                    <w:autoSpaceDE/>
                    <w:autoSpaceDN/>
                    <w:adjustRightInd/>
                    <w:snapToGrid/>
                    <w:jc w:val="center"/>
                    <w:textAlignment w:val="auto"/>
                    <w:rPr>
                      <w:rFonts w:hint="eastAsia" w:ascii="Times New Roman" w:hAnsi="Times New Roman" w:eastAsia="宋体" w:cs="Times New Roman"/>
                      <w:snapToGrid/>
                      <w:color w:val="auto"/>
                      <w:kern w:val="2"/>
                      <w:szCs w:val="24"/>
                      <w:highlight w:val="none"/>
                      <w:lang w:eastAsia="zh-CN"/>
                    </w:rPr>
                  </w:pPr>
                  <w:r>
                    <w:rPr>
                      <w:rFonts w:hint="eastAsia" w:ascii="Times New Roman" w:hAnsi="Times New Roman" w:eastAsia="宋体" w:cs="Times New Roman"/>
                      <w:snapToGrid/>
                      <w:color w:val="auto"/>
                      <w:kern w:val="2"/>
                      <w:szCs w:val="24"/>
                      <w:highlight w:val="none"/>
                      <w:lang w:val="en-US" w:eastAsia="zh-CN"/>
                    </w:rPr>
                    <w:t>非甲烷总烃</w:t>
                  </w:r>
                </w:p>
              </w:tc>
              <w:tc>
                <w:tcPr>
                  <w:tcW w:w="407" w:type="pct"/>
                  <w:vMerge w:val="continue"/>
                  <w:tcBorders>
                    <w:tl2br w:val="nil"/>
                    <w:tr2bl w:val="nil"/>
                  </w:tcBorders>
                  <w:noWrap w:val="0"/>
                  <w:vAlign w:val="center"/>
                </w:tcPr>
                <w:p w14:paraId="56C4DC3B">
                  <w:pPr>
                    <w:pStyle w:val="98"/>
                    <w:widowControl w:val="0"/>
                    <w:kinsoku/>
                    <w:autoSpaceDE/>
                    <w:autoSpaceDN/>
                    <w:adjustRightInd/>
                    <w:snapToGrid/>
                    <w:jc w:val="center"/>
                    <w:textAlignment w:val="auto"/>
                    <w:rPr>
                      <w:rFonts w:hint="eastAsia" w:ascii="Times New Roman" w:hAnsi="Times New Roman" w:cs="Times New Roman"/>
                      <w:snapToGrid/>
                      <w:color w:val="auto"/>
                      <w:kern w:val="2"/>
                      <w:szCs w:val="24"/>
                      <w:highlight w:val="none"/>
                      <w:lang w:eastAsia="zh-CN"/>
                    </w:rPr>
                  </w:pPr>
                </w:p>
              </w:tc>
              <w:tc>
                <w:tcPr>
                  <w:tcW w:w="397" w:type="pct"/>
                  <w:vMerge w:val="continue"/>
                  <w:tcBorders>
                    <w:tl2br w:val="nil"/>
                    <w:tr2bl w:val="nil"/>
                  </w:tcBorders>
                  <w:noWrap w:val="0"/>
                  <w:vAlign w:val="center"/>
                </w:tcPr>
                <w:p w14:paraId="4F5982C7">
                  <w:pPr>
                    <w:pStyle w:val="98"/>
                    <w:widowControl w:val="0"/>
                    <w:kinsoku/>
                    <w:autoSpaceDE/>
                    <w:autoSpaceDN/>
                    <w:adjustRightInd/>
                    <w:snapToGrid/>
                    <w:jc w:val="center"/>
                    <w:textAlignment w:val="auto"/>
                    <w:rPr>
                      <w:rFonts w:hint="eastAsia" w:ascii="Times New Roman" w:hAnsi="Times New Roman" w:cs="Times New Roman"/>
                      <w:snapToGrid/>
                      <w:color w:val="auto"/>
                      <w:kern w:val="2"/>
                      <w:szCs w:val="24"/>
                      <w:highlight w:val="none"/>
                      <w:lang w:eastAsia="zh-CN"/>
                    </w:rPr>
                  </w:pPr>
                </w:p>
              </w:tc>
              <w:tc>
                <w:tcPr>
                  <w:tcW w:w="525" w:type="pct"/>
                  <w:vMerge w:val="continue"/>
                  <w:tcBorders>
                    <w:tl2br w:val="nil"/>
                    <w:tr2bl w:val="nil"/>
                  </w:tcBorders>
                  <w:noWrap w:val="0"/>
                  <w:vAlign w:val="center"/>
                </w:tcPr>
                <w:p w14:paraId="0F3A1146">
                  <w:pPr>
                    <w:pStyle w:val="98"/>
                    <w:widowControl w:val="0"/>
                    <w:kinsoku/>
                    <w:autoSpaceDE/>
                    <w:autoSpaceDN/>
                    <w:adjustRightInd/>
                    <w:snapToGrid/>
                    <w:jc w:val="center"/>
                    <w:textAlignment w:val="auto"/>
                    <w:rPr>
                      <w:rFonts w:hint="eastAsia" w:ascii="Times New Roman" w:hAnsi="Times New Roman" w:cs="Times New Roman"/>
                      <w:snapToGrid/>
                      <w:color w:val="auto"/>
                      <w:kern w:val="2"/>
                      <w:szCs w:val="24"/>
                      <w:highlight w:val="none"/>
                      <w:lang w:eastAsia="zh-CN"/>
                    </w:rPr>
                  </w:pPr>
                </w:p>
              </w:tc>
              <w:tc>
                <w:tcPr>
                  <w:tcW w:w="430" w:type="pct"/>
                  <w:tcBorders>
                    <w:tl2br w:val="nil"/>
                    <w:tr2bl w:val="nil"/>
                  </w:tcBorders>
                  <w:noWrap w:val="0"/>
                  <w:vAlign w:val="center"/>
                </w:tcPr>
                <w:p w14:paraId="7AC13AFF">
                  <w:pPr>
                    <w:pStyle w:val="98"/>
                    <w:widowControl w:val="0"/>
                    <w:kinsoku/>
                    <w:autoSpaceDE/>
                    <w:autoSpaceDN/>
                    <w:adjustRightInd/>
                    <w:snapToGrid/>
                    <w:ind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0.0224</w:t>
                  </w:r>
                </w:p>
              </w:tc>
              <w:tc>
                <w:tcPr>
                  <w:tcW w:w="447" w:type="pct"/>
                  <w:tcBorders>
                    <w:tl2br w:val="nil"/>
                    <w:tr2bl w:val="nil"/>
                  </w:tcBorders>
                  <w:noWrap w:val="0"/>
                  <w:vAlign w:val="center"/>
                </w:tcPr>
                <w:p w14:paraId="0509D0B9">
                  <w:pPr>
                    <w:pStyle w:val="98"/>
                    <w:widowControl w:val="0"/>
                    <w:kinsoku/>
                    <w:autoSpaceDE/>
                    <w:autoSpaceDN/>
                    <w:adjustRightInd/>
                    <w:snapToGrid/>
                    <w:ind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0.0058</w:t>
                  </w:r>
                </w:p>
              </w:tc>
              <w:tc>
                <w:tcPr>
                  <w:tcW w:w="462" w:type="pct"/>
                  <w:tcBorders>
                    <w:tl2br w:val="nil"/>
                    <w:tr2bl w:val="nil"/>
                  </w:tcBorders>
                  <w:noWrap w:val="0"/>
                  <w:vAlign w:val="center"/>
                </w:tcPr>
                <w:p w14:paraId="16415BCB">
                  <w:pPr>
                    <w:pStyle w:val="98"/>
                    <w:widowControl w:val="0"/>
                    <w:kinsoku/>
                    <w:autoSpaceDE/>
                    <w:autoSpaceDN/>
                    <w:adjustRightInd/>
                    <w:snapToGrid/>
                    <w:ind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0.58</w:t>
                  </w:r>
                </w:p>
              </w:tc>
              <w:tc>
                <w:tcPr>
                  <w:tcW w:w="506" w:type="pct"/>
                  <w:vMerge w:val="continue"/>
                  <w:tcBorders>
                    <w:tl2br w:val="nil"/>
                    <w:tr2bl w:val="nil"/>
                  </w:tcBorders>
                  <w:noWrap w:val="0"/>
                  <w:vAlign w:val="center"/>
                </w:tcPr>
                <w:p w14:paraId="0BE83BCF">
                  <w:pPr>
                    <w:pStyle w:val="98"/>
                    <w:widowControl w:val="0"/>
                    <w:kinsoku/>
                    <w:autoSpaceDE/>
                    <w:autoSpaceDN/>
                    <w:adjustRightInd/>
                    <w:snapToGrid/>
                    <w:jc w:val="center"/>
                    <w:textAlignment w:val="auto"/>
                    <w:rPr>
                      <w:rFonts w:hint="default" w:ascii="Times New Roman" w:hAnsi="Times New Roman" w:eastAsia="宋体" w:cs="Times New Roman"/>
                      <w:snapToGrid/>
                      <w:color w:val="auto"/>
                      <w:kern w:val="2"/>
                      <w:szCs w:val="24"/>
                      <w:highlight w:val="none"/>
                      <w:lang w:val="en-US" w:eastAsia="zh-CN"/>
                    </w:rPr>
                  </w:pPr>
                </w:p>
              </w:tc>
              <w:tc>
                <w:tcPr>
                  <w:tcW w:w="419" w:type="pct"/>
                  <w:tcBorders>
                    <w:tl2br w:val="nil"/>
                    <w:tr2bl w:val="nil"/>
                  </w:tcBorders>
                  <w:noWrap w:val="0"/>
                  <w:vAlign w:val="center"/>
                </w:tcPr>
                <w:p w14:paraId="3682744D">
                  <w:pPr>
                    <w:pStyle w:val="98"/>
                    <w:widowControl w:val="0"/>
                    <w:kinsoku/>
                    <w:autoSpaceDE/>
                    <w:autoSpaceDN/>
                    <w:adjustRightInd/>
                    <w:snapToGrid/>
                    <w:ind w:firstLine="0" w:firstLineChars="0"/>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0.0045</w:t>
                  </w:r>
                </w:p>
              </w:tc>
              <w:tc>
                <w:tcPr>
                  <w:tcW w:w="446" w:type="pct"/>
                  <w:tcBorders>
                    <w:tl2br w:val="nil"/>
                    <w:tr2bl w:val="nil"/>
                  </w:tcBorders>
                  <w:noWrap w:val="0"/>
                  <w:vAlign w:val="center"/>
                </w:tcPr>
                <w:p w14:paraId="7D5038EF">
                  <w:pPr>
                    <w:pStyle w:val="98"/>
                    <w:widowControl w:val="0"/>
                    <w:kinsoku/>
                    <w:autoSpaceDE/>
                    <w:autoSpaceDN/>
                    <w:adjustRightInd/>
                    <w:snapToGrid/>
                    <w:ind w:firstLine="0" w:firstLineChars="0"/>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0.0012</w:t>
                  </w:r>
                </w:p>
              </w:tc>
              <w:tc>
                <w:tcPr>
                  <w:tcW w:w="462" w:type="pct"/>
                  <w:tcBorders>
                    <w:tl2br w:val="nil"/>
                    <w:tr2bl w:val="nil"/>
                  </w:tcBorders>
                  <w:noWrap w:val="0"/>
                  <w:vAlign w:val="center"/>
                </w:tcPr>
                <w:p w14:paraId="1ACE615E">
                  <w:pPr>
                    <w:pStyle w:val="98"/>
                    <w:widowControl w:val="0"/>
                    <w:kinsoku/>
                    <w:autoSpaceDE/>
                    <w:autoSpaceDN/>
                    <w:adjustRightInd/>
                    <w:snapToGrid/>
                    <w:ind w:firstLine="0" w:firstLineChars="0"/>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0.12</w:t>
                  </w:r>
                </w:p>
              </w:tc>
            </w:tr>
            <w:tr w14:paraId="32397C2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2" w:hRule="atLeast"/>
                <w:jc w:val="center"/>
              </w:trPr>
              <w:tc>
                <w:tcPr>
                  <w:tcW w:w="492" w:type="pct"/>
                  <w:tcBorders>
                    <w:tl2br w:val="nil"/>
                    <w:tr2bl w:val="nil"/>
                  </w:tcBorders>
                  <w:noWrap w:val="0"/>
                  <w:vAlign w:val="center"/>
                </w:tcPr>
                <w:p w14:paraId="72401308">
                  <w:pPr>
                    <w:pStyle w:val="98"/>
                    <w:widowControl w:val="0"/>
                    <w:kinsoku/>
                    <w:autoSpaceDE/>
                    <w:autoSpaceDN/>
                    <w:adjustRightInd/>
                    <w:snapToGrid/>
                    <w:ind w:firstLine="0" w:firstLineChars="0"/>
                    <w:jc w:val="center"/>
                    <w:textAlignment w:val="auto"/>
                    <w:rPr>
                      <w:rFonts w:hint="eastAsia" w:ascii="Times New Roman" w:hAnsi="Times New Roman" w:eastAsia="宋体" w:cs="Times New Roman"/>
                      <w:snapToGrid/>
                      <w:color w:val="auto"/>
                      <w:kern w:val="2"/>
                      <w:szCs w:val="24"/>
                      <w:highlight w:val="none"/>
                      <w:lang w:eastAsia="zh-CN"/>
                    </w:rPr>
                  </w:pPr>
                  <w:r>
                    <w:rPr>
                      <w:rFonts w:hint="eastAsia" w:ascii="Times New Roman" w:hAnsi="Times New Roman" w:eastAsia="宋体" w:cs="Times New Roman"/>
                      <w:snapToGrid/>
                      <w:color w:val="auto"/>
                      <w:kern w:val="2"/>
                      <w:szCs w:val="24"/>
                      <w:highlight w:val="none"/>
                      <w:lang w:val="en-US" w:eastAsia="zh-CN"/>
                    </w:rPr>
                    <w:t>沥青烟</w:t>
                  </w:r>
                </w:p>
              </w:tc>
              <w:tc>
                <w:tcPr>
                  <w:tcW w:w="407" w:type="pct"/>
                  <w:vMerge w:val="restart"/>
                  <w:tcBorders>
                    <w:tl2br w:val="nil"/>
                    <w:tr2bl w:val="nil"/>
                  </w:tcBorders>
                  <w:noWrap w:val="0"/>
                  <w:vAlign w:val="center"/>
                </w:tcPr>
                <w:p w14:paraId="58A62036">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无组织</w:t>
                  </w:r>
                </w:p>
              </w:tc>
              <w:tc>
                <w:tcPr>
                  <w:tcW w:w="397" w:type="pct"/>
                  <w:vMerge w:val="continue"/>
                  <w:tcBorders>
                    <w:tl2br w:val="nil"/>
                    <w:tr2bl w:val="nil"/>
                  </w:tcBorders>
                  <w:noWrap w:val="0"/>
                  <w:vAlign w:val="center"/>
                </w:tcPr>
                <w:p w14:paraId="733A71B5">
                  <w:pPr>
                    <w:pStyle w:val="98"/>
                    <w:widowControl w:val="0"/>
                    <w:kinsoku/>
                    <w:autoSpaceDE/>
                    <w:autoSpaceDN/>
                    <w:adjustRightInd/>
                    <w:snapToGrid/>
                    <w:jc w:val="center"/>
                    <w:textAlignment w:val="auto"/>
                    <w:rPr>
                      <w:rFonts w:hint="eastAsia" w:ascii="Times New Roman" w:hAnsi="Times New Roman" w:cs="Times New Roman"/>
                      <w:snapToGrid/>
                      <w:color w:val="auto"/>
                      <w:kern w:val="2"/>
                      <w:szCs w:val="24"/>
                      <w:highlight w:val="none"/>
                      <w:lang w:eastAsia="zh-CN"/>
                    </w:rPr>
                  </w:pPr>
                </w:p>
              </w:tc>
              <w:tc>
                <w:tcPr>
                  <w:tcW w:w="525" w:type="pct"/>
                  <w:vMerge w:val="restart"/>
                  <w:tcBorders>
                    <w:tl2br w:val="nil"/>
                    <w:tr2bl w:val="nil"/>
                  </w:tcBorders>
                  <w:noWrap w:val="0"/>
                  <w:vAlign w:val="center"/>
                </w:tcPr>
                <w:p w14:paraId="4DB07563">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w:t>
                  </w:r>
                </w:p>
              </w:tc>
              <w:tc>
                <w:tcPr>
                  <w:tcW w:w="430" w:type="pct"/>
                  <w:tcBorders>
                    <w:tl2br w:val="nil"/>
                    <w:tr2bl w:val="nil"/>
                  </w:tcBorders>
                  <w:noWrap w:val="0"/>
                  <w:vAlign w:val="center"/>
                </w:tcPr>
                <w:p w14:paraId="3EBF0E21">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0.0752</w:t>
                  </w:r>
                </w:p>
              </w:tc>
              <w:tc>
                <w:tcPr>
                  <w:tcW w:w="447" w:type="pct"/>
                  <w:tcBorders>
                    <w:tl2br w:val="nil"/>
                    <w:tr2bl w:val="nil"/>
                  </w:tcBorders>
                  <w:noWrap w:val="0"/>
                  <w:vAlign w:val="center"/>
                </w:tcPr>
                <w:p w14:paraId="09D3C13F">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0.02</w:t>
                  </w:r>
                </w:p>
              </w:tc>
              <w:tc>
                <w:tcPr>
                  <w:tcW w:w="462" w:type="pct"/>
                  <w:tcBorders>
                    <w:tl2br w:val="nil"/>
                    <w:tr2bl w:val="nil"/>
                  </w:tcBorders>
                  <w:noWrap w:val="0"/>
                  <w:vAlign w:val="center"/>
                </w:tcPr>
                <w:p w14:paraId="0F6C17F6">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w:t>
                  </w:r>
                </w:p>
              </w:tc>
              <w:tc>
                <w:tcPr>
                  <w:tcW w:w="506" w:type="pct"/>
                  <w:vMerge w:val="restart"/>
                  <w:tcBorders>
                    <w:tl2br w:val="nil"/>
                    <w:tr2bl w:val="nil"/>
                  </w:tcBorders>
                  <w:noWrap w:val="0"/>
                  <w:vAlign w:val="center"/>
                </w:tcPr>
                <w:p w14:paraId="48EDB3D6">
                  <w:pPr>
                    <w:pStyle w:val="98"/>
                    <w:widowControl w:val="0"/>
                    <w:kinsoku/>
                    <w:autoSpaceDE/>
                    <w:autoSpaceDN/>
                    <w:adjustRightInd/>
                    <w:snapToGrid/>
                    <w:jc w:val="center"/>
                    <w:textAlignment w:val="auto"/>
                    <w:rPr>
                      <w:rFonts w:hint="default" w:ascii="Times New Roman" w:hAnsi="Times New Roman" w:eastAsia="宋体" w:cs="Times New Roman"/>
                      <w:snapToGrid/>
                      <w:color w:val="auto"/>
                      <w:kern w:val="2"/>
                      <w:szCs w:val="24"/>
                      <w:highlight w:val="none"/>
                      <w:lang w:val="en-US" w:eastAsia="zh-CN"/>
                    </w:rPr>
                  </w:pPr>
                  <w:r>
                    <w:rPr>
                      <w:rFonts w:hint="eastAsia" w:ascii="Times New Roman" w:hAnsi="Times New Roman" w:eastAsia="宋体" w:cs="Times New Roman"/>
                      <w:snapToGrid/>
                      <w:color w:val="auto"/>
                      <w:kern w:val="2"/>
                      <w:szCs w:val="24"/>
                      <w:highlight w:val="none"/>
                      <w:lang w:val="en-US" w:eastAsia="zh-CN"/>
                    </w:rPr>
                    <w:t>/</w:t>
                  </w:r>
                </w:p>
              </w:tc>
              <w:tc>
                <w:tcPr>
                  <w:tcW w:w="419" w:type="pct"/>
                  <w:tcBorders>
                    <w:tl2br w:val="nil"/>
                    <w:tr2bl w:val="nil"/>
                  </w:tcBorders>
                  <w:noWrap w:val="0"/>
                  <w:vAlign w:val="center"/>
                </w:tcPr>
                <w:p w14:paraId="57D342E8">
                  <w:pPr>
                    <w:pStyle w:val="98"/>
                    <w:widowControl w:val="0"/>
                    <w:kinsoku/>
                    <w:autoSpaceDE/>
                    <w:autoSpaceDN/>
                    <w:adjustRightInd/>
                    <w:snapToGrid/>
                    <w:ind w:firstLine="0" w:firstLineChars="0"/>
                    <w:jc w:val="center"/>
                    <w:textAlignment w:val="auto"/>
                    <w:rPr>
                      <w:rFonts w:hint="eastAsia"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0.0752</w:t>
                  </w:r>
                </w:p>
              </w:tc>
              <w:tc>
                <w:tcPr>
                  <w:tcW w:w="446" w:type="pct"/>
                  <w:tcBorders>
                    <w:tl2br w:val="nil"/>
                    <w:tr2bl w:val="nil"/>
                  </w:tcBorders>
                  <w:noWrap w:val="0"/>
                  <w:vAlign w:val="center"/>
                </w:tcPr>
                <w:p w14:paraId="6D0F514B">
                  <w:pPr>
                    <w:pStyle w:val="98"/>
                    <w:widowControl w:val="0"/>
                    <w:kinsoku/>
                    <w:autoSpaceDE/>
                    <w:autoSpaceDN/>
                    <w:adjustRightInd/>
                    <w:snapToGrid/>
                    <w:ind w:firstLine="0" w:firstLineChars="0"/>
                    <w:jc w:val="center"/>
                    <w:textAlignment w:val="auto"/>
                    <w:rPr>
                      <w:rFonts w:hint="eastAsia"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0.02</w:t>
                  </w:r>
                </w:p>
              </w:tc>
              <w:tc>
                <w:tcPr>
                  <w:tcW w:w="462" w:type="pct"/>
                  <w:tcBorders>
                    <w:tl2br w:val="nil"/>
                    <w:tr2bl w:val="nil"/>
                  </w:tcBorders>
                  <w:noWrap w:val="0"/>
                  <w:vAlign w:val="center"/>
                </w:tcPr>
                <w:p w14:paraId="6EE0DCC3">
                  <w:pPr>
                    <w:pStyle w:val="98"/>
                    <w:widowControl w:val="0"/>
                    <w:kinsoku/>
                    <w:autoSpaceDE/>
                    <w:autoSpaceDN/>
                    <w:adjustRightInd/>
                    <w:snapToGrid/>
                    <w:ind w:firstLine="0" w:firstLineChars="0"/>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w:t>
                  </w:r>
                </w:p>
              </w:tc>
            </w:tr>
            <w:tr w14:paraId="5B30AF8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08" w:hRule="atLeast"/>
                <w:jc w:val="center"/>
              </w:trPr>
              <w:tc>
                <w:tcPr>
                  <w:tcW w:w="492" w:type="pct"/>
                  <w:tcBorders>
                    <w:tl2br w:val="nil"/>
                    <w:tr2bl w:val="nil"/>
                  </w:tcBorders>
                  <w:noWrap w:val="0"/>
                  <w:vAlign w:val="center"/>
                </w:tcPr>
                <w:p w14:paraId="4509E446">
                  <w:pPr>
                    <w:pStyle w:val="98"/>
                    <w:widowControl w:val="0"/>
                    <w:kinsoku/>
                    <w:autoSpaceDE/>
                    <w:autoSpaceDN/>
                    <w:adjustRightInd/>
                    <w:snapToGrid/>
                    <w:ind w:firstLine="0" w:firstLineChars="0"/>
                    <w:jc w:val="center"/>
                    <w:textAlignment w:val="auto"/>
                    <w:rPr>
                      <w:rFonts w:hint="eastAsia" w:ascii="Times New Roman" w:hAnsi="Times New Roman" w:eastAsia="宋体" w:cs="Times New Roman"/>
                      <w:snapToGrid/>
                      <w:color w:val="auto"/>
                      <w:kern w:val="2"/>
                      <w:szCs w:val="24"/>
                      <w:highlight w:val="none"/>
                      <w:lang w:eastAsia="zh-CN"/>
                    </w:rPr>
                  </w:pPr>
                  <w:r>
                    <w:rPr>
                      <w:rFonts w:hint="eastAsia" w:ascii="Times New Roman" w:hAnsi="Times New Roman" w:eastAsia="宋体" w:cs="Times New Roman"/>
                      <w:color w:val="auto"/>
                      <w:highlight w:val="none"/>
                      <w:lang w:val="en-US" w:eastAsia="zh-CN"/>
                    </w:rPr>
                    <w:t>苯并[a]芘</w:t>
                  </w:r>
                </w:p>
              </w:tc>
              <w:tc>
                <w:tcPr>
                  <w:tcW w:w="407" w:type="pct"/>
                  <w:vMerge w:val="continue"/>
                  <w:tcBorders>
                    <w:tl2br w:val="nil"/>
                    <w:tr2bl w:val="nil"/>
                  </w:tcBorders>
                  <w:noWrap w:val="0"/>
                  <w:vAlign w:val="center"/>
                </w:tcPr>
                <w:p w14:paraId="710C4BCF">
                  <w:pPr>
                    <w:pStyle w:val="98"/>
                    <w:widowControl w:val="0"/>
                    <w:kinsoku/>
                    <w:autoSpaceDE/>
                    <w:autoSpaceDN/>
                    <w:adjustRightInd/>
                    <w:snapToGrid/>
                    <w:jc w:val="center"/>
                    <w:textAlignment w:val="auto"/>
                    <w:rPr>
                      <w:rFonts w:hint="eastAsia" w:ascii="Times New Roman" w:hAnsi="Times New Roman" w:cs="Times New Roman"/>
                      <w:snapToGrid/>
                      <w:color w:val="auto"/>
                      <w:kern w:val="2"/>
                      <w:szCs w:val="24"/>
                      <w:highlight w:val="none"/>
                      <w:lang w:eastAsia="zh-CN"/>
                    </w:rPr>
                  </w:pPr>
                </w:p>
              </w:tc>
              <w:tc>
                <w:tcPr>
                  <w:tcW w:w="397" w:type="pct"/>
                  <w:vMerge w:val="continue"/>
                  <w:tcBorders>
                    <w:tl2br w:val="nil"/>
                    <w:tr2bl w:val="nil"/>
                  </w:tcBorders>
                  <w:noWrap w:val="0"/>
                  <w:vAlign w:val="center"/>
                </w:tcPr>
                <w:p w14:paraId="7E8EAA66">
                  <w:pPr>
                    <w:pStyle w:val="98"/>
                    <w:widowControl w:val="0"/>
                    <w:kinsoku/>
                    <w:autoSpaceDE/>
                    <w:autoSpaceDN/>
                    <w:adjustRightInd/>
                    <w:snapToGrid/>
                    <w:jc w:val="center"/>
                    <w:textAlignment w:val="auto"/>
                    <w:rPr>
                      <w:rFonts w:hint="eastAsia" w:ascii="Times New Roman" w:hAnsi="Times New Roman" w:cs="Times New Roman"/>
                      <w:snapToGrid/>
                      <w:color w:val="auto"/>
                      <w:kern w:val="2"/>
                      <w:szCs w:val="24"/>
                      <w:highlight w:val="none"/>
                      <w:lang w:eastAsia="zh-CN"/>
                    </w:rPr>
                  </w:pPr>
                </w:p>
              </w:tc>
              <w:tc>
                <w:tcPr>
                  <w:tcW w:w="525" w:type="pct"/>
                  <w:vMerge w:val="continue"/>
                  <w:tcBorders>
                    <w:tl2br w:val="nil"/>
                    <w:tr2bl w:val="nil"/>
                  </w:tcBorders>
                  <w:noWrap w:val="0"/>
                  <w:vAlign w:val="center"/>
                </w:tcPr>
                <w:p w14:paraId="6DFA0391">
                  <w:pPr>
                    <w:pStyle w:val="98"/>
                    <w:widowControl w:val="0"/>
                    <w:kinsoku/>
                    <w:autoSpaceDE/>
                    <w:autoSpaceDN/>
                    <w:adjustRightInd/>
                    <w:snapToGrid/>
                    <w:jc w:val="center"/>
                    <w:textAlignment w:val="auto"/>
                    <w:rPr>
                      <w:rFonts w:hint="eastAsia" w:ascii="Times New Roman" w:hAnsi="Times New Roman" w:cs="Times New Roman"/>
                      <w:snapToGrid/>
                      <w:color w:val="auto"/>
                      <w:kern w:val="2"/>
                      <w:szCs w:val="24"/>
                      <w:highlight w:val="none"/>
                      <w:lang w:eastAsia="zh-CN"/>
                    </w:rPr>
                  </w:pPr>
                </w:p>
              </w:tc>
              <w:tc>
                <w:tcPr>
                  <w:tcW w:w="430" w:type="pct"/>
                  <w:tcBorders>
                    <w:tl2br w:val="nil"/>
                    <w:tr2bl w:val="nil"/>
                  </w:tcBorders>
                  <w:noWrap w:val="0"/>
                  <w:vAlign w:val="center"/>
                </w:tcPr>
                <w:p w14:paraId="25C88836">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0.0001</w:t>
                  </w:r>
                </w:p>
              </w:tc>
              <w:tc>
                <w:tcPr>
                  <w:tcW w:w="447" w:type="pct"/>
                  <w:tcBorders>
                    <w:tl2br w:val="nil"/>
                    <w:tr2bl w:val="nil"/>
                  </w:tcBorders>
                  <w:noWrap w:val="0"/>
                  <w:vAlign w:val="center"/>
                </w:tcPr>
                <w:p w14:paraId="59A904B9">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0.00002</w:t>
                  </w:r>
                </w:p>
              </w:tc>
              <w:tc>
                <w:tcPr>
                  <w:tcW w:w="462" w:type="pct"/>
                  <w:tcBorders>
                    <w:tl2br w:val="nil"/>
                    <w:tr2bl w:val="nil"/>
                  </w:tcBorders>
                  <w:noWrap w:val="0"/>
                  <w:vAlign w:val="center"/>
                </w:tcPr>
                <w:p w14:paraId="1AD831A6">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w:t>
                  </w:r>
                </w:p>
              </w:tc>
              <w:tc>
                <w:tcPr>
                  <w:tcW w:w="506" w:type="pct"/>
                  <w:vMerge w:val="continue"/>
                  <w:tcBorders>
                    <w:tl2br w:val="nil"/>
                    <w:tr2bl w:val="nil"/>
                  </w:tcBorders>
                  <w:noWrap w:val="0"/>
                  <w:vAlign w:val="center"/>
                </w:tcPr>
                <w:p w14:paraId="6809550A">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p>
              </w:tc>
              <w:tc>
                <w:tcPr>
                  <w:tcW w:w="419" w:type="pct"/>
                  <w:tcBorders>
                    <w:tl2br w:val="nil"/>
                    <w:tr2bl w:val="nil"/>
                  </w:tcBorders>
                  <w:noWrap w:val="0"/>
                  <w:vAlign w:val="center"/>
                </w:tcPr>
                <w:p w14:paraId="7D514271">
                  <w:pPr>
                    <w:pStyle w:val="98"/>
                    <w:widowControl w:val="0"/>
                    <w:kinsoku/>
                    <w:autoSpaceDE/>
                    <w:autoSpaceDN/>
                    <w:adjustRightInd/>
                    <w:snapToGrid/>
                    <w:ind w:firstLine="0" w:firstLineChars="0"/>
                    <w:jc w:val="center"/>
                    <w:textAlignment w:val="auto"/>
                    <w:rPr>
                      <w:rFonts w:hint="eastAsia"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0.0001</w:t>
                  </w:r>
                </w:p>
              </w:tc>
              <w:tc>
                <w:tcPr>
                  <w:tcW w:w="446" w:type="pct"/>
                  <w:tcBorders>
                    <w:tl2br w:val="nil"/>
                    <w:tr2bl w:val="nil"/>
                  </w:tcBorders>
                  <w:noWrap w:val="0"/>
                  <w:vAlign w:val="center"/>
                </w:tcPr>
                <w:p w14:paraId="2B594A9A">
                  <w:pPr>
                    <w:pStyle w:val="98"/>
                    <w:widowControl w:val="0"/>
                    <w:kinsoku/>
                    <w:autoSpaceDE/>
                    <w:autoSpaceDN/>
                    <w:adjustRightInd/>
                    <w:snapToGrid/>
                    <w:ind w:firstLine="0" w:firstLineChars="0"/>
                    <w:jc w:val="center"/>
                    <w:textAlignment w:val="auto"/>
                    <w:rPr>
                      <w:rFonts w:hint="eastAsia"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0.00002</w:t>
                  </w:r>
                </w:p>
              </w:tc>
              <w:tc>
                <w:tcPr>
                  <w:tcW w:w="462" w:type="pct"/>
                  <w:tcBorders>
                    <w:tl2br w:val="nil"/>
                    <w:tr2bl w:val="nil"/>
                  </w:tcBorders>
                  <w:noWrap w:val="0"/>
                  <w:vAlign w:val="center"/>
                </w:tcPr>
                <w:p w14:paraId="76A09AA0">
                  <w:pPr>
                    <w:pStyle w:val="98"/>
                    <w:widowControl w:val="0"/>
                    <w:kinsoku/>
                    <w:autoSpaceDE/>
                    <w:autoSpaceDN/>
                    <w:adjustRightInd/>
                    <w:snapToGrid/>
                    <w:ind w:firstLine="0" w:firstLineChars="0"/>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w:t>
                  </w:r>
                </w:p>
              </w:tc>
            </w:tr>
            <w:tr w14:paraId="2E72063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35" w:hRule="atLeast"/>
                <w:jc w:val="center"/>
              </w:trPr>
              <w:tc>
                <w:tcPr>
                  <w:tcW w:w="492" w:type="pct"/>
                  <w:tcBorders>
                    <w:tl2br w:val="nil"/>
                    <w:tr2bl w:val="nil"/>
                  </w:tcBorders>
                  <w:noWrap w:val="0"/>
                  <w:vAlign w:val="center"/>
                </w:tcPr>
                <w:p w14:paraId="506D68D1">
                  <w:pPr>
                    <w:pStyle w:val="98"/>
                    <w:widowControl w:val="0"/>
                    <w:kinsoku/>
                    <w:autoSpaceDE/>
                    <w:autoSpaceDN/>
                    <w:adjustRightInd/>
                    <w:snapToGrid/>
                    <w:ind w:firstLine="0" w:firstLineChars="0"/>
                    <w:jc w:val="center"/>
                    <w:textAlignment w:val="auto"/>
                    <w:rPr>
                      <w:rFonts w:hint="eastAsia" w:ascii="Times New Roman" w:hAnsi="Times New Roman" w:eastAsia="宋体" w:cs="Times New Roman"/>
                      <w:snapToGrid/>
                      <w:color w:val="auto"/>
                      <w:kern w:val="2"/>
                      <w:szCs w:val="24"/>
                      <w:highlight w:val="none"/>
                      <w:lang w:eastAsia="zh-CN"/>
                    </w:rPr>
                  </w:pPr>
                  <w:r>
                    <w:rPr>
                      <w:rFonts w:hint="eastAsia" w:ascii="Times New Roman" w:hAnsi="Times New Roman" w:eastAsia="宋体" w:cs="Times New Roman"/>
                      <w:snapToGrid/>
                      <w:color w:val="auto"/>
                      <w:kern w:val="2"/>
                      <w:szCs w:val="24"/>
                      <w:highlight w:val="none"/>
                      <w:lang w:val="en-US" w:eastAsia="zh-CN"/>
                    </w:rPr>
                    <w:t>非甲烷总烃</w:t>
                  </w:r>
                </w:p>
              </w:tc>
              <w:tc>
                <w:tcPr>
                  <w:tcW w:w="407" w:type="pct"/>
                  <w:vMerge w:val="continue"/>
                  <w:tcBorders>
                    <w:tl2br w:val="nil"/>
                    <w:tr2bl w:val="nil"/>
                  </w:tcBorders>
                  <w:noWrap w:val="0"/>
                  <w:vAlign w:val="center"/>
                </w:tcPr>
                <w:p w14:paraId="186F0D79">
                  <w:pPr>
                    <w:pStyle w:val="98"/>
                    <w:widowControl w:val="0"/>
                    <w:kinsoku/>
                    <w:autoSpaceDE/>
                    <w:autoSpaceDN/>
                    <w:adjustRightInd/>
                    <w:snapToGrid/>
                    <w:jc w:val="center"/>
                    <w:textAlignment w:val="auto"/>
                    <w:rPr>
                      <w:rFonts w:hint="eastAsia" w:ascii="Times New Roman" w:hAnsi="Times New Roman" w:cs="Times New Roman"/>
                      <w:snapToGrid/>
                      <w:color w:val="auto"/>
                      <w:kern w:val="2"/>
                      <w:szCs w:val="24"/>
                      <w:highlight w:val="none"/>
                      <w:lang w:eastAsia="zh-CN"/>
                    </w:rPr>
                  </w:pPr>
                </w:p>
              </w:tc>
              <w:tc>
                <w:tcPr>
                  <w:tcW w:w="397" w:type="pct"/>
                  <w:vMerge w:val="continue"/>
                  <w:tcBorders>
                    <w:tl2br w:val="nil"/>
                    <w:tr2bl w:val="nil"/>
                  </w:tcBorders>
                  <w:noWrap w:val="0"/>
                  <w:vAlign w:val="center"/>
                </w:tcPr>
                <w:p w14:paraId="69889589">
                  <w:pPr>
                    <w:pStyle w:val="98"/>
                    <w:widowControl w:val="0"/>
                    <w:kinsoku/>
                    <w:autoSpaceDE/>
                    <w:autoSpaceDN/>
                    <w:adjustRightInd/>
                    <w:snapToGrid/>
                    <w:jc w:val="center"/>
                    <w:textAlignment w:val="auto"/>
                    <w:rPr>
                      <w:rFonts w:hint="eastAsia" w:ascii="Times New Roman" w:hAnsi="Times New Roman" w:cs="Times New Roman"/>
                      <w:snapToGrid/>
                      <w:color w:val="auto"/>
                      <w:kern w:val="2"/>
                      <w:szCs w:val="24"/>
                      <w:highlight w:val="none"/>
                      <w:lang w:eastAsia="zh-CN"/>
                    </w:rPr>
                  </w:pPr>
                </w:p>
              </w:tc>
              <w:tc>
                <w:tcPr>
                  <w:tcW w:w="525" w:type="pct"/>
                  <w:vMerge w:val="continue"/>
                  <w:tcBorders>
                    <w:tl2br w:val="nil"/>
                    <w:tr2bl w:val="nil"/>
                  </w:tcBorders>
                  <w:noWrap w:val="0"/>
                  <w:vAlign w:val="center"/>
                </w:tcPr>
                <w:p w14:paraId="152D4831">
                  <w:pPr>
                    <w:pStyle w:val="98"/>
                    <w:widowControl w:val="0"/>
                    <w:kinsoku/>
                    <w:autoSpaceDE/>
                    <w:autoSpaceDN/>
                    <w:adjustRightInd/>
                    <w:snapToGrid/>
                    <w:jc w:val="center"/>
                    <w:textAlignment w:val="auto"/>
                    <w:rPr>
                      <w:rFonts w:hint="eastAsia" w:ascii="Times New Roman" w:hAnsi="Times New Roman" w:cs="Times New Roman"/>
                      <w:snapToGrid/>
                      <w:color w:val="auto"/>
                      <w:kern w:val="2"/>
                      <w:szCs w:val="24"/>
                      <w:highlight w:val="none"/>
                      <w:lang w:eastAsia="zh-CN"/>
                    </w:rPr>
                  </w:pPr>
                </w:p>
              </w:tc>
              <w:tc>
                <w:tcPr>
                  <w:tcW w:w="430" w:type="pct"/>
                  <w:tcBorders>
                    <w:tl2br w:val="nil"/>
                    <w:tr2bl w:val="nil"/>
                  </w:tcBorders>
                  <w:noWrap w:val="0"/>
                  <w:vAlign w:val="center"/>
                </w:tcPr>
                <w:p w14:paraId="55F56E06">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0.0024</w:t>
                  </w:r>
                </w:p>
              </w:tc>
              <w:tc>
                <w:tcPr>
                  <w:tcW w:w="447" w:type="pct"/>
                  <w:tcBorders>
                    <w:tl2br w:val="nil"/>
                    <w:tr2bl w:val="nil"/>
                  </w:tcBorders>
                  <w:noWrap w:val="0"/>
                  <w:vAlign w:val="center"/>
                </w:tcPr>
                <w:p w14:paraId="2054E4B8">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0.0006</w:t>
                  </w:r>
                </w:p>
              </w:tc>
              <w:tc>
                <w:tcPr>
                  <w:tcW w:w="462" w:type="pct"/>
                  <w:tcBorders>
                    <w:tl2br w:val="nil"/>
                    <w:tr2bl w:val="nil"/>
                  </w:tcBorders>
                  <w:noWrap w:val="0"/>
                  <w:vAlign w:val="center"/>
                </w:tcPr>
                <w:p w14:paraId="5FC10404">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w:t>
                  </w:r>
                </w:p>
              </w:tc>
              <w:tc>
                <w:tcPr>
                  <w:tcW w:w="506" w:type="pct"/>
                  <w:vMerge w:val="continue"/>
                  <w:tcBorders>
                    <w:tl2br w:val="nil"/>
                    <w:tr2bl w:val="nil"/>
                  </w:tcBorders>
                  <w:noWrap w:val="0"/>
                  <w:vAlign w:val="center"/>
                </w:tcPr>
                <w:p w14:paraId="0D8741BA">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p>
              </w:tc>
              <w:tc>
                <w:tcPr>
                  <w:tcW w:w="419" w:type="pct"/>
                  <w:tcBorders>
                    <w:tl2br w:val="nil"/>
                    <w:tr2bl w:val="nil"/>
                  </w:tcBorders>
                  <w:noWrap w:val="0"/>
                  <w:vAlign w:val="center"/>
                </w:tcPr>
                <w:p w14:paraId="3830E745">
                  <w:pPr>
                    <w:pStyle w:val="98"/>
                    <w:widowControl w:val="0"/>
                    <w:kinsoku/>
                    <w:autoSpaceDE/>
                    <w:autoSpaceDN/>
                    <w:adjustRightInd/>
                    <w:snapToGrid/>
                    <w:ind w:firstLine="0" w:firstLineChars="0"/>
                    <w:jc w:val="center"/>
                    <w:textAlignment w:val="auto"/>
                    <w:rPr>
                      <w:rFonts w:hint="eastAsia"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0.0024</w:t>
                  </w:r>
                </w:p>
              </w:tc>
              <w:tc>
                <w:tcPr>
                  <w:tcW w:w="446" w:type="pct"/>
                  <w:tcBorders>
                    <w:tl2br w:val="nil"/>
                    <w:tr2bl w:val="nil"/>
                  </w:tcBorders>
                  <w:noWrap w:val="0"/>
                  <w:vAlign w:val="center"/>
                </w:tcPr>
                <w:p w14:paraId="73D64EB6">
                  <w:pPr>
                    <w:pStyle w:val="98"/>
                    <w:widowControl w:val="0"/>
                    <w:kinsoku/>
                    <w:autoSpaceDE/>
                    <w:autoSpaceDN/>
                    <w:adjustRightInd/>
                    <w:snapToGrid/>
                    <w:ind w:firstLine="0" w:firstLineChars="0"/>
                    <w:jc w:val="center"/>
                    <w:textAlignment w:val="auto"/>
                    <w:rPr>
                      <w:rFonts w:hint="eastAsia"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0.0006</w:t>
                  </w:r>
                </w:p>
              </w:tc>
              <w:tc>
                <w:tcPr>
                  <w:tcW w:w="462" w:type="pct"/>
                  <w:tcBorders>
                    <w:tl2br w:val="nil"/>
                    <w:tr2bl w:val="nil"/>
                  </w:tcBorders>
                  <w:noWrap w:val="0"/>
                  <w:vAlign w:val="center"/>
                </w:tcPr>
                <w:p w14:paraId="5D224C79">
                  <w:pPr>
                    <w:pStyle w:val="98"/>
                    <w:widowControl w:val="0"/>
                    <w:kinsoku/>
                    <w:autoSpaceDE/>
                    <w:autoSpaceDN/>
                    <w:adjustRightInd/>
                    <w:snapToGrid/>
                    <w:ind w:firstLine="0" w:firstLineChars="0"/>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w:t>
                  </w:r>
                </w:p>
              </w:tc>
            </w:tr>
          </w:tbl>
          <w:p w14:paraId="4D843A7A">
            <w:pPr>
              <w:bidi w:val="0"/>
              <w:ind w:left="0" w:leftChars="0" w:firstLine="0" w:firstLineChars="0"/>
              <w:rPr>
                <w:b/>
                <w:bCs/>
                <w:color w:val="auto"/>
                <w:highlight w:val="none"/>
              </w:rPr>
            </w:pPr>
          </w:p>
          <w:p w14:paraId="09C390C3">
            <w:pPr>
              <w:bidi w:val="0"/>
              <w:ind w:left="0" w:leftChars="0" w:firstLine="0" w:firstLineChars="0"/>
              <w:jc w:val="center"/>
              <w:rPr>
                <w:rFonts w:ascii="Times New Roman" w:hAnsi="Times New Roman" w:eastAsia="宋体" w:cs="Times New Roman"/>
                <w:b/>
                <w:bCs/>
                <w:snapToGrid/>
                <w:color w:val="auto"/>
                <w:kern w:val="2"/>
                <w:sz w:val="24"/>
                <w:szCs w:val="24"/>
                <w:highlight w:val="none"/>
                <w:lang w:eastAsia="zh-CN"/>
              </w:rPr>
            </w:pPr>
            <w:r>
              <w:rPr>
                <w:b/>
                <w:bCs/>
                <w:color w:val="auto"/>
                <w:highlight w:val="none"/>
              </w:rPr>
              <w:t>表</w:t>
            </w:r>
            <w:r>
              <w:rPr>
                <w:rFonts w:hint="eastAsia"/>
                <w:b/>
                <w:bCs/>
                <w:color w:val="auto"/>
                <w:highlight w:val="none"/>
              </w:rPr>
              <w:t>4.2-</w:t>
            </w:r>
            <w:r>
              <w:rPr>
                <w:rFonts w:hint="eastAsia"/>
                <w:b/>
                <w:bCs/>
                <w:color w:val="auto"/>
                <w:highlight w:val="none"/>
                <w:lang w:val="en-US" w:eastAsia="zh-CN"/>
              </w:rPr>
              <w:t>12</w:t>
            </w:r>
            <w:r>
              <w:rPr>
                <w:b/>
                <w:bCs/>
                <w:color w:val="auto"/>
                <w:highlight w:val="none"/>
              </w:rPr>
              <w:t xml:space="preserve">  </w:t>
            </w:r>
            <w:r>
              <w:rPr>
                <w:rFonts w:hint="eastAsia" w:ascii="Times New Roman" w:hAnsi="Times New Roman" w:eastAsia="宋体" w:cs="Times New Roman"/>
                <w:b/>
                <w:bCs/>
                <w:snapToGrid/>
                <w:color w:val="auto"/>
                <w:kern w:val="2"/>
                <w:sz w:val="24"/>
                <w:szCs w:val="24"/>
                <w:highlight w:val="none"/>
                <w:lang w:val="en-US" w:eastAsia="zh-CN"/>
              </w:rPr>
              <w:t>沥青烟</w:t>
            </w:r>
            <w:r>
              <w:rPr>
                <w:rFonts w:hint="eastAsia"/>
                <w:b/>
                <w:bCs/>
                <w:color w:val="auto"/>
                <w:highlight w:val="none"/>
                <w:lang w:val="en-US" w:eastAsia="zh-CN"/>
              </w:rPr>
              <w:t>废气（全厂）</w:t>
            </w:r>
            <w:r>
              <w:rPr>
                <w:rFonts w:ascii="Times New Roman" w:hAnsi="Times New Roman" w:eastAsia="宋体" w:cs="Times New Roman"/>
                <w:b/>
                <w:bCs/>
                <w:snapToGrid/>
                <w:color w:val="auto"/>
                <w:kern w:val="2"/>
                <w:sz w:val="24"/>
                <w:szCs w:val="24"/>
                <w:highlight w:val="none"/>
                <w:lang w:eastAsia="zh-CN"/>
              </w:rPr>
              <w:t>排放情况一览表</w:t>
            </w:r>
          </w:p>
          <w:tbl>
            <w:tblPr>
              <w:tblStyle w:val="28"/>
              <w:tblW w:w="831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84"/>
              <w:gridCol w:w="1950"/>
              <w:gridCol w:w="2092"/>
              <w:gridCol w:w="2092"/>
            </w:tblGrid>
            <w:tr w14:paraId="3197B7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2184" w:type="dxa"/>
                  <w:tcBorders>
                    <w:tl2br w:val="nil"/>
                    <w:tr2bl w:val="nil"/>
                  </w:tcBorders>
                  <w:noWrap w:val="0"/>
                  <w:vAlign w:val="center"/>
                </w:tcPr>
                <w:p w14:paraId="0BE25963">
                  <w:pPr>
                    <w:pStyle w:val="98"/>
                    <w:widowControl w:val="0"/>
                    <w:kinsoku/>
                    <w:autoSpaceDE/>
                    <w:autoSpaceDN/>
                    <w:adjustRightInd/>
                    <w:snapToGrid/>
                    <w:jc w:val="center"/>
                    <w:textAlignment w:val="auto"/>
                    <w:rPr>
                      <w:rFonts w:hint="default" w:ascii="Times New Roman" w:hAnsi="Times New Roman" w:eastAsia="宋体" w:cs="Times New Roman"/>
                      <w:b/>
                      <w:bCs/>
                      <w:snapToGrid/>
                      <w:color w:val="auto"/>
                      <w:kern w:val="2"/>
                      <w:szCs w:val="24"/>
                      <w:highlight w:val="none"/>
                      <w:lang w:val="en-US" w:eastAsia="zh-CN"/>
                    </w:rPr>
                  </w:pPr>
                  <w:r>
                    <w:rPr>
                      <w:rFonts w:hint="default" w:ascii="Times New Roman" w:hAnsi="Times New Roman" w:eastAsia="宋体" w:cs="Times New Roman"/>
                      <w:b/>
                      <w:bCs/>
                      <w:snapToGrid/>
                      <w:color w:val="auto"/>
                      <w:kern w:val="2"/>
                      <w:szCs w:val="24"/>
                      <w:highlight w:val="none"/>
                      <w:lang w:val="en-US" w:eastAsia="zh-CN"/>
                    </w:rPr>
                    <w:t>污染物来源</w:t>
                  </w:r>
                </w:p>
              </w:tc>
              <w:tc>
                <w:tcPr>
                  <w:tcW w:w="1950" w:type="dxa"/>
                  <w:tcBorders>
                    <w:tl2br w:val="nil"/>
                    <w:tr2bl w:val="nil"/>
                  </w:tcBorders>
                  <w:noWrap w:val="0"/>
                  <w:vAlign w:val="center"/>
                </w:tcPr>
                <w:p w14:paraId="2379D47A">
                  <w:pPr>
                    <w:pStyle w:val="98"/>
                    <w:widowControl w:val="0"/>
                    <w:kinsoku/>
                    <w:autoSpaceDE/>
                    <w:autoSpaceDN/>
                    <w:adjustRightInd/>
                    <w:snapToGrid/>
                    <w:jc w:val="center"/>
                    <w:textAlignment w:val="auto"/>
                    <w:rPr>
                      <w:rFonts w:hint="default" w:ascii="Times New Roman" w:hAnsi="Times New Roman" w:eastAsia="宋体" w:cs="Times New Roman"/>
                      <w:b/>
                      <w:bCs/>
                      <w:snapToGrid/>
                      <w:color w:val="auto"/>
                      <w:kern w:val="2"/>
                      <w:szCs w:val="24"/>
                      <w:highlight w:val="none"/>
                      <w:lang w:val="en-US" w:eastAsia="zh-CN"/>
                    </w:rPr>
                  </w:pPr>
                  <w:r>
                    <w:rPr>
                      <w:rFonts w:hint="default" w:ascii="Times New Roman" w:hAnsi="Times New Roman" w:eastAsia="宋体" w:cs="Times New Roman"/>
                      <w:b/>
                      <w:bCs/>
                      <w:snapToGrid/>
                      <w:color w:val="auto"/>
                      <w:kern w:val="2"/>
                      <w:szCs w:val="24"/>
                      <w:highlight w:val="none"/>
                      <w:lang w:val="en-US" w:eastAsia="zh-CN"/>
                    </w:rPr>
                    <w:t>污染物</w:t>
                  </w:r>
                </w:p>
              </w:tc>
              <w:tc>
                <w:tcPr>
                  <w:tcW w:w="2092" w:type="dxa"/>
                  <w:tcBorders>
                    <w:tl2br w:val="nil"/>
                    <w:tr2bl w:val="nil"/>
                  </w:tcBorders>
                  <w:noWrap w:val="0"/>
                  <w:vAlign w:val="center"/>
                </w:tcPr>
                <w:p w14:paraId="7D1DF62A">
                  <w:pPr>
                    <w:pStyle w:val="98"/>
                    <w:widowControl w:val="0"/>
                    <w:kinsoku/>
                    <w:autoSpaceDE/>
                    <w:autoSpaceDN/>
                    <w:adjustRightInd/>
                    <w:snapToGrid/>
                    <w:ind w:firstLine="0" w:firstLineChars="0"/>
                    <w:jc w:val="center"/>
                    <w:textAlignment w:val="auto"/>
                    <w:rPr>
                      <w:rFonts w:hint="default" w:ascii="Times New Roman" w:hAnsi="Times New Roman" w:eastAsia="宋体" w:cs="Times New Roman"/>
                      <w:b/>
                      <w:bCs/>
                      <w:snapToGrid/>
                      <w:color w:val="auto"/>
                      <w:kern w:val="2"/>
                      <w:szCs w:val="24"/>
                      <w:highlight w:val="none"/>
                      <w:lang w:val="en-US" w:eastAsia="zh-CN"/>
                    </w:rPr>
                  </w:pPr>
                  <w:r>
                    <w:rPr>
                      <w:rFonts w:hint="eastAsia" w:ascii="Times New Roman" w:hAnsi="Times New Roman" w:cs="Times New Roman"/>
                      <w:b/>
                      <w:bCs/>
                      <w:snapToGrid/>
                      <w:color w:val="auto"/>
                      <w:kern w:val="2"/>
                      <w:szCs w:val="24"/>
                      <w:highlight w:val="none"/>
                      <w:lang w:eastAsia="zh-CN"/>
                    </w:rPr>
                    <w:t>排放形式</w:t>
                  </w:r>
                </w:p>
              </w:tc>
              <w:tc>
                <w:tcPr>
                  <w:tcW w:w="2092" w:type="dxa"/>
                  <w:tcBorders>
                    <w:tl2br w:val="nil"/>
                    <w:tr2bl w:val="nil"/>
                  </w:tcBorders>
                  <w:noWrap w:val="0"/>
                  <w:vAlign w:val="center"/>
                </w:tcPr>
                <w:p w14:paraId="55DAF874">
                  <w:pPr>
                    <w:pStyle w:val="98"/>
                    <w:widowControl w:val="0"/>
                    <w:kinsoku/>
                    <w:autoSpaceDE/>
                    <w:autoSpaceDN/>
                    <w:adjustRightInd/>
                    <w:snapToGrid/>
                    <w:ind w:firstLine="0" w:firstLineChars="0"/>
                    <w:jc w:val="center"/>
                    <w:textAlignment w:val="auto"/>
                    <w:rPr>
                      <w:rFonts w:hint="default" w:ascii="Times New Roman" w:hAnsi="Times New Roman" w:eastAsia="宋体" w:cs="Times New Roman"/>
                      <w:b/>
                      <w:bCs/>
                      <w:snapToGrid/>
                      <w:color w:val="auto"/>
                      <w:kern w:val="2"/>
                      <w:szCs w:val="24"/>
                      <w:highlight w:val="none"/>
                      <w:lang w:val="en-US" w:eastAsia="zh-CN"/>
                    </w:rPr>
                  </w:pPr>
                  <w:r>
                    <w:rPr>
                      <w:rFonts w:hint="default" w:ascii="Times New Roman" w:hAnsi="Times New Roman" w:eastAsia="宋体" w:cs="Times New Roman"/>
                      <w:b/>
                      <w:bCs/>
                      <w:snapToGrid/>
                      <w:color w:val="auto"/>
                      <w:kern w:val="2"/>
                      <w:szCs w:val="24"/>
                      <w:highlight w:val="none"/>
                      <w:lang w:val="en-US" w:eastAsia="zh-CN"/>
                    </w:rPr>
                    <w:t>排放量（t/a）</w:t>
                  </w:r>
                </w:p>
              </w:tc>
            </w:tr>
            <w:tr w14:paraId="560283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2184" w:type="dxa"/>
                  <w:vMerge w:val="restart"/>
                  <w:tcBorders>
                    <w:tl2br w:val="nil"/>
                    <w:tr2bl w:val="nil"/>
                  </w:tcBorders>
                  <w:noWrap w:val="0"/>
                  <w:vAlign w:val="center"/>
                </w:tcPr>
                <w:p w14:paraId="07305135">
                  <w:pPr>
                    <w:pStyle w:val="98"/>
                    <w:widowControl w:val="0"/>
                    <w:kinsoku/>
                    <w:autoSpaceDE/>
                    <w:autoSpaceDN/>
                    <w:adjustRightInd/>
                    <w:snapToGrid/>
                    <w:jc w:val="center"/>
                    <w:textAlignment w:val="auto"/>
                    <w:rPr>
                      <w:rFonts w:hint="default" w:ascii="Times New Roman" w:hAnsi="Times New Roman" w:eastAsia="宋体" w:cs="Times New Roman"/>
                      <w:snapToGrid/>
                      <w:color w:val="auto"/>
                      <w:kern w:val="2"/>
                      <w:szCs w:val="24"/>
                      <w:highlight w:val="none"/>
                      <w:lang w:val="en-US" w:eastAsia="zh-CN"/>
                    </w:rPr>
                  </w:pPr>
                  <w:r>
                    <w:rPr>
                      <w:rFonts w:hint="eastAsia" w:ascii="Times New Roman" w:hAnsi="Times New Roman" w:eastAsia="宋体" w:cs="Times New Roman"/>
                      <w:color w:val="auto"/>
                      <w:highlight w:val="none"/>
                      <w:lang w:val="en-US" w:eastAsia="zh-CN"/>
                    </w:rPr>
                    <w:t>沥青搅拌和沥青加热</w:t>
                  </w:r>
                </w:p>
              </w:tc>
              <w:tc>
                <w:tcPr>
                  <w:tcW w:w="1950" w:type="dxa"/>
                  <w:tcBorders>
                    <w:tl2br w:val="nil"/>
                    <w:tr2bl w:val="nil"/>
                  </w:tcBorders>
                  <w:noWrap w:val="0"/>
                  <w:vAlign w:val="center"/>
                </w:tcPr>
                <w:p w14:paraId="07AC1D48">
                  <w:pPr>
                    <w:pStyle w:val="98"/>
                    <w:widowControl w:val="0"/>
                    <w:kinsoku/>
                    <w:autoSpaceDE/>
                    <w:autoSpaceDN/>
                    <w:adjustRightInd/>
                    <w:snapToGrid/>
                    <w:ind w:firstLine="0" w:firstLineChars="0"/>
                    <w:jc w:val="center"/>
                    <w:textAlignment w:val="auto"/>
                    <w:rPr>
                      <w:rFonts w:hint="default" w:ascii="Times New Roman" w:hAnsi="Times New Roman" w:eastAsia="宋体" w:cs="Times New Roman"/>
                      <w:snapToGrid/>
                      <w:color w:val="auto"/>
                      <w:kern w:val="2"/>
                      <w:szCs w:val="24"/>
                      <w:highlight w:val="none"/>
                      <w:lang w:val="en-US" w:eastAsia="zh-CN"/>
                    </w:rPr>
                  </w:pPr>
                  <w:r>
                    <w:rPr>
                      <w:rFonts w:hint="eastAsia" w:ascii="Times New Roman" w:hAnsi="Times New Roman" w:eastAsia="宋体" w:cs="Times New Roman"/>
                      <w:snapToGrid/>
                      <w:color w:val="auto"/>
                      <w:kern w:val="2"/>
                      <w:szCs w:val="24"/>
                      <w:highlight w:val="none"/>
                      <w:lang w:val="en-US" w:eastAsia="zh-CN"/>
                    </w:rPr>
                    <w:t>沥青烟</w:t>
                  </w:r>
                </w:p>
              </w:tc>
              <w:tc>
                <w:tcPr>
                  <w:tcW w:w="2092" w:type="dxa"/>
                  <w:vMerge w:val="restart"/>
                  <w:tcBorders>
                    <w:tl2br w:val="nil"/>
                    <w:tr2bl w:val="nil"/>
                  </w:tcBorders>
                  <w:noWrap w:val="0"/>
                  <w:vAlign w:val="center"/>
                </w:tcPr>
                <w:p w14:paraId="5C6AD117">
                  <w:pPr>
                    <w:pStyle w:val="98"/>
                    <w:widowControl w:val="0"/>
                    <w:kinsoku/>
                    <w:autoSpaceDE/>
                    <w:autoSpaceDN/>
                    <w:adjustRightInd/>
                    <w:snapToGrid/>
                    <w:ind w:firstLine="0" w:firstLineChars="0"/>
                    <w:jc w:val="center"/>
                    <w:textAlignment w:val="auto"/>
                    <w:rPr>
                      <w:rFonts w:hint="default" w:ascii="Times New Roman" w:hAnsi="Times New Roman" w:eastAsia="宋体"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eastAsia="zh-CN"/>
                    </w:rPr>
                    <w:t>有组织</w:t>
                  </w:r>
                </w:p>
              </w:tc>
              <w:tc>
                <w:tcPr>
                  <w:tcW w:w="2092" w:type="dxa"/>
                  <w:tcBorders>
                    <w:tl2br w:val="nil"/>
                    <w:tr2bl w:val="nil"/>
                  </w:tcBorders>
                  <w:noWrap w:val="0"/>
                  <w:vAlign w:val="center"/>
                </w:tcPr>
                <w:p w14:paraId="3E848E94">
                  <w:pPr>
                    <w:pStyle w:val="98"/>
                    <w:widowControl w:val="0"/>
                    <w:kinsoku/>
                    <w:autoSpaceDE/>
                    <w:autoSpaceDN/>
                    <w:adjustRightInd/>
                    <w:snapToGrid/>
                    <w:ind w:firstLine="0" w:firstLineChars="0"/>
                    <w:jc w:val="center"/>
                    <w:textAlignment w:val="auto"/>
                    <w:rPr>
                      <w:rFonts w:hint="eastAsia" w:ascii="Times New Roman" w:hAnsi="Times New Roman" w:eastAsia="宋体" w:cs="Times New Roman"/>
                      <w:snapToGrid/>
                      <w:color w:val="auto"/>
                      <w:kern w:val="2"/>
                      <w:szCs w:val="24"/>
                      <w:highlight w:val="none"/>
                      <w:lang w:val="en-US" w:eastAsia="zh-CN"/>
                    </w:rPr>
                  </w:pPr>
                  <w:r>
                    <w:rPr>
                      <w:rFonts w:hint="eastAsia" w:ascii="Times New Roman" w:hAnsi="Times New Roman" w:eastAsia="宋体" w:cs="Times New Roman"/>
                      <w:snapToGrid/>
                      <w:color w:val="auto"/>
                      <w:kern w:val="2"/>
                      <w:szCs w:val="24"/>
                      <w:highlight w:val="none"/>
                      <w:lang w:val="en-US" w:eastAsia="zh-CN"/>
                    </w:rPr>
                    <w:t>0.203</w:t>
                  </w:r>
                </w:p>
              </w:tc>
            </w:tr>
            <w:tr w14:paraId="2BEB54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2184" w:type="dxa"/>
                  <w:vMerge w:val="continue"/>
                  <w:tcBorders>
                    <w:tl2br w:val="nil"/>
                    <w:tr2bl w:val="nil"/>
                  </w:tcBorders>
                  <w:noWrap w:val="0"/>
                  <w:vAlign w:val="center"/>
                </w:tcPr>
                <w:p w14:paraId="0340E499">
                  <w:pPr>
                    <w:pStyle w:val="98"/>
                    <w:widowControl w:val="0"/>
                    <w:kinsoku/>
                    <w:autoSpaceDE/>
                    <w:autoSpaceDN/>
                    <w:adjustRightInd/>
                    <w:snapToGrid/>
                    <w:jc w:val="center"/>
                    <w:textAlignment w:val="auto"/>
                    <w:rPr>
                      <w:rFonts w:hint="eastAsia" w:ascii="Times New Roman" w:hAnsi="Times New Roman" w:eastAsia="宋体" w:cs="Times New Roman"/>
                      <w:snapToGrid/>
                      <w:color w:val="auto"/>
                      <w:kern w:val="2"/>
                      <w:szCs w:val="24"/>
                      <w:highlight w:val="none"/>
                      <w:lang w:val="en-US" w:eastAsia="zh-CN"/>
                    </w:rPr>
                  </w:pPr>
                </w:p>
              </w:tc>
              <w:tc>
                <w:tcPr>
                  <w:tcW w:w="1950" w:type="dxa"/>
                  <w:tcBorders>
                    <w:tl2br w:val="nil"/>
                    <w:tr2bl w:val="nil"/>
                  </w:tcBorders>
                  <w:noWrap w:val="0"/>
                  <w:vAlign w:val="center"/>
                </w:tcPr>
                <w:p w14:paraId="0F3368C8">
                  <w:pPr>
                    <w:pStyle w:val="98"/>
                    <w:widowControl w:val="0"/>
                    <w:kinsoku/>
                    <w:autoSpaceDE/>
                    <w:autoSpaceDN/>
                    <w:adjustRightInd/>
                    <w:snapToGrid/>
                    <w:ind w:firstLine="0" w:firstLineChars="0"/>
                    <w:jc w:val="center"/>
                    <w:textAlignment w:val="auto"/>
                    <w:rPr>
                      <w:rFonts w:hint="default" w:ascii="Times New Roman" w:hAnsi="Times New Roman" w:eastAsia="宋体" w:cs="Times New Roman"/>
                      <w:snapToGrid/>
                      <w:color w:val="auto"/>
                      <w:kern w:val="2"/>
                      <w:szCs w:val="24"/>
                      <w:highlight w:val="none"/>
                      <w:lang w:val="en-US" w:eastAsia="zh-CN"/>
                    </w:rPr>
                  </w:pPr>
                  <w:r>
                    <w:rPr>
                      <w:rFonts w:hint="eastAsia" w:ascii="Times New Roman" w:hAnsi="Times New Roman" w:eastAsia="宋体" w:cs="Times New Roman"/>
                      <w:color w:val="auto"/>
                      <w:highlight w:val="none"/>
                      <w:lang w:val="en-US" w:eastAsia="zh-CN"/>
                    </w:rPr>
                    <w:t>苯并[a]芘</w:t>
                  </w:r>
                </w:p>
              </w:tc>
              <w:tc>
                <w:tcPr>
                  <w:tcW w:w="2092" w:type="dxa"/>
                  <w:vMerge w:val="continue"/>
                  <w:tcBorders>
                    <w:tl2br w:val="nil"/>
                    <w:tr2bl w:val="nil"/>
                  </w:tcBorders>
                  <w:noWrap w:val="0"/>
                  <w:vAlign w:val="center"/>
                </w:tcPr>
                <w:p w14:paraId="5018834F">
                  <w:pPr>
                    <w:pStyle w:val="98"/>
                    <w:widowControl w:val="0"/>
                    <w:kinsoku/>
                    <w:autoSpaceDE/>
                    <w:autoSpaceDN/>
                    <w:adjustRightInd/>
                    <w:snapToGrid/>
                    <w:jc w:val="center"/>
                    <w:textAlignment w:val="auto"/>
                    <w:rPr>
                      <w:rFonts w:hint="default" w:ascii="Times New Roman" w:hAnsi="Times New Roman" w:eastAsia="宋体" w:cs="Times New Roman"/>
                      <w:snapToGrid/>
                      <w:color w:val="auto"/>
                      <w:kern w:val="2"/>
                      <w:szCs w:val="24"/>
                      <w:highlight w:val="none"/>
                      <w:lang w:val="en-US" w:eastAsia="zh-CN"/>
                    </w:rPr>
                  </w:pPr>
                </w:p>
              </w:tc>
              <w:tc>
                <w:tcPr>
                  <w:tcW w:w="2092" w:type="dxa"/>
                  <w:tcBorders>
                    <w:tl2br w:val="nil"/>
                    <w:tr2bl w:val="nil"/>
                  </w:tcBorders>
                  <w:noWrap w:val="0"/>
                  <w:vAlign w:val="center"/>
                </w:tcPr>
                <w:p w14:paraId="36EF8453">
                  <w:pPr>
                    <w:pStyle w:val="98"/>
                    <w:widowControl w:val="0"/>
                    <w:kinsoku/>
                    <w:autoSpaceDE/>
                    <w:autoSpaceDN/>
                    <w:adjustRightInd/>
                    <w:snapToGrid/>
                    <w:ind w:firstLine="0" w:firstLineChars="0"/>
                    <w:jc w:val="center"/>
                    <w:textAlignment w:val="auto"/>
                    <w:rPr>
                      <w:rFonts w:hint="eastAsia" w:ascii="Times New Roman" w:hAnsi="Times New Roman" w:eastAsia="宋体" w:cs="Times New Roman"/>
                      <w:snapToGrid/>
                      <w:color w:val="auto"/>
                      <w:kern w:val="2"/>
                      <w:szCs w:val="24"/>
                      <w:highlight w:val="none"/>
                      <w:lang w:val="en-US" w:eastAsia="zh-CN"/>
                    </w:rPr>
                  </w:pPr>
                  <w:r>
                    <w:rPr>
                      <w:rFonts w:hint="eastAsia" w:ascii="Times New Roman" w:hAnsi="Times New Roman" w:eastAsia="宋体" w:cs="Times New Roman"/>
                      <w:snapToGrid/>
                      <w:color w:val="auto"/>
                      <w:kern w:val="2"/>
                      <w:szCs w:val="24"/>
                      <w:highlight w:val="none"/>
                      <w:lang w:val="en-US" w:eastAsia="zh-CN"/>
                    </w:rPr>
                    <w:t>0.0003</w:t>
                  </w:r>
                </w:p>
              </w:tc>
            </w:tr>
            <w:tr w14:paraId="40485D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2184" w:type="dxa"/>
                  <w:vMerge w:val="continue"/>
                  <w:tcBorders>
                    <w:tl2br w:val="nil"/>
                    <w:tr2bl w:val="nil"/>
                  </w:tcBorders>
                  <w:noWrap w:val="0"/>
                  <w:vAlign w:val="center"/>
                </w:tcPr>
                <w:p w14:paraId="3AD532D4">
                  <w:pPr>
                    <w:pStyle w:val="98"/>
                    <w:widowControl w:val="0"/>
                    <w:kinsoku/>
                    <w:autoSpaceDE/>
                    <w:autoSpaceDN/>
                    <w:adjustRightInd/>
                    <w:snapToGrid/>
                    <w:jc w:val="center"/>
                    <w:textAlignment w:val="auto"/>
                    <w:rPr>
                      <w:rFonts w:hint="eastAsia" w:ascii="Times New Roman" w:hAnsi="Times New Roman" w:eastAsia="宋体" w:cs="Times New Roman"/>
                      <w:snapToGrid/>
                      <w:color w:val="auto"/>
                      <w:kern w:val="2"/>
                      <w:szCs w:val="24"/>
                      <w:highlight w:val="none"/>
                      <w:lang w:val="en-US" w:eastAsia="zh-CN"/>
                    </w:rPr>
                  </w:pPr>
                </w:p>
              </w:tc>
              <w:tc>
                <w:tcPr>
                  <w:tcW w:w="1950" w:type="dxa"/>
                  <w:tcBorders>
                    <w:tl2br w:val="nil"/>
                    <w:tr2bl w:val="nil"/>
                  </w:tcBorders>
                  <w:noWrap w:val="0"/>
                  <w:vAlign w:val="center"/>
                </w:tcPr>
                <w:p w14:paraId="7224FA69">
                  <w:pPr>
                    <w:pStyle w:val="98"/>
                    <w:widowControl w:val="0"/>
                    <w:kinsoku/>
                    <w:autoSpaceDE/>
                    <w:autoSpaceDN/>
                    <w:adjustRightInd/>
                    <w:snapToGrid/>
                    <w:ind w:firstLine="0" w:firstLineChars="0"/>
                    <w:jc w:val="center"/>
                    <w:textAlignment w:val="auto"/>
                    <w:rPr>
                      <w:rFonts w:hint="default" w:ascii="Times New Roman" w:hAnsi="Times New Roman" w:eastAsia="宋体" w:cs="Times New Roman"/>
                      <w:snapToGrid/>
                      <w:color w:val="auto"/>
                      <w:kern w:val="2"/>
                      <w:szCs w:val="24"/>
                      <w:highlight w:val="none"/>
                      <w:lang w:val="en-US" w:eastAsia="zh-CN"/>
                    </w:rPr>
                  </w:pPr>
                  <w:r>
                    <w:rPr>
                      <w:rFonts w:hint="eastAsia" w:ascii="Times New Roman" w:hAnsi="Times New Roman" w:eastAsia="宋体" w:cs="Times New Roman"/>
                      <w:snapToGrid/>
                      <w:color w:val="auto"/>
                      <w:kern w:val="2"/>
                      <w:szCs w:val="24"/>
                      <w:highlight w:val="none"/>
                      <w:lang w:val="en-US" w:eastAsia="zh-CN"/>
                    </w:rPr>
                    <w:t>非甲烷总烃</w:t>
                  </w:r>
                </w:p>
              </w:tc>
              <w:tc>
                <w:tcPr>
                  <w:tcW w:w="2092" w:type="dxa"/>
                  <w:vMerge w:val="continue"/>
                  <w:tcBorders>
                    <w:tl2br w:val="nil"/>
                    <w:tr2bl w:val="nil"/>
                  </w:tcBorders>
                  <w:noWrap w:val="0"/>
                  <w:vAlign w:val="center"/>
                </w:tcPr>
                <w:p w14:paraId="608586A8">
                  <w:pPr>
                    <w:pStyle w:val="98"/>
                    <w:widowControl w:val="0"/>
                    <w:kinsoku/>
                    <w:autoSpaceDE/>
                    <w:autoSpaceDN/>
                    <w:adjustRightInd/>
                    <w:snapToGrid/>
                    <w:jc w:val="center"/>
                    <w:textAlignment w:val="auto"/>
                    <w:rPr>
                      <w:rFonts w:hint="default" w:ascii="Times New Roman" w:hAnsi="Times New Roman" w:eastAsia="宋体" w:cs="Times New Roman"/>
                      <w:snapToGrid/>
                      <w:color w:val="auto"/>
                      <w:kern w:val="2"/>
                      <w:szCs w:val="24"/>
                      <w:highlight w:val="none"/>
                      <w:lang w:val="en-US" w:eastAsia="zh-CN"/>
                    </w:rPr>
                  </w:pPr>
                </w:p>
              </w:tc>
              <w:tc>
                <w:tcPr>
                  <w:tcW w:w="2092" w:type="dxa"/>
                  <w:tcBorders>
                    <w:tl2br w:val="nil"/>
                    <w:tr2bl w:val="nil"/>
                  </w:tcBorders>
                  <w:noWrap w:val="0"/>
                  <w:vAlign w:val="center"/>
                </w:tcPr>
                <w:p w14:paraId="1AF25EE8">
                  <w:pPr>
                    <w:pStyle w:val="98"/>
                    <w:widowControl w:val="0"/>
                    <w:kinsoku/>
                    <w:autoSpaceDE/>
                    <w:autoSpaceDN/>
                    <w:adjustRightInd/>
                    <w:snapToGrid/>
                    <w:ind w:firstLine="0" w:firstLineChars="0"/>
                    <w:jc w:val="center"/>
                    <w:textAlignment w:val="auto"/>
                    <w:rPr>
                      <w:rFonts w:hint="eastAsia" w:ascii="Times New Roman" w:hAnsi="Times New Roman" w:eastAsia="宋体" w:cs="Times New Roman"/>
                      <w:snapToGrid/>
                      <w:color w:val="auto"/>
                      <w:kern w:val="2"/>
                      <w:szCs w:val="24"/>
                      <w:highlight w:val="none"/>
                      <w:lang w:val="en-US" w:eastAsia="zh-CN"/>
                    </w:rPr>
                  </w:pPr>
                  <w:r>
                    <w:rPr>
                      <w:rFonts w:hint="eastAsia" w:ascii="Times New Roman" w:hAnsi="Times New Roman" w:eastAsia="宋体" w:cs="Times New Roman"/>
                      <w:snapToGrid/>
                      <w:color w:val="auto"/>
                      <w:kern w:val="2"/>
                      <w:szCs w:val="24"/>
                      <w:highlight w:val="none"/>
                      <w:lang w:val="en-US" w:eastAsia="zh-CN"/>
                    </w:rPr>
                    <w:t>0.0067</w:t>
                  </w:r>
                </w:p>
              </w:tc>
            </w:tr>
            <w:tr w14:paraId="16FA4F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2184" w:type="dxa"/>
                  <w:vMerge w:val="continue"/>
                  <w:tcBorders>
                    <w:tl2br w:val="nil"/>
                    <w:tr2bl w:val="nil"/>
                  </w:tcBorders>
                  <w:noWrap w:val="0"/>
                  <w:vAlign w:val="center"/>
                </w:tcPr>
                <w:p w14:paraId="5D22E75D">
                  <w:pPr>
                    <w:pStyle w:val="98"/>
                    <w:widowControl w:val="0"/>
                    <w:kinsoku/>
                    <w:autoSpaceDE/>
                    <w:autoSpaceDN/>
                    <w:adjustRightInd/>
                    <w:snapToGrid/>
                    <w:jc w:val="center"/>
                    <w:textAlignment w:val="auto"/>
                    <w:rPr>
                      <w:rFonts w:hint="eastAsia" w:ascii="Times New Roman" w:hAnsi="Times New Roman" w:eastAsia="宋体" w:cs="Times New Roman"/>
                      <w:snapToGrid/>
                      <w:color w:val="auto"/>
                      <w:kern w:val="2"/>
                      <w:szCs w:val="24"/>
                      <w:highlight w:val="none"/>
                      <w:lang w:val="en-US" w:eastAsia="zh-CN"/>
                    </w:rPr>
                  </w:pPr>
                </w:p>
              </w:tc>
              <w:tc>
                <w:tcPr>
                  <w:tcW w:w="1950" w:type="dxa"/>
                  <w:tcBorders>
                    <w:tl2br w:val="nil"/>
                    <w:tr2bl w:val="nil"/>
                  </w:tcBorders>
                  <w:noWrap w:val="0"/>
                  <w:vAlign w:val="center"/>
                </w:tcPr>
                <w:p w14:paraId="74849F6B">
                  <w:pPr>
                    <w:pStyle w:val="98"/>
                    <w:widowControl w:val="0"/>
                    <w:kinsoku/>
                    <w:autoSpaceDE/>
                    <w:autoSpaceDN/>
                    <w:adjustRightInd/>
                    <w:snapToGrid/>
                    <w:ind w:firstLine="0" w:firstLineChars="0"/>
                    <w:jc w:val="center"/>
                    <w:textAlignment w:val="auto"/>
                    <w:rPr>
                      <w:rFonts w:hint="eastAsia" w:ascii="Times New Roman" w:hAnsi="Times New Roman" w:eastAsia="宋体" w:cs="Times New Roman"/>
                      <w:snapToGrid/>
                      <w:color w:val="auto"/>
                      <w:kern w:val="2"/>
                      <w:szCs w:val="24"/>
                      <w:highlight w:val="none"/>
                      <w:lang w:val="en-US" w:eastAsia="zh-CN"/>
                    </w:rPr>
                  </w:pPr>
                  <w:r>
                    <w:rPr>
                      <w:rFonts w:hint="eastAsia" w:ascii="Times New Roman" w:hAnsi="Times New Roman" w:eastAsia="宋体" w:cs="Times New Roman"/>
                      <w:snapToGrid/>
                      <w:color w:val="auto"/>
                      <w:kern w:val="2"/>
                      <w:szCs w:val="24"/>
                      <w:highlight w:val="none"/>
                      <w:lang w:val="en-US" w:eastAsia="zh-CN"/>
                    </w:rPr>
                    <w:t>沥青烟</w:t>
                  </w:r>
                </w:p>
              </w:tc>
              <w:tc>
                <w:tcPr>
                  <w:tcW w:w="2092" w:type="dxa"/>
                  <w:vMerge w:val="restart"/>
                  <w:tcBorders>
                    <w:tl2br w:val="nil"/>
                    <w:tr2bl w:val="nil"/>
                  </w:tcBorders>
                  <w:shd w:val="clear" w:color="auto" w:fill="auto"/>
                  <w:noWrap w:val="0"/>
                  <w:vAlign w:val="center"/>
                </w:tcPr>
                <w:p w14:paraId="61D68855">
                  <w:pPr>
                    <w:pStyle w:val="98"/>
                    <w:widowControl w:val="0"/>
                    <w:kinsoku/>
                    <w:autoSpaceDE/>
                    <w:autoSpaceDN/>
                    <w:adjustRightInd/>
                    <w:snapToGrid/>
                    <w:ind w:firstLine="0" w:firstLineChars="0"/>
                    <w:jc w:val="center"/>
                    <w:textAlignment w:val="auto"/>
                    <w:rPr>
                      <w:rFonts w:hint="eastAsia" w:ascii="Times New Roman" w:hAnsi="Times New Roman" w:eastAsia="宋体" w:cs="Times New Roman"/>
                      <w:snapToGrid/>
                      <w:color w:val="auto"/>
                      <w:kern w:val="2"/>
                      <w:sz w:val="21"/>
                      <w:szCs w:val="24"/>
                      <w:highlight w:val="none"/>
                      <w:lang w:val="en-US" w:eastAsia="zh-CN" w:bidi="ar-SA"/>
                    </w:rPr>
                  </w:pPr>
                  <w:r>
                    <w:rPr>
                      <w:rFonts w:hint="eastAsia" w:ascii="Times New Roman" w:hAnsi="Times New Roman" w:cs="Times New Roman"/>
                      <w:snapToGrid/>
                      <w:color w:val="auto"/>
                      <w:kern w:val="2"/>
                      <w:szCs w:val="24"/>
                      <w:highlight w:val="none"/>
                      <w:lang w:val="en-US" w:eastAsia="zh-CN"/>
                    </w:rPr>
                    <w:t>无组织</w:t>
                  </w:r>
                </w:p>
              </w:tc>
              <w:tc>
                <w:tcPr>
                  <w:tcW w:w="2092" w:type="dxa"/>
                  <w:tcBorders>
                    <w:tl2br w:val="nil"/>
                    <w:tr2bl w:val="nil"/>
                  </w:tcBorders>
                  <w:noWrap w:val="0"/>
                  <w:vAlign w:val="center"/>
                </w:tcPr>
                <w:p w14:paraId="5AD2A2A6">
                  <w:pPr>
                    <w:pStyle w:val="98"/>
                    <w:widowControl w:val="0"/>
                    <w:kinsoku/>
                    <w:autoSpaceDE/>
                    <w:autoSpaceDN/>
                    <w:adjustRightInd/>
                    <w:snapToGrid/>
                    <w:ind w:firstLine="0" w:firstLineChars="0"/>
                    <w:jc w:val="center"/>
                    <w:textAlignment w:val="auto"/>
                    <w:rPr>
                      <w:rFonts w:hint="default" w:ascii="Times New Roman" w:hAnsi="Times New Roman" w:eastAsia="宋体" w:cs="Times New Roman"/>
                      <w:snapToGrid/>
                      <w:color w:val="auto"/>
                      <w:kern w:val="2"/>
                      <w:szCs w:val="24"/>
                      <w:highlight w:val="none"/>
                      <w:lang w:val="en-US" w:eastAsia="zh-CN"/>
                    </w:rPr>
                  </w:pPr>
                  <w:r>
                    <w:rPr>
                      <w:rFonts w:hint="eastAsia" w:ascii="Times New Roman" w:hAnsi="Times New Roman" w:eastAsia="宋体" w:cs="Times New Roman"/>
                      <w:snapToGrid/>
                      <w:color w:val="auto"/>
                      <w:kern w:val="2"/>
                      <w:szCs w:val="24"/>
                      <w:highlight w:val="none"/>
                      <w:lang w:val="en-US" w:eastAsia="zh-CN"/>
                    </w:rPr>
                    <w:t>0.1128</w:t>
                  </w:r>
                </w:p>
              </w:tc>
            </w:tr>
            <w:tr w14:paraId="7DFEFA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2184" w:type="dxa"/>
                  <w:vMerge w:val="continue"/>
                  <w:tcBorders>
                    <w:tl2br w:val="nil"/>
                    <w:tr2bl w:val="nil"/>
                  </w:tcBorders>
                  <w:noWrap w:val="0"/>
                  <w:vAlign w:val="center"/>
                </w:tcPr>
                <w:p w14:paraId="288BEA81">
                  <w:pPr>
                    <w:pStyle w:val="98"/>
                    <w:widowControl w:val="0"/>
                    <w:kinsoku/>
                    <w:autoSpaceDE/>
                    <w:autoSpaceDN/>
                    <w:adjustRightInd/>
                    <w:snapToGrid/>
                    <w:jc w:val="center"/>
                    <w:textAlignment w:val="auto"/>
                    <w:rPr>
                      <w:rFonts w:hint="eastAsia" w:ascii="Times New Roman" w:hAnsi="Times New Roman" w:eastAsia="宋体" w:cs="Times New Roman"/>
                      <w:snapToGrid/>
                      <w:color w:val="auto"/>
                      <w:kern w:val="2"/>
                      <w:szCs w:val="24"/>
                      <w:highlight w:val="none"/>
                      <w:lang w:val="en-US" w:eastAsia="zh-CN"/>
                    </w:rPr>
                  </w:pPr>
                </w:p>
              </w:tc>
              <w:tc>
                <w:tcPr>
                  <w:tcW w:w="1950" w:type="dxa"/>
                  <w:tcBorders>
                    <w:tl2br w:val="nil"/>
                    <w:tr2bl w:val="nil"/>
                  </w:tcBorders>
                  <w:noWrap w:val="0"/>
                  <w:vAlign w:val="center"/>
                </w:tcPr>
                <w:p w14:paraId="45AADA25">
                  <w:pPr>
                    <w:pStyle w:val="98"/>
                    <w:widowControl w:val="0"/>
                    <w:kinsoku/>
                    <w:autoSpaceDE/>
                    <w:autoSpaceDN/>
                    <w:adjustRightInd/>
                    <w:snapToGrid/>
                    <w:ind w:firstLine="0" w:firstLineChars="0"/>
                    <w:jc w:val="center"/>
                    <w:textAlignment w:val="auto"/>
                    <w:rPr>
                      <w:rFonts w:hint="eastAsia" w:ascii="Times New Roman" w:hAnsi="Times New Roman" w:eastAsia="宋体" w:cs="Times New Roman"/>
                      <w:snapToGrid/>
                      <w:color w:val="auto"/>
                      <w:kern w:val="2"/>
                      <w:szCs w:val="24"/>
                      <w:highlight w:val="none"/>
                      <w:lang w:val="en-US" w:eastAsia="zh-CN"/>
                    </w:rPr>
                  </w:pPr>
                  <w:r>
                    <w:rPr>
                      <w:rFonts w:hint="eastAsia" w:ascii="Times New Roman" w:hAnsi="Times New Roman" w:eastAsia="宋体" w:cs="Times New Roman"/>
                      <w:color w:val="auto"/>
                      <w:highlight w:val="none"/>
                      <w:lang w:val="en-US" w:eastAsia="zh-CN"/>
                    </w:rPr>
                    <w:t>苯并[a]芘</w:t>
                  </w:r>
                </w:p>
              </w:tc>
              <w:tc>
                <w:tcPr>
                  <w:tcW w:w="2092" w:type="dxa"/>
                  <w:vMerge w:val="continue"/>
                  <w:tcBorders>
                    <w:tl2br w:val="nil"/>
                    <w:tr2bl w:val="nil"/>
                  </w:tcBorders>
                  <w:shd w:val="clear" w:color="auto" w:fill="auto"/>
                  <w:noWrap w:val="0"/>
                  <w:vAlign w:val="center"/>
                </w:tcPr>
                <w:p w14:paraId="581C8643">
                  <w:pPr>
                    <w:pStyle w:val="98"/>
                    <w:widowControl w:val="0"/>
                    <w:kinsoku/>
                    <w:autoSpaceDE/>
                    <w:autoSpaceDN/>
                    <w:adjustRightInd/>
                    <w:snapToGrid/>
                    <w:ind w:firstLine="0" w:firstLineChars="0"/>
                    <w:jc w:val="center"/>
                    <w:textAlignment w:val="auto"/>
                    <w:rPr>
                      <w:rFonts w:hint="eastAsia" w:ascii="Times New Roman" w:hAnsi="Times New Roman" w:eastAsia="宋体" w:cs="Times New Roman"/>
                      <w:snapToGrid/>
                      <w:color w:val="auto"/>
                      <w:kern w:val="2"/>
                      <w:sz w:val="21"/>
                      <w:szCs w:val="24"/>
                      <w:highlight w:val="none"/>
                      <w:lang w:val="en-US" w:eastAsia="zh-CN" w:bidi="ar-SA"/>
                    </w:rPr>
                  </w:pPr>
                </w:p>
              </w:tc>
              <w:tc>
                <w:tcPr>
                  <w:tcW w:w="2092" w:type="dxa"/>
                  <w:tcBorders>
                    <w:tl2br w:val="nil"/>
                    <w:tr2bl w:val="nil"/>
                  </w:tcBorders>
                  <w:noWrap w:val="0"/>
                  <w:vAlign w:val="center"/>
                </w:tcPr>
                <w:p w14:paraId="4E27EE49">
                  <w:pPr>
                    <w:pStyle w:val="98"/>
                    <w:widowControl w:val="0"/>
                    <w:kinsoku/>
                    <w:autoSpaceDE/>
                    <w:autoSpaceDN/>
                    <w:adjustRightInd/>
                    <w:snapToGrid/>
                    <w:ind w:firstLine="0" w:firstLineChars="0"/>
                    <w:jc w:val="center"/>
                    <w:textAlignment w:val="auto"/>
                    <w:rPr>
                      <w:rFonts w:hint="default" w:ascii="Times New Roman" w:hAnsi="Times New Roman" w:eastAsia="宋体" w:cs="Times New Roman"/>
                      <w:snapToGrid/>
                      <w:color w:val="auto"/>
                      <w:kern w:val="2"/>
                      <w:szCs w:val="24"/>
                      <w:highlight w:val="none"/>
                      <w:lang w:val="en-US" w:eastAsia="zh-CN"/>
                    </w:rPr>
                  </w:pPr>
                  <w:r>
                    <w:rPr>
                      <w:rFonts w:hint="eastAsia" w:ascii="Times New Roman" w:hAnsi="Times New Roman" w:eastAsia="宋体" w:cs="Times New Roman"/>
                      <w:snapToGrid/>
                      <w:color w:val="auto"/>
                      <w:kern w:val="2"/>
                      <w:szCs w:val="24"/>
                      <w:highlight w:val="none"/>
                      <w:lang w:val="en-US" w:eastAsia="zh-CN"/>
                    </w:rPr>
                    <w:t>0.00015</w:t>
                  </w:r>
                </w:p>
              </w:tc>
            </w:tr>
            <w:tr w14:paraId="25BF64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2184" w:type="dxa"/>
                  <w:vMerge w:val="continue"/>
                  <w:tcBorders>
                    <w:tl2br w:val="nil"/>
                    <w:tr2bl w:val="nil"/>
                  </w:tcBorders>
                  <w:noWrap w:val="0"/>
                  <w:vAlign w:val="center"/>
                </w:tcPr>
                <w:p w14:paraId="1800D026">
                  <w:pPr>
                    <w:pStyle w:val="98"/>
                    <w:widowControl w:val="0"/>
                    <w:kinsoku/>
                    <w:autoSpaceDE/>
                    <w:autoSpaceDN/>
                    <w:adjustRightInd/>
                    <w:snapToGrid/>
                    <w:jc w:val="center"/>
                    <w:textAlignment w:val="auto"/>
                    <w:rPr>
                      <w:rFonts w:hint="eastAsia" w:ascii="Times New Roman" w:hAnsi="Times New Roman" w:eastAsia="宋体" w:cs="Times New Roman"/>
                      <w:snapToGrid/>
                      <w:color w:val="auto"/>
                      <w:kern w:val="2"/>
                      <w:szCs w:val="24"/>
                      <w:highlight w:val="none"/>
                      <w:lang w:val="en-US" w:eastAsia="zh-CN"/>
                    </w:rPr>
                  </w:pPr>
                </w:p>
              </w:tc>
              <w:tc>
                <w:tcPr>
                  <w:tcW w:w="1950" w:type="dxa"/>
                  <w:tcBorders>
                    <w:tl2br w:val="nil"/>
                    <w:tr2bl w:val="nil"/>
                  </w:tcBorders>
                  <w:noWrap w:val="0"/>
                  <w:vAlign w:val="center"/>
                </w:tcPr>
                <w:p w14:paraId="2C28D5D8">
                  <w:pPr>
                    <w:pStyle w:val="98"/>
                    <w:widowControl w:val="0"/>
                    <w:kinsoku/>
                    <w:autoSpaceDE/>
                    <w:autoSpaceDN/>
                    <w:adjustRightInd/>
                    <w:snapToGrid/>
                    <w:ind w:firstLine="0" w:firstLineChars="0"/>
                    <w:jc w:val="center"/>
                    <w:textAlignment w:val="auto"/>
                    <w:rPr>
                      <w:rFonts w:hint="eastAsia" w:ascii="Times New Roman" w:hAnsi="Times New Roman" w:eastAsia="宋体" w:cs="Times New Roman"/>
                      <w:snapToGrid/>
                      <w:color w:val="auto"/>
                      <w:kern w:val="2"/>
                      <w:szCs w:val="24"/>
                      <w:highlight w:val="none"/>
                      <w:lang w:val="en-US" w:eastAsia="zh-CN"/>
                    </w:rPr>
                  </w:pPr>
                  <w:r>
                    <w:rPr>
                      <w:rFonts w:hint="eastAsia" w:ascii="Times New Roman" w:hAnsi="Times New Roman" w:eastAsia="宋体" w:cs="Times New Roman"/>
                      <w:snapToGrid/>
                      <w:color w:val="auto"/>
                      <w:kern w:val="2"/>
                      <w:szCs w:val="24"/>
                      <w:highlight w:val="none"/>
                      <w:lang w:val="en-US" w:eastAsia="zh-CN"/>
                    </w:rPr>
                    <w:t>非甲烷总烃</w:t>
                  </w:r>
                </w:p>
              </w:tc>
              <w:tc>
                <w:tcPr>
                  <w:tcW w:w="2092" w:type="dxa"/>
                  <w:vMerge w:val="continue"/>
                  <w:tcBorders>
                    <w:tl2br w:val="nil"/>
                    <w:tr2bl w:val="nil"/>
                  </w:tcBorders>
                  <w:noWrap w:val="0"/>
                  <w:vAlign w:val="center"/>
                </w:tcPr>
                <w:p w14:paraId="4E481FEE">
                  <w:pPr>
                    <w:pStyle w:val="98"/>
                    <w:widowControl w:val="0"/>
                    <w:kinsoku/>
                    <w:autoSpaceDE/>
                    <w:autoSpaceDN/>
                    <w:adjustRightInd/>
                    <w:snapToGrid/>
                    <w:jc w:val="center"/>
                    <w:textAlignment w:val="auto"/>
                    <w:rPr>
                      <w:rFonts w:hint="eastAsia" w:ascii="Times New Roman" w:hAnsi="Times New Roman" w:eastAsia="宋体" w:cs="Times New Roman"/>
                      <w:snapToGrid/>
                      <w:color w:val="auto"/>
                      <w:kern w:val="2"/>
                      <w:szCs w:val="24"/>
                      <w:highlight w:val="none"/>
                      <w:lang w:val="en-US" w:eastAsia="zh-CN"/>
                    </w:rPr>
                  </w:pPr>
                </w:p>
              </w:tc>
              <w:tc>
                <w:tcPr>
                  <w:tcW w:w="2092" w:type="dxa"/>
                  <w:tcBorders>
                    <w:tl2br w:val="nil"/>
                    <w:tr2bl w:val="nil"/>
                  </w:tcBorders>
                  <w:noWrap w:val="0"/>
                  <w:vAlign w:val="center"/>
                </w:tcPr>
                <w:p w14:paraId="01A65315">
                  <w:pPr>
                    <w:pStyle w:val="98"/>
                    <w:widowControl w:val="0"/>
                    <w:kinsoku/>
                    <w:autoSpaceDE/>
                    <w:autoSpaceDN/>
                    <w:adjustRightInd/>
                    <w:snapToGrid/>
                    <w:ind w:firstLine="0" w:firstLineChars="0"/>
                    <w:jc w:val="center"/>
                    <w:textAlignment w:val="auto"/>
                    <w:rPr>
                      <w:rFonts w:hint="default" w:ascii="Times New Roman" w:hAnsi="Times New Roman" w:eastAsia="宋体" w:cs="Times New Roman"/>
                      <w:snapToGrid/>
                      <w:color w:val="auto"/>
                      <w:kern w:val="2"/>
                      <w:szCs w:val="24"/>
                      <w:highlight w:val="none"/>
                      <w:lang w:val="en-US" w:eastAsia="zh-CN"/>
                    </w:rPr>
                  </w:pPr>
                  <w:r>
                    <w:rPr>
                      <w:rFonts w:hint="eastAsia" w:ascii="Times New Roman" w:hAnsi="Times New Roman" w:eastAsia="宋体" w:cs="Times New Roman"/>
                      <w:snapToGrid/>
                      <w:color w:val="auto"/>
                      <w:kern w:val="2"/>
                      <w:szCs w:val="24"/>
                      <w:highlight w:val="none"/>
                      <w:lang w:val="en-US" w:eastAsia="zh-CN"/>
                    </w:rPr>
                    <w:t>0.0036</w:t>
                  </w:r>
                </w:p>
              </w:tc>
            </w:tr>
          </w:tbl>
          <w:p w14:paraId="40CDDF31">
            <w:pPr>
              <w:bidi w:val="0"/>
              <w:rPr>
                <w:b/>
                <w:bCs/>
                <w:color w:val="auto"/>
                <w:highlight w:val="none"/>
              </w:rPr>
            </w:pPr>
            <w:r>
              <w:rPr>
                <w:rFonts w:hint="eastAsia"/>
                <w:b/>
                <w:bCs/>
                <w:color w:val="auto"/>
                <w:highlight w:val="none"/>
                <w:lang w:eastAsia="zh-CN"/>
              </w:rPr>
              <w:t>（</w:t>
            </w:r>
            <w:r>
              <w:rPr>
                <w:rFonts w:hint="eastAsia"/>
                <w:b/>
                <w:bCs/>
                <w:color w:val="auto"/>
                <w:highlight w:val="none"/>
                <w:lang w:val="en-US" w:eastAsia="zh-CN"/>
              </w:rPr>
              <w:t>7</w:t>
            </w:r>
            <w:r>
              <w:rPr>
                <w:rFonts w:hint="eastAsia"/>
                <w:b/>
                <w:bCs/>
                <w:color w:val="auto"/>
                <w:highlight w:val="none"/>
                <w:lang w:eastAsia="zh-CN"/>
              </w:rPr>
              <w:t>）</w:t>
            </w:r>
            <w:r>
              <w:rPr>
                <w:rFonts w:hint="eastAsia"/>
                <w:b/>
                <w:bCs/>
                <w:color w:val="auto"/>
                <w:highlight w:val="none"/>
                <w:lang w:val="en-US" w:eastAsia="zh-CN"/>
              </w:rPr>
              <w:t xml:space="preserve">恶臭 </w:t>
            </w:r>
          </w:p>
          <w:p w14:paraId="0796830E">
            <w:pPr>
              <w:bidi w:val="0"/>
              <w:rPr>
                <w:rFonts w:hint="eastAsia" w:eastAsia="宋体"/>
                <w:color w:val="auto"/>
                <w:highlight w:val="none"/>
                <w:lang w:val="en-US" w:eastAsia="zh-CN"/>
              </w:rPr>
            </w:pPr>
            <w:r>
              <w:rPr>
                <w:rFonts w:hint="eastAsia"/>
                <w:color w:val="auto"/>
                <w:highlight w:val="none"/>
                <w:lang w:val="en-US" w:eastAsia="zh-CN"/>
              </w:rPr>
              <w:t>项目所用原料之一为沥青，平时储存在密闭的储罐中，生产时将其加热，然后送至搅拌站与碎石进行搅拌，搅拌好的成品温度约为</w:t>
            </w:r>
            <w:r>
              <w:rPr>
                <w:rFonts w:hint="default"/>
                <w:color w:val="auto"/>
                <w:highlight w:val="none"/>
                <w:lang w:val="en-US" w:eastAsia="zh-CN"/>
              </w:rPr>
              <w:t>160℃</w:t>
            </w:r>
            <w:r>
              <w:rPr>
                <w:rFonts w:hint="eastAsia"/>
                <w:color w:val="auto"/>
                <w:highlight w:val="none"/>
                <w:lang w:val="en-US" w:eastAsia="zh-CN"/>
              </w:rPr>
              <w:t>～</w:t>
            </w:r>
            <w:r>
              <w:rPr>
                <w:rFonts w:hint="default"/>
                <w:color w:val="auto"/>
                <w:highlight w:val="none"/>
                <w:lang w:val="en-US" w:eastAsia="zh-CN"/>
              </w:rPr>
              <w:t>170℃</w:t>
            </w:r>
            <w:r>
              <w:rPr>
                <w:rFonts w:hint="eastAsia"/>
                <w:color w:val="auto"/>
                <w:highlight w:val="none"/>
                <w:lang w:val="en-US" w:eastAsia="zh-CN"/>
              </w:rPr>
              <w:t>。根据沥青特性，当温度达到</w:t>
            </w:r>
            <w:r>
              <w:rPr>
                <w:rFonts w:hint="default"/>
                <w:color w:val="auto"/>
                <w:highlight w:val="none"/>
                <w:lang w:val="en-US" w:eastAsia="zh-CN"/>
              </w:rPr>
              <w:t>80℃</w:t>
            </w:r>
            <w:r>
              <w:rPr>
                <w:rFonts w:hint="eastAsia"/>
                <w:color w:val="auto"/>
                <w:highlight w:val="none"/>
                <w:lang w:val="en-US" w:eastAsia="zh-CN"/>
              </w:rPr>
              <w:t>左右时，便会挥发出异味，但由于沥青从输送到搅拌全部在密闭管道和设施中进行；因此，生产过程主要是在出料敞开口处才会散发出沥青烟恶臭污染物。沥青烟恶臭产生量较少，本环评只对其进行定性分析。</w:t>
            </w:r>
          </w:p>
          <w:p w14:paraId="6ACC5D7C">
            <w:pPr>
              <w:ind w:firstLine="482"/>
              <w:rPr>
                <w:rFonts w:hint="eastAsia"/>
                <w:b/>
                <w:bCs/>
                <w:color w:val="auto"/>
                <w:highlight w:val="none"/>
              </w:rPr>
            </w:pPr>
            <w:r>
              <w:rPr>
                <w:b/>
                <w:bCs/>
                <w:color w:val="auto"/>
                <w:highlight w:val="none"/>
              </w:rPr>
              <w:t>（</w:t>
            </w:r>
            <w:r>
              <w:rPr>
                <w:rFonts w:hint="eastAsia"/>
                <w:b/>
                <w:bCs/>
                <w:color w:val="auto"/>
                <w:highlight w:val="none"/>
                <w:lang w:val="en-US" w:eastAsia="zh-CN"/>
              </w:rPr>
              <w:t>8</w:t>
            </w:r>
            <w:r>
              <w:rPr>
                <w:b/>
                <w:bCs/>
                <w:color w:val="auto"/>
                <w:highlight w:val="none"/>
              </w:rPr>
              <w:t>）</w:t>
            </w:r>
            <w:r>
              <w:rPr>
                <w:rFonts w:hint="eastAsia"/>
                <w:b/>
                <w:bCs/>
                <w:color w:val="auto"/>
                <w:highlight w:val="none"/>
              </w:rPr>
              <w:t>食堂油烟</w:t>
            </w:r>
          </w:p>
          <w:p w14:paraId="01ED936B">
            <w:pPr>
              <w:ind w:firstLine="480"/>
              <w:rPr>
                <w:rFonts w:hint="eastAsia"/>
                <w:color w:val="auto"/>
                <w:highlight w:val="none"/>
              </w:rPr>
            </w:pPr>
            <w:r>
              <w:rPr>
                <w:color w:val="auto"/>
                <w:highlight w:val="none"/>
              </w:rPr>
              <w:t>食物在烹饪、加工过程中将挥发出油脂、有机质及热分解或裂解产物，从而产生油烟废气。项目食堂</w:t>
            </w:r>
            <w:r>
              <w:rPr>
                <w:rFonts w:hint="eastAsia"/>
                <w:color w:val="auto"/>
                <w:highlight w:val="none"/>
              </w:rPr>
              <w:t>每日</w:t>
            </w:r>
            <w:r>
              <w:rPr>
                <w:color w:val="auto"/>
                <w:highlight w:val="none"/>
              </w:rPr>
              <w:t>就餐人数为</w:t>
            </w:r>
            <w:r>
              <w:rPr>
                <w:rFonts w:hint="eastAsia"/>
                <w:color w:val="auto"/>
                <w:highlight w:val="none"/>
                <w:lang w:val="en-US" w:eastAsia="zh-CN"/>
              </w:rPr>
              <w:t>10</w:t>
            </w:r>
            <w:r>
              <w:rPr>
                <w:color w:val="auto"/>
                <w:highlight w:val="none"/>
              </w:rPr>
              <w:t>人，根据《中国居民膳食指南</w:t>
            </w:r>
            <w:r>
              <w:rPr>
                <w:rFonts w:hint="eastAsia"/>
                <w:color w:val="auto"/>
                <w:highlight w:val="none"/>
              </w:rPr>
              <w:t>（</w:t>
            </w:r>
            <w:r>
              <w:rPr>
                <w:color w:val="auto"/>
                <w:highlight w:val="none"/>
              </w:rPr>
              <w:t>2016</w:t>
            </w:r>
            <w:r>
              <w:rPr>
                <w:rFonts w:hint="eastAsia"/>
                <w:color w:val="auto"/>
                <w:highlight w:val="none"/>
              </w:rPr>
              <w:t>）</w:t>
            </w:r>
            <w:r>
              <w:rPr>
                <w:color w:val="auto"/>
                <w:highlight w:val="none"/>
              </w:rPr>
              <w:t>》推荐，每日成年人食用油摄入量为25~30克，本评价食用油用量按每日摄入量最大值30g计，一般油烟挥发量占总耗油量的2~4%，平均为2.83%，则油烟产生量约为</w:t>
            </w:r>
            <w:r>
              <w:rPr>
                <w:rFonts w:hint="eastAsia"/>
                <w:color w:val="auto"/>
                <w:highlight w:val="none"/>
                <w:lang w:val="en-US" w:eastAsia="zh-CN"/>
              </w:rPr>
              <w:t>10</w:t>
            </w:r>
            <w:r>
              <w:rPr>
                <w:color w:val="auto"/>
                <w:highlight w:val="none"/>
              </w:rPr>
              <w:t>×</w:t>
            </w:r>
            <w:r>
              <w:rPr>
                <w:rFonts w:hint="eastAsia"/>
                <w:color w:val="auto"/>
                <w:highlight w:val="none"/>
              </w:rPr>
              <w:t>30</w:t>
            </w:r>
            <w:r>
              <w:rPr>
                <w:color w:val="auto"/>
                <w:highlight w:val="none"/>
              </w:rPr>
              <w:t>×</w:t>
            </w:r>
            <w:r>
              <w:rPr>
                <w:rFonts w:hint="eastAsia"/>
                <w:color w:val="auto"/>
                <w:highlight w:val="none"/>
              </w:rPr>
              <w:t>0.0283</w:t>
            </w:r>
            <w:r>
              <w:rPr>
                <w:color w:val="auto"/>
                <w:highlight w:val="none"/>
              </w:rPr>
              <w:t>×</w:t>
            </w:r>
            <w:r>
              <w:rPr>
                <w:rFonts w:hint="eastAsia"/>
                <w:color w:val="auto"/>
                <w:highlight w:val="none"/>
              </w:rPr>
              <w:t>10</w:t>
            </w:r>
            <w:r>
              <w:rPr>
                <w:rFonts w:hint="eastAsia"/>
                <w:color w:val="auto"/>
                <w:highlight w:val="none"/>
                <w:vertAlign w:val="superscript"/>
              </w:rPr>
              <w:t>-3</w:t>
            </w:r>
            <w:r>
              <w:rPr>
                <w:rFonts w:hint="eastAsia"/>
                <w:color w:val="auto"/>
                <w:highlight w:val="none"/>
              </w:rPr>
              <w:t>=</w:t>
            </w:r>
            <w:r>
              <w:rPr>
                <w:color w:val="auto"/>
                <w:highlight w:val="none"/>
              </w:rPr>
              <w:t>0.</w:t>
            </w:r>
            <w:r>
              <w:rPr>
                <w:rFonts w:hint="eastAsia"/>
                <w:color w:val="auto"/>
                <w:highlight w:val="none"/>
                <w:lang w:val="en-US" w:eastAsia="zh-CN"/>
              </w:rPr>
              <w:t>0085</w:t>
            </w:r>
            <w:r>
              <w:rPr>
                <w:color w:val="auto"/>
                <w:highlight w:val="none"/>
              </w:rPr>
              <w:t>kg/d（</w:t>
            </w:r>
            <w:r>
              <w:rPr>
                <w:rFonts w:hint="eastAsia"/>
                <w:color w:val="auto"/>
                <w:highlight w:val="none"/>
                <w:lang w:val="en-US" w:eastAsia="zh-CN"/>
              </w:rPr>
              <w:t>0.002t</w:t>
            </w:r>
            <w:r>
              <w:rPr>
                <w:color w:val="auto"/>
                <w:highlight w:val="none"/>
              </w:rPr>
              <w:t>/a），油烟产生时间为</w:t>
            </w:r>
            <w:r>
              <w:rPr>
                <w:rFonts w:hint="eastAsia"/>
                <w:color w:val="auto"/>
                <w:highlight w:val="none"/>
                <w:lang w:val="en-US" w:eastAsia="zh-CN"/>
              </w:rPr>
              <w:t>2</w:t>
            </w:r>
            <w:r>
              <w:rPr>
                <w:color w:val="auto"/>
                <w:highlight w:val="none"/>
              </w:rPr>
              <w:t>h/d（</w:t>
            </w:r>
            <w:r>
              <w:rPr>
                <w:rFonts w:hint="eastAsia"/>
                <w:color w:val="auto"/>
                <w:highlight w:val="none"/>
                <w:lang w:val="en-US" w:eastAsia="zh-CN"/>
              </w:rPr>
              <w:t>480</w:t>
            </w:r>
            <w:r>
              <w:rPr>
                <w:color w:val="auto"/>
                <w:highlight w:val="none"/>
              </w:rPr>
              <w:t>h/a），故油烟产生速率为</w:t>
            </w:r>
            <w:r>
              <w:rPr>
                <w:rFonts w:hint="eastAsia"/>
                <w:color w:val="auto"/>
                <w:highlight w:val="none"/>
              </w:rPr>
              <w:t>0.</w:t>
            </w:r>
            <w:r>
              <w:rPr>
                <w:rFonts w:hint="eastAsia"/>
                <w:color w:val="auto"/>
                <w:highlight w:val="none"/>
                <w:lang w:val="en-US" w:eastAsia="zh-CN"/>
              </w:rPr>
              <w:t>0042</w:t>
            </w:r>
            <w:r>
              <w:rPr>
                <w:color w:val="auto"/>
                <w:highlight w:val="none"/>
              </w:rPr>
              <w:t>kg/h。本项目食堂基准灶头数设置</w:t>
            </w:r>
            <w:r>
              <w:rPr>
                <w:rFonts w:hint="eastAsia"/>
                <w:color w:val="auto"/>
                <w:highlight w:val="none"/>
                <w:lang w:val="en-US" w:eastAsia="zh-CN"/>
              </w:rPr>
              <w:t>1</w:t>
            </w:r>
            <w:r>
              <w:rPr>
                <w:color w:val="auto"/>
                <w:highlight w:val="none"/>
              </w:rPr>
              <w:t>个，规模属于</w:t>
            </w:r>
            <w:r>
              <w:rPr>
                <w:rFonts w:hint="eastAsia"/>
                <w:color w:val="auto"/>
                <w:highlight w:val="none"/>
                <w:lang w:val="en-US" w:eastAsia="zh-CN"/>
              </w:rPr>
              <w:t>小</w:t>
            </w:r>
            <w:r>
              <w:rPr>
                <w:color w:val="auto"/>
                <w:highlight w:val="none"/>
              </w:rPr>
              <w:t>型食堂，灶头设计处理风量</w:t>
            </w:r>
            <w:r>
              <w:rPr>
                <w:rFonts w:hint="eastAsia"/>
                <w:color w:val="auto"/>
                <w:highlight w:val="none"/>
                <w:lang w:val="en-US" w:eastAsia="zh-CN"/>
              </w:rPr>
              <w:t>为1</w:t>
            </w:r>
            <w:r>
              <w:rPr>
                <w:color w:val="auto"/>
                <w:highlight w:val="none"/>
              </w:rPr>
              <w:t>000m</w:t>
            </w:r>
            <w:r>
              <w:rPr>
                <w:color w:val="auto"/>
                <w:highlight w:val="none"/>
                <w:vertAlign w:val="superscript"/>
              </w:rPr>
              <w:t>3</w:t>
            </w:r>
            <w:r>
              <w:rPr>
                <w:color w:val="auto"/>
                <w:highlight w:val="none"/>
              </w:rPr>
              <w:t>/h</w:t>
            </w:r>
            <w:r>
              <w:rPr>
                <w:rFonts w:hint="eastAsia"/>
                <w:color w:val="auto"/>
                <w:highlight w:val="none"/>
              </w:rPr>
              <w:t>。</w:t>
            </w:r>
            <w:r>
              <w:rPr>
                <w:color w:val="auto"/>
                <w:highlight w:val="none"/>
              </w:rPr>
              <w:t>项目食堂安装合格的油烟净化器，</w:t>
            </w:r>
            <w:r>
              <w:rPr>
                <w:rFonts w:hint="eastAsia" w:ascii="Times New Roman" w:hAnsi="Times New Roman" w:eastAsia="宋体" w:cs="Times New Roman"/>
                <w:color w:val="auto"/>
                <w:highlight w:val="none"/>
                <w:lang w:val="en-US" w:eastAsia="zh-CN"/>
              </w:rPr>
              <w:t>食堂油烟</w:t>
            </w:r>
            <w:r>
              <w:rPr>
                <w:rFonts w:hint="eastAsia" w:ascii="Times New Roman" w:hAnsi="Times New Roman" w:eastAsia="宋体" w:cs="Times New Roman"/>
                <w:color w:val="auto"/>
                <w:sz w:val="24"/>
                <w:szCs w:val="24"/>
                <w:highlight w:val="none"/>
                <w:lang w:val="en-US" w:eastAsia="zh-CN"/>
              </w:rPr>
              <w:t>经油烟净化器处理后通过专用油烟管道引至屋面排放</w:t>
            </w:r>
            <w:r>
              <w:rPr>
                <w:rFonts w:hint="eastAsia"/>
                <w:color w:val="auto"/>
                <w:highlight w:val="none"/>
                <w:lang w:val="en-US" w:eastAsia="zh-CN"/>
              </w:rPr>
              <w:t>。</w:t>
            </w:r>
            <w:r>
              <w:rPr>
                <w:color w:val="auto"/>
                <w:highlight w:val="none"/>
              </w:rPr>
              <w:t>油烟净化器净化设施按去除率</w:t>
            </w:r>
            <w:r>
              <w:rPr>
                <w:rFonts w:hint="eastAsia"/>
                <w:color w:val="auto"/>
                <w:highlight w:val="none"/>
              </w:rPr>
              <w:t>85</w:t>
            </w:r>
            <w:r>
              <w:rPr>
                <w:color w:val="auto"/>
                <w:highlight w:val="none"/>
              </w:rPr>
              <w:t>%计，收集效率按60%核算，则食堂油烟排放量为</w:t>
            </w:r>
            <w:r>
              <w:rPr>
                <w:rFonts w:hint="eastAsia"/>
                <w:color w:val="auto"/>
                <w:highlight w:val="none"/>
                <w:lang w:val="en-US" w:eastAsia="zh-CN"/>
              </w:rPr>
              <w:t>1.8</w:t>
            </w:r>
            <w:r>
              <w:rPr>
                <w:rFonts w:hint="default" w:ascii="Arial" w:hAnsi="Arial" w:cs="Arial"/>
                <w:color w:val="auto"/>
                <w:highlight w:val="none"/>
                <w:lang w:val="en-US" w:eastAsia="zh-CN"/>
              </w:rPr>
              <w:t>×</w:t>
            </w:r>
            <w:r>
              <w:rPr>
                <w:rFonts w:hint="eastAsia"/>
                <w:color w:val="auto"/>
                <w:highlight w:val="none"/>
                <w:lang w:val="en-US" w:eastAsia="zh-CN"/>
              </w:rPr>
              <w:t>10</w:t>
            </w:r>
            <w:r>
              <w:rPr>
                <w:rFonts w:hint="eastAsia"/>
                <w:color w:val="auto"/>
                <w:highlight w:val="none"/>
                <w:vertAlign w:val="superscript"/>
                <w:lang w:val="en-US" w:eastAsia="zh-CN"/>
              </w:rPr>
              <w:t>-4</w:t>
            </w:r>
            <w:r>
              <w:rPr>
                <w:color w:val="auto"/>
                <w:highlight w:val="none"/>
              </w:rPr>
              <w:t>t/a，排放速率为</w:t>
            </w:r>
            <w:r>
              <w:rPr>
                <w:rFonts w:hint="eastAsia"/>
                <w:color w:val="auto"/>
                <w:highlight w:val="none"/>
                <w:lang w:val="en-US" w:eastAsia="zh-CN"/>
              </w:rPr>
              <w:t>3.75</w:t>
            </w:r>
            <w:r>
              <w:rPr>
                <w:rFonts w:hint="default" w:ascii="Arial" w:hAnsi="Arial" w:cs="Arial"/>
                <w:color w:val="auto"/>
                <w:highlight w:val="none"/>
                <w:lang w:val="en-US" w:eastAsia="zh-CN"/>
              </w:rPr>
              <w:t>×</w:t>
            </w:r>
            <w:r>
              <w:rPr>
                <w:rFonts w:hint="eastAsia"/>
                <w:color w:val="auto"/>
                <w:highlight w:val="none"/>
                <w:lang w:val="en-US" w:eastAsia="zh-CN"/>
              </w:rPr>
              <w:t>10</w:t>
            </w:r>
            <w:r>
              <w:rPr>
                <w:rFonts w:hint="eastAsia"/>
                <w:color w:val="auto"/>
                <w:highlight w:val="none"/>
                <w:vertAlign w:val="superscript"/>
                <w:lang w:val="en-US" w:eastAsia="zh-CN"/>
              </w:rPr>
              <w:t>-4</w:t>
            </w:r>
            <w:r>
              <w:rPr>
                <w:rFonts w:hint="eastAsia"/>
                <w:color w:val="auto"/>
                <w:highlight w:val="none"/>
              </w:rPr>
              <w:t>kg/h</w:t>
            </w:r>
            <w:r>
              <w:rPr>
                <w:color w:val="auto"/>
                <w:highlight w:val="none"/>
              </w:rPr>
              <w:t>，排放浓度为</w:t>
            </w:r>
            <w:r>
              <w:rPr>
                <w:rFonts w:hint="eastAsia"/>
                <w:color w:val="auto"/>
                <w:highlight w:val="none"/>
                <w:lang w:val="en-US" w:eastAsia="zh-CN"/>
              </w:rPr>
              <w:t>0.375</w:t>
            </w:r>
            <w:r>
              <w:rPr>
                <w:color w:val="auto"/>
                <w:highlight w:val="none"/>
              </w:rPr>
              <w:t>mg/m</w:t>
            </w:r>
            <w:r>
              <w:rPr>
                <w:color w:val="auto"/>
                <w:highlight w:val="none"/>
                <w:vertAlign w:val="superscript"/>
              </w:rPr>
              <w:t>3</w:t>
            </w:r>
            <w:r>
              <w:rPr>
                <w:color w:val="auto"/>
                <w:highlight w:val="none"/>
              </w:rPr>
              <w:t>。可达《饮食业油烟排放标准（试行）》（GB18483-2001）中的最高允许排放浓度要求</w:t>
            </w:r>
            <w:r>
              <w:rPr>
                <w:rFonts w:hint="eastAsia"/>
                <w:color w:val="auto"/>
                <w:highlight w:val="none"/>
              </w:rPr>
              <w:t>（</w:t>
            </w:r>
            <w:r>
              <w:rPr>
                <w:color w:val="auto"/>
                <w:highlight w:val="none"/>
              </w:rPr>
              <w:t>≤2.0mg/m</w:t>
            </w:r>
            <w:r>
              <w:rPr>
                <w:color w:val="auto"/>
                <w:highlight w:val="none"/>
                <w:vertAlign w:val="superscript"/>
              </w:rPr>
              <w:t>3</w:t>
            </w:r>
            <w:r>
              <w:rPr>
                <w:rFonts w:hint="eastAsia"/>
                <w:color w:val="auto"/>
                <w:highlight w:val="none"/>
              </w:rPr>
              <w:t>）</w:t>
            </w:r>
            <w:r>
              <w:rPr>
                <w:color w:val="auto"/>
                <w:highlight w:val="none"/>
              </w:rPr>
              <w:t>。详见表4.</w:t>
            </w:r>
            <w:r>
              <w:rPr>
                <w:rFonts w:hint="eastAsia"/>
                <w:color w:val="auto"/>
                <w:highlight w:val="none"/>
              </w:rPr>
              <w:t>2-</w:t>
            </w:r>
            <w:r>
              <w:rPr>
                <w:rFonts w:hint="eastAsia"/>
                <w:color w:val="auto"/>
                <w:highlight w:val="none"/>
                <w:lang w:val="en-US" w:eastAsia="zh-CN"/>
              </w:rPr>
              <w:t>13</w:t>
            </w:r>
            <w:r>
              <w:rPr>
                <w:rFonts w:hint="eastAsia"/>
                <w:color w:val="auto"/>
                <w:highlight w:val="none"/>
              </w:rPr>
              <w:t>。</w:t>
            </w:r>
          </w:p>
          <w:p w14:paraId="144C02B8">
            <w:pPr>
              <w:pStyle w:val="7"/>
              <w:ind w:firstLine="0" w:firstLineChars="0"/>
              <w:jc w:val="center"/>
              <w:rPr>
                <w:b/>
                <w:color w:val="auto"/>
                <w:highlight w:val="none"/>
                <w:lang w:bidi="ar"/>
              </w:rPr>
            </w:pPr>
            <w:r>
              <w:rPr>
                <w:b/>
                <w:color w:val="auto"/>
                <w:highlight w:val="none"/>
                <w:lang w:bidi="ar"/>
              </w:rPr>
              <w:t>表4.</w:t>
            </w:r>
            <w:r>
              <w:rPr>
                <w:rFonts w:hint="eastAsia"/>
                <w:b/>
                <w:color w:val="auto"/>
                <w:highlight w:val="none"/>
                <w:lang w:bidi="ar"/>
              </w:rPr>
              <w:t>2-</w:t>
            </w:r>
            <w:r>
              <w:rPr>
                <w:rFonts w:hint="eastAsia"/>
                <w:b/>
                <w:color w:val="auto"/>
                <w:highlight w:val="none"/>
                <w:lang w:val="en-US" w:eastAsia="zh-CN" w:bidi="ar"/>
              </w:rPr>
              <w:t>13</w:t>
            </w:r>
            <w:r>
              <w:rPr>
                <w:b/>
                <w:color w:val="auto"/>
                <w:highlight w:val="none"/>
                <w:lang w:bidi="ar"/>
              </w:rPr>
              <w:t xml:space="preserve">  食堂油烟产排情况一览表</w:t>
            </w:r>
          </w:p>
          <w:tbl>
            <w:tblPr>
              <w:tblStyle w:val="129"/>
              <w:tblW w:w="8465"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827"/>
              <w:gridCol w:w="684"/>
              <w:gridCol w:w="668"/>
              <w:gridCol w:w="883"/>
              <w:gridCol w:w="723"/>
              <w:gridCol w:w="872"/>
              <w:gridCol w:w="657"/>
              <w:gridCol w:w="850"/>
              <w:gridCol w:w="758"/>
              <w:gridCol w:w="830"/>
              <w:gridCol w:w="713"/>
            </w:tblGrid>
            <w:tr w14:paraId="615114C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34" w:hRule="atLeast"/>
                <w:jc w:val="center"/>
              </w:trPr>
              <w:tc>
                <w:tcPr>
                  <w:tcW w:w="488" w:type="pct"/>
                  <w:tcBorders>
                    <w:tl2br w:val="nil"/>
                    <w:tr2bl w:val="nil"/>
                  </w:tcBorders>
                  <w:noWrap w:val="0"/>
                  <w:vAlign w:val="center"/>
                </w:tcPr>
                <w:p w14:paraId="22BFA3C8">
                  <w:pPr>
                    <w:pStyle w:val="98"/>
                    <w:widowControl w:val="0"/>
                    <w:kinsoku/>
                    <w:autoSpaceDE/>
                    <w:autoSpaceDN/>
                    <w:adjustRightInd/>
                    <w:snapToGrid/>
                    <w:jc w:val="center"/>
                    <w:textAlignment w:val="auto"/>
                    <w:rPr>
                      <w:rFonts w:hint="eastAsia" w:ascii="Times New Roman" w:hAnsi="Times New Roman" w:cs="Times New Roman"/>
                      <w:b/>
                      <w:bCs/>
                      <w:snapToGrid/>
                      <w:color w:val="auto"/>
                      <w:kern w:val="2"/>
                      <w:szCs w:val="24"/>
                      <w:highlight w:val="none"/>
                      <w:lang w:eastAsia="zh-CN"/>
                    </w:rPr>
                  </w:pPr>
                  <w:r>
                    <w:rPr>
                      <w:rFonts w:hint="eastAsia" w:ascii="Times New Roman" w:hAnsi="Times New Roman" w:cs="Times New Roman"/>
                      <w:b/>
                      <w:bCs/>
                      <w:snapToGrid/>
                      <w:color w:val="auto"/>
                      <w:kern w:val="2"/>
                      <w:szCs w:val="24"/>
                      <w:highlight w:val="none"/>
                      <w:lang w:eastAsia="zh-CN"/>
                    </w:rPr>
                    <w:t>污染物</w:t>
                  </w:r>
                </w:p>
              </w:tc>
              <w:tc>
                <w:tcPr>
                  <w:tcW w:w="404" w:type="pct"/>
                  <w:tcBorders>
                    <w:tl2br w:val="nil"/>
                    <w:tr2bl w:val="nil"/>
                  </w:tcBorders>
                  <w:noWrap w:val="0"/>
                  <w:vAlign w:val="center"/>
                </w:tcPr>
                <w:p w14:paraId="4B47FA94">
                  <w:pPr>
                    <w:pStyle w:val="98"/>
                    <w:widowControl w:val="0"/>
                    <w:kinsoku/>
                    <w:autoSpaceDE/>
                    <w:autoSpaceDN/>
                    <w:adjustRightInd/>
                    <w:snapToGrid/>
                    <w:jc w:val="center"/>
                    <w:textAlignment w:val="auto"/>
                    <w:rPr>
                      <w:rFonts w:hint="eastAsia" w:ascii="Times New Roman" w:hAnsi="Times New Roman" w:cs="Times New Roman"/>
                      <w:b/>
                      <w:bCs/>
                      <w:snapToGrid/>
                      <w:color w:val="auto"/>
                      <w:kern w:val="2"/>
                      <w:szCs w:val="24"/>
                      <w:highlight w:val="none"/>
                      <w:lang w:eastAsia="zh-CN"/>
                    </w:rPr>
                  </w:pPr>
                  <w:r>
                    <w:rPr>
                      <w:rFonts w:hint="eastAsia" w:ascii="Times New Roman" w:hAnsi="Times New Roman" w:cs="Times New Roman"/>
                      <w:b/>
                      <w:bCs/>
                      <w:snapToGrid/>
                      <w:color w:val="auto"/>
                      <w:kern w:val="2"/>
                      <w:szCs w:val="24"/>
                      <w:highlight w:val="none"/>
                      <w:lang w:eastAsia="zh-CN"/>
                    </w:rPr>
                    <w:t>排放形式</w:t>
                  </w:r>
                </w:p>
              </w:tc>
              <w:tc>
                <w:tcPr>
                  <w:tcW w:w="394" w:type="pct"/>
                  <w:tcBorders>
                    <w:tl2br w:val="nil"/>
                    <w:tr2bl w:val="nil"/>
                  </w:tcBorders>
                  <w:noWrap w:val="0"/>
                  <w:vAlign w:val="center"/>
                </w:tcPr>
                <w:p w14:paraId="2FF0A82A">
                  <w:pPr>
                    <w:pStyle w:val="107"/>
                    <w:widowControl/>
                    <w:ind w:firstLine="0" w:firstLineChars="0"/>
                    <w:jc w:val="center"/>
                    <w:rPr>
                      <w:rFonts w:hint="eastAsia" w:ascii="Times New Roman" w:hAnsi="Times New Roman" w:eastAsia="宋体"/>
                      <w:b/>
                      <w:bCs/>
                      <w:color w:val="auto"/>
                      <w:sz w:val="21"/>
                      <w:szCs w:val="21"/>
                      <w:highlight w:val="none"/>
                    </w:rPr>
                  </w:pPr>
                  <w:r>
                    <w:rPr>
                      <w:rFonts w:hint="eastAsia" w:ascii="Times New Roman" w:hAnsi="Times New Roman" w:eastAsia="宋体"/>
                      <w:b/>
                      <w:bCs/>
                      <w:color w:val="auto"/>
                      <w:sz w:val="21"/>
                      <w:szCs w:val="21"/>
                      <w:highlight w:val="none"/>
                    </w:rPr>
                    <w:t>排放时间</w:t>
                  </w:r>
                </w:p>
                <w:p w14:paraId="596CA71A">
                  <w:pPr>
                    <w:pStyle w:val="98"/>
                    <w:widowControl w:val="0"/>
                    <w:kinsoku/>
                    <w:autoSpaceDE/>
                    <w:autoSpaceDN/>
                    <w:adjustRightInd/>
                    <w:snapToGrid/>
                    <w:jc w:val="center"/>
                    <w:textAlignment w:val="auto"/>
                    <w:rPr>
                      <w:rFonts w:hint="default" w:ascii="Times New Roman" w:hAnsi="Times New Roman" w:cs="Times New Roman"/>
                      <w:b/>
                      <w:bCs/>
                      <w:snapToGrid/>
                      <w:color w:val="auto"/>
                      <w:kern w:val="2"/>
                      <w:szCs w:val="24"/>
                      <w:highlight w:val="none"/>
                      <w:lang w:val="en-US" w:eastAsia="zh-CN"/>
                    </w:rPr>
                  </w:pPr>
                  <w:r>
                    <w:rPr>
                      <w:rFonts w:hint="eastAsia" w:ascii="Times New Roman" w:hAnsi="Times New Roman" w:eastAsia="宋体"/>
                      <w:b/>
                      <w:bCs/>
                      <w:color w:val="auto"/>
                      <w:sz w:val="21"/>
                      <w:szCs w:val="21"/>
                      <w:highlight w:val="none"/>
                    </w:rPr>
                    <w:t>h</w:t>
                  </w:r>
                </w:p>
              </w:tc>
              <w:tc>
                <w:tcPr>
                  <w:tcW w:w="521" w:type="pct"/>
                  <w:tcBorders>
                    <w:tl2br w:val="nil"/>
                    <w:tr2bl w:val="nil"/>
                  </w:tcBorders>
                  <w:noWrap w:val="0"/>
                  <w:vAlign w:val="center"/>
                </w:tcPr>
                <w:p w14:paraId="05318314">
                  <w:pPr>
                    <w:pStyle w:val="98"/>
                    <w:widowControl w:val="0"/>
                    <w:kinsoku/>
                    <w:autoSpaceDE/>
                    <w:autoSpaceDN/>
                    <w:adjustRightInd/>
                    <w:snapToGrid/>
                    <w:jc w:val="center"/>
                    <w:textAlignment w:val="auto"/>
                    <w:rPr>
                      <w:rFonts w:hint="default" w:ascii="Times New Roman" w:hAnsi="Times New Roman" w:cs="Times New Roman"/>
                      <w:b/>
                      <w:bCs/>
                      <w:snapToGrid/>
                      <w:color w:val="auto"/>
                      <w:kern w:val="2"/>
                      <w:szCs w:val="24"/>
                      <w:highlight w:val="none"/>
                      <w:lang w:val="en-US" w:eastAsia="zh-CN"/>
                    </w:rPr>
                  </w:pPr>
                  <w:r>
                    <w:rPr>
                      <w:rFonts w:hint="eastAsia" w:ascii="Times New Roman" w:hAnsi="Times New Roman" w:cs="Times New Roman"/>
                      <w:b/>
                      <w:bCs/>
                      <w:snapToGrid/>
                      <w:color w:val="auto"/>
                      <w:kern w:val="2"/>
                      <w:szCs w:val="24"/>
                      <w:highlight w:val="none"/>
                      <w:lang w:val="en-US" w:eastAsia="zh-CN"/>
                    </w:rPr>
                    <w:t>风机风量m</w:t>
                  </w:r>
                  <w:r>
                    <w:rPr>
                      <w:rFonts w:hint="eastAsia" w:ascii="Times New Roman" w:hAnsi="Times New Roman" w:cs="Times New Roman"/>
                      <w:b/>
                      <w:bCs/>
                      <w:snapToGrid/>
                      <w:color w:val="auto"/>
                      <w:kern w:val="2"/>
                      <w:szCs w:val="24"/>
                      <w:highlight w:val="none"/>
                      <w:vertAlign w:val="superscript"/>
                      <w:lang w:val="en-US" w:eastAsia="zh-CN"/>
                    </w:rPr>
                    <w:t>3</w:t>
                  </w:r>
                  <w:r>
                    <w:rPr>
                      <w:rFonts w:hint="eastAsia" w:ascii="Times New Roman" w:hAnsi="Times New Roman" w:cs="Times New Roman"/>
                      <w:b/>
                      <w:bCs/>
                      <w:snapToGrid/>
                      <w:color w:val="auto"/>
                      <w:kern w:val="2"/>
                      <w:szCs w:val="24"/>
                      <w:highlight w:val="none"/>
                      <w:lang w:val="en-US" w:eastAsia="zh-CN"/>
                    </w:rPr>
                    <w:t>/h</w:t>
                  </w:r>
                </w:p>
              </w:tc>
              <w:tc>
                <w:tcPr>
                  <w:tcW w:w="427" w:type="pct"/>
                  <w:tcBorders>
                    <w:tl2br w:val="nil"/>
                    <w:tr2bl w:val="nil"/>
                  </w:tcBorders>
                  <w:noWrap w:val="0"/>
                  <w:vAlign w:val="center"/>
                </w:tcPr>
                <w:p w14:paraId="28E366A9">
                  <w:pPr>
                    <w:pStyle w:val="98"/>
                    <w:widowControl w:val="0"/>
                    <w:kinsoku/>
                    <w:autoSpaceDE/>
                    <w:autoSpaceDN/>
                    <w:adjustRightInd/>
                    <w:snapToGrid/>
                    <w:jc w:val="center"/>
                    <w:textAlignment w:val="auto"/>
                    <w:rPr>
                      <w:rFonts w:hint="default" w:ascii="Times New Roman" w:hAnsi="Times New Roman" w:cs="Times New Roman"/>
                      <w:b/>
                      <w:bCs/>
                      <w:snapToGrid/>
                      <w:color w:val="auto"/>
                      <w:kern w:val="2"/>
                      <w:szCs w:val="24"/>
                      <w:highlight w:val="none"/>
                      <w:lang w:val="en-US" w:eastAsia="zh-CN"/>
                    </w:rPr>
                  </w:pPr>
                  <w:r>
                    <w:rPr>
                      <w:rFonts w:hint="eastAsia" w:ascii="Times New Roman" w:hAnsi="Times New Roman" w:cs="Times New Roman"/>
                      <w:b/>
                      <w:bCs/>
                      <w:snapToGrid/>
                      <w:color w:val="auto"/>
                      <w:kern w:val="2"/>
                      <w:szCs w:val="24"/>
                      <w:highlight w:val="none"/>
                      <w:lang w:eastAsia="zh-CN"/>
                    </w:rPr>
                    <w:t>产生量 t/a</w:t>
                  </w:r>
                </w:p>
              </w:tc>
              <w:tc>
                <w:tcPr>
                  <w:tcW w:w="515" w:type="pct"/>
                  <w:tcBorders>
                    <w:tl2br w:val="nil"/>
                    <w:tr2bl w:val="nil"/>
                  </w:tcBorders>
                  <w:noWrap w:val="0"/>
                  <w:vAlign w:val="center"/>
                </w:tcPr>
                <w:p w14:paraId="1F964C76">
                  <w:pPr>
                    <w:pStyle w:val="98"/>
                    <w:widowControl w:val="0"/>
                    <w:kinsoku/>
                    <w:autoSpaceDE/>
                    <w:autoSpaceDN/>
                    <w:adjustRightInd/>
                    <w:snapToGrid/>
                    <w:jc w:val="center"/>
                    <w:textAlignment w:val="auto"/>
                    <w:rPr>
                      <w:rFonts w:hint="default" w:ascii="Times New Roman" w:hAnsi="Times New Roman" w:cs="Times New Roman"/>
                      <w:b/>
                      <w:bCs/>
                      <w:snapToGrid/>
                      <w:color w:val="auto"/>
                      <w:kern w:val="2"/>
                      <w:szCs w:val="24"/>
                      <w:highlight w:val="none"/>
                      <w:lang w:val="en-US" w:eastAsia="zh-CN"/>
                    </w:rPr>
                  </w:pPr>
                  <w:r>
                    <w:rPr>
                      <w:rFonts w:hint="eastAsia" w:ascii="Times New Roman" w:hAnsi="Times New Roman" w:cs="Times New Roman"/>
                      <w:b/>
                      <w:bCs/>
                      <w:snapToGrid/>
                      <w:color w:val="auto"/>
                      <w:kern w:val="2"/>
                      <w:szCs w:val="24"/>
                      <w:highlight w:val="none"/>
                      <w:lang w:val="en-US" w:eastAsia="zh-CN"/>
                    </w:rPr>
                    <w:t>产生速率</w:t>
                  </w:r>
                  <w:r>
                    <w:rPr>
                      <w:rFonts w:hint="eastAsia" w:ascii="Times New Roman" w:hAnsi="Times New Roman" w:cs="Times New Roman"/>
                      <w:b/>
                      <w:bCs/>
                      <w:snapToGrid/>
                      <w:color w:val="auto"/>
                      <w:kern w:val="2"/>
                      <w:szCs w:val="24"/>
                      <w:highlight w:val="none"/>
                      <w:lang w:eastAsia="zh-CN"/>
                    </w:rPr>
                    <w:t>kg/h</w:t>
                  </w:r>
                </w:p>
              </w:tc>
              <w:tc>
                <w:tcPr>
                  <w:tcW w:w="388" w:type="pct"/>
                  <w:tcBorders>
                    <w:tl2br w:val="nil"/>
                    <w:tr2bl w:val="nil"/>
                  </w:tcBorders>
                  <w:noWrap w:val="0"/>
                  <w:vAlign w:val="center"/>
                </w:tcPr>
                <w:p w14:paraId="4CB178E3">
                  <w:pPr>
                    <w:pStyle w:val="98"/>
                    <w:widowControl w:val="0"/>
                    <w:kinsoku/>
                    <w:autoSpaceDE/>
                    <w:autoSpaceDN/>
                    <w:adjustRightInd/>
                    <w:snapToGrid/>
                    <w:jc w:val="center"/>
                    <w:textAlignment w:val="auto"/>
                    <w:rPr>
                      <w:rFonts w:hint="eastAsia" w:ascii="Times New Roman" w:hAnsi="Times New Roman" w:cs="Times New Roman"/>
                      <w:b/>
                      <w:bCs/>
                      <w:snapToGrid/>
                      <w:color w:val="auto"/>
                      <w:kern w:val="2"/>
                      <w:szCs w:val="24"/>
                      <w:highlight w:val="none"/>
                      <w:lang w:val="en-US" w:eastAsia="zh-CN"/>
                    </w:rPr>
                  </w:pPr>
                  <w:r>
                    <w:rPr>
                      <w:rFonts w:hint="eastAsia" w:ascii="Times New Roman" w:hAnsi="Times New Roman" w:cs="Times New Roman"/>
                      <w:b/>
                      <w:bCs/>
                      <w:snapToGrid/>
                      <w:color w:val="auto"/>
                      <w:kern w:val="2"/>
                      <w:szCs w:val="24"/>
                      <w:highlight w:val="none"/>
                      <w:lang w:val="en-US" w:eastAsia="zh-CN"/>
                    </w:rPr>
                    <w:t>产生浓度</w:t>
                  </w:r>
                </w:p>
                <w:p w14:paraId="1F039422">
                  <w:pPr>
                    <w:pStyle w:val="98"/>
                    <w:widowControl w:val="0"/>
                    <w:kinsoku/>
                    <w:autoSpaceDE/>
                    <w:autoSpaceDN/>
                    <w:adjustRightInd/>
                    <w:snapToGrid/>
                    <w:jc w:val="center"/>
                    <w:textAlignment w:val="auto"/>
                    <w:rPr>
                      <w:rFonts w:hint="default" w:ascii="Times New Roman" w:hAnsi="Times New Roman" w:cs="Times New Roman"/>
                      <w:b/>
                      <w:bCs/>
                      <w:snapToGrid/>
                      <w:color w:val="auto"/>
                      <w:kern w:val="2"/>
                      <w:szCs w:val="24"/>
                      <w:highlight w:val="none"/>
                      <w:lang w:val="en-US" w:eastAsia="zh-CN"/>
                    </w:rPr>
                  </w:pPr>
                  <w:r>
                    <w:rPr>
                      <w:rFonts w:hint="eastAsia" w:ascii="Times New Roman" w:hAnsi="Times New Roman" w:cs="Times New Roman"/>
                      <w:b/>
                      <w:bCs/>
                      <w:snapToGrid/>
                      <w:color w:val="auto"/>
                      <w:kern w:val="2"/>
                      <w:szCs w:val="24"/>
                      <w:highlight w:val="none"/>
                      <w:lang w:eastAsia="zh-CN"/>
                    </w:rPr>
                    <w:t>mg/ m</w:t>
                  </w:r>
                  <w:r>
                    <w:rPr>
                      <w:rFonts w:hint="eastAsia" w:ascii="Times New Roman" w:hAnsi="Times New Roman" w:cs="Times New Roman"/>
                      <w:b/>
                      <w:bCs/>
                      <w:snapToGrid/>
                      <w:color w:val="auto"/>
                      <w:kern w:val="2"/>
                      <w:szCs w:val="24"/>
                      <w:highlight w:val="none"/>
                      <w:vertAlign w:val="superscript"/>
                      <w:lang w:eastAsia="zh-CN"/>
                    </w:rPr>
                    <w:t>3</w:t>
                  </w:r>
                </w:p>
              </w:tc>
              <w:tc>
                <w:tcPr>
                  <w:tcW w:w="502" w:type="pct"/>
                  <w:tcBorders>
                    <w:tl2br w:val="nil"/>
                    <w:tr2bl w:val="nil"/>
                  </w:tcBorders>
                  <w:noWrap w:val="0"/>
                  <w:vAlign w:val="center"/>
                </w:tcPr>
                <w:p w14:paraId="23333011">
                  <w:pPr>
                    <w:pStyle w:val="98"/>
                    <w:widowControl w:val="0"/>
                    <w:kinsoku/>
                    <w:autoSpaceDE/>
                    <w:autoSpaceDN/>
                    <w:adjustRightInd/>
                    <w:snapToGrid/>
                    <w:jc w:val="center"/>
                    <w:textAlignment w:val="auto"/>
                    <w:rPr>
                      <w:rFonts w:hint="eastAsia" w:ascii="Times New Roman" w:hAnsi="Times New Roman" w:cs="Times New Roman"/>
                      <w:b/>
                      <w:bCs/>
                      <w:snapToGrid/>
                      <w:color w:val="auto"/>
                      <w:kern w:val="2"/>
                      <w:szCs w:val="24"/>
                      <w:highlight w:val="none"/>
                      <w:lang w:eastAsia="zh-CN"/>
                    </w:rPr>
                  </w:pPr>
                  <w:r>
                    <w:rPr>
                      <w:rFonts w:hint="eastAsia" w:ascii="Times New Roman" w:hAnsi="Times New Roman" w:cs="Times New Roman"/>
                      <w:b/>
                      <w:bCs/>
                      <w:snapToGrid/>
                      <w:color w:val="auto"/>
                      <w:kern w:val="2"/>
                      <w:szCs w:val="24"/>
                      <w:highlight w:val="none"/>
                      <w:lang w:eastAsia="zh-CN"/>
                    </w:rPr>
                    <w:t>治理措施及处理效率</w:t>
                  </w:r>
                </w:p>
              </w:tc>
              <w:tc>
                <w:tcPr>
                  <w:tcW w:w="447" w:type="pct"/>
                  <w:tcBorders>
                    <w:tl2br w:val="nil"/>
                    <w:tr2bl w:val="nil"/>
                  </w:tcBorders>
                  <w:noWrap w:val="0"/>
                  <w:vAlign w:val="center"/>
                </w:tcPr>
                <w:p w14:paraId="0608263B">
                  <w:pPr>
                    <w:pStyle w:val="98"/>
                    <w:widowControl w:val="0"/>
                    <w:kinsoku/>
                    <w:autoSpaceDE/>
                    <w:autoSpaceDN/>
                    <w:adjustRightInd/>
                    <w:snapToGrid/>
                    <w:jc w:val="center"/>
                    <w:textAlignment w:val="auto"/>
                    <w:rPr>
                      <w:rFonts w:hint="eastAsia" w:ascii="Times New Roman" w:hAnsi="Times New Roman" w:cs="Times New Roman"/>
                      <w:b/>
                      <w:bCs/>
                      <w:snapToGrid/>
                      <w:color w:val="auto"/>
                      <w:kern w:val="2"/>
                      <w:szCs w:val="24"/>
                      <w:highlight w:val="none"/>
                      <w:lang w:eastAsia="zh-CN"/>
                    </w:rPr>
                  </w:pPr>
                  <w:r>
                    <w:rPr>
                      <w:rFonts w:hint="eastAsia" w:ascii="Times New Roman" w:hAnsi="Times New Roman" w:cs="Times New Roman"/>
                      <w:b/>
                      <w:bCs/>
                      <w:snapToGrid/>
                      <w:color w:val="auto"/>
                      <w:kern w:val="2"/>
                      <w:szCs w:val="24"/>
                      <w:highlight w:val="none"/>
                      <w:lang w:eastAsia="zh-CN"/>
                    </w:rPr>
                    <w:t>排放量t/a</w:t>
                  </w:r>
                </w:p>
              </w:tc>
              <w:tc>
                <w:tcPr>
                  <w:tcW w:w="490" w:type="pct"/>
                  <w:tcBorders>
                    <w:tl2br w:val="nil"/>
                    <w:tr2bl w:val="nil"/>
                  </w:tcBorders>
                  <w:noWrap w:val="0"/>
                  <w:vAlign w:val="center"/>
                </w:tcPr>
                <w:p w14:paraId="1B719DDC">
                  <w:pPr>
                    <w:pStyle w:val="98"/>
                    <w:widowControl w:val="0"/>
                    <w:kinsoku/>
                    <w:autoSpaceDE/>
                    <w:autoSpaceDN/>
                    <w:adjustRightInd/>
                    <w:snapToGrid/>
                    <w:jc w:val="center"/>
                    <w:textAlignment w:val="auto"/>
                    <w:rPr>
                      <w:rFonts w:hint="eastAsia" w:ascii="Times New Roman" w:hAnsi="Times New Roman" w:cs="Times New Roman"/>
                      <w:b/>
                      <w:bCs/>
                      <w:snapToGrid/>
                      <w:color w:val="auto"/>
                      <w:kern w:val="2"/>
                      <w:szCs w:val="24"/>
                      <w:highlight w:val="none"/>
                      <w:lang w:eastAsia="zh-CN"/>
                    </w:rPr>
                  </w:pPr>
                  <w:r>
                    <w:rPr>
                      <w:rFonts w:hint="eastAsia" w:ascii="Times New Roman" w:hAnsi="Times New Roman" w:cs="Times New Roman"/>
                      <w:b/>
                      <w:bCs/>
                      <w:snapToGrid/>
                      <w:color w:val="auto"/>
                      <w:kern w:val="2"/>
                      <w:szCs w:val="24"/>
                      <w:highlight w:val="none"/>
                      <w:lang w:eastAsia="zh-CN"/>
                    </w:rPr>
                    <w:t>排放速率kg/h</w:t>
                  </w:r>
                </w:p>
              </w:tc>
              <w:tc>
                <w:tcPr>
                  <w:tcW w:w="421" w:type="pct"/>
                  <w:tcBorders>
                    <w:tl2br w:val="nil"/>
                    <w:tr2bl w:val="nil"/>
                  </w:tcBorders>
                  <w:noWrap w:val="0"/>
                  <w:vAlign w:val="center"/>
                </w:tcPr>
                <w:p w14:paraId="05EA9FCF">
                  <w:pPr>
                    <w:pStyle w:val="98"/>
                    <w:widowControl w:val="0"/>
                    <w:kinsoku/>
                    <w:autoSpaceDE/>
                    <w:autoSpaceDN/>
                    <w:adjustRightInd/>
                    <w:snapToGrid/>
                    <w:jc w:val="center"/>
                    <w:textAlignment w:val="auto"/>
                    <w:rPr>
                      <w:rFonts w:hint="eastAsia" w:ascii="Times New Roman" w:hAnsi="Times New Roman" w:cs="Times New Roman"/>
                      <w:b/>
                      <w:bCs/>
                      <w:snapToGrid/>
                      <w:color w:val="auto"/>
                      <w:kern w:val="2"/>
                      <w:szCs w:val="24"/>
                      <w:highlight w:val="none"/>
                      <w:lang w:eastAsia="zh-CN"/>
                    </w:rPr>
                  </w:pPr>
                  <w:r>
                    <w:rPr>
                      <w:rFonts w:hint="eastAsia" w:ascii="Times New Roman" w:hAnsi="Times New Roman" w:cs="Times New Roman"/>
                      <w:b/>
                      <w:bCs/>
                      <w:snapToGrid/>
                      <w:color w:val="auto"/>
                      <w:kern w:val="2"/>
                      <w:szCs w:val="24"/>
                      <w:highlight w:val="none"/>
                      <w:lang w:eastAsia="zh-CN"/>
                    </w:rPr>
                    <w:t>排放浓度</w:t>
                  </w:r>
                </w:p>
                <w:p w14:paraId="3AB03ADE">
                  <w:pPr>
                    <w:pStyle w:val="98"/>
                    <w:widowControl w:val="0"/>
                    <w:kinsoku/>
                    <w:autoSpaceDE/>
                    <w:autoSpaceDN/>
                    <w:adjustRightInd/>
                    <w:snapToGrid/>
                    <w:jc w:val="center"/>
                    <w:textAlignment w:val="auto"/>
                    <w:rPr>
                      <w:rFonts w:hint="eastAsia" w:ascii="Times New Roman" w:hAnsi="Times New Roman" w:cs="Times New Roman"/>
                      <w:b/>
                      <w:bCs/>
                      <w:snapToGrid/>
                      <w:color w:val="auto"/>
                      <w:kern w:val="2"/>
                      <w:szCs w:val="24"/>
                      <w:highlight w:val="none"/>
                      <w:lang w:eastAsia="zh-CN"/>
                    </w:rPr>
                  </w:pPr>
                  <w:r>
                    <w:rPr>
                      <w:rFonts w:hint="eastAsia" w:ascii="Times New Roman" w:hAnsi="Times New Roman" w:cs="Times New Roman"/>
                      <w:b/>
                      <w:bCs/>
                      <w:snapToGrid/>
                      <w:color w:val="auto"/>
                      <w:kern w:val="2"/>
                      <w:szCs w:val="24"/>
                      <w:highlight w:val="none"/>
                      <w:lang w:eastAsia="zh-CN"/>
                    </w:rPr>
                    <w:t>mg/ m</w:t>
                  </w:r>
                  <w:r>
                    <w:rPr>
                      <w:rFonts w:hint="eastAsia" w:ascii="Times New Roman" w:hAnsi="Times New Roman" w:cs="Times New Roman"/>
                      <w:b/>
                      <w:bCs/>
                      <w:snapToGrid/>
                      <w:color w:val="auto"/>
                      <w:kern w:val="2"/>
                      <w:szCs w:val="24"/>
                      <w:highlight w:val="none"/>
                      <w:vertAlign w:val="superscript"/>
                      <w:lang w:eastAsia="zh-CN"/>
                    </w:rPr>
                    <w:t>3</w:t>
                  </w:r>
                </w:p>
              </w:tc>
            </w:tr>
            <w:tr w14:paraId="25A031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488" w:type="pct"/>
                  <w:vMerge w:val="restart"/>
                  <w:tcBorders>
                    <w:tl2br w:val="nil"/>
                    <w:tr2bl w:val="nil"/>
                  </w:tcBorders>
                  <w:noWrap w:val="0"/>
                  <w:vAlign w:val="center"/>
                </w:tcPr>
                <w:p w14:paraId="34840F0E">
                  <w:pPr>
                    <w:pStyle w:val="98"/>
                    <w:widowControl w:val="0"/>
                    <w:kinsoku/>
                    <w:autoSpaceDE/>
                    <w:autoSpaceDN/>
                    <w:adjustRightInd/>
                    <w:snapToGrid/>
                    <w:jc w:val="center"/>
                    <w:textAlignment w:val="auto"/>
                    <w:rPr>
                      <w:rFonts w:hint="eastAsia" w:ascii="Times New Roman" w:hAnsi="Times New Roman" w:eastAsia="宋体" w:cs="Times New Roman"/>
                      <w:snapToGrid/>
                      <w:color w:val="auto"/>
                      <w:kern w:val="2"/>
                      <w:szCs w:val="24"/>
                      <w:highlight w:val="none"/>
                      <w:lang w:eastAsia="zh-CN"/>
                    </w:rPr>
                  </w:pPr>
                  <w:r>
                    <w:rPr>
                      <w:rFonts w:hint="eastAsia" w:ascii="Times New Roman" w:hAnsi="Times New Roman" w:eastAsia="宋体" w:cs="Times New Roman"/>
                      <w:snapToGrid/>
                      <w:color w:val="auto"/>
                      <w:kern w:val="2"/>
                      <w:szCs w:val="24"/>
                      <w:highlight w:val="none"/>
                      <w:lang w:val="en-US" w:eastAsia="zh-CN"/>
                    </w:rPr>
                    <w:t>油烟</w:t>
                  </w:r>
                </w:p>
              </w:tc>
              <w:tc>
                <w:tcPr>
                  <w:tcW w:w="404" w:type="pct"/>
                  <w:tcBorders>
                    <w:tl2br w:val="nil"/>
                    <w:tr2bl w:val="nil"/>
                  </w:tcBorders>
                  <w:noWrap w:val="0"/>
                  <w:vAlign w:val="center"/>
                </w:tcPr>
                <w:p w14:paraId="6B77C58B">
                  <w:pPr>
                    <w:pStyle w:val="98"/>
                    <w:widowControl w:val="0"/>
                    <w:kinsoku/>
                    <w:autoSpaceDE/>
                    <w:autoSpaceDN/>
                    <w:adjustRightInd/>
                    <w:snapToGrid/>
                    <w:jc w:val="center"/>
                    <w:textAlignment w:val="auto"/>
                    <w:rPr>
                      <w:rFonts w:hint="eastAsia" w:ascii="Times New Roman" w:hAnsi="Times New Roman" w:cs="Times New Roman"/>
                      <w:snapToGrid/>
                      <w:color w:val="auto"/>
                      <w:kern w:val="2"/>
                      <w:szCs w:val="24"/>
                      <w:highlight w:val="none"/>
                      <w:lang w:eastAsia="zh-CN"/>
                    </w:rPr>
                  </w:pPr>
                  <w:r>
                    <w:rPr>
                      <w:rFonts w:hint="eastAsia" w:ascii="Times New Roman" w:hAnsi="Times New Roman" w:cs="Times New Roman"/>
                      <w:snapToGrid/>
                      <w:color w:val="auto"/>
                      <w:kern w:val="2"/>
                      <w:szCs w:val="24"/>
                      <w:highlight w:val="none"/>
                      <w:lang w:eastAsia="zh-CN"/>
                    </w:rPr>
                    <w:t>有组织</w:t>
                  </w:r>
                </w:p>
              </w:tc>
              <w:tc>
                <w:tcPr>
                  <w:tcW w:w="394" w:type="pct"/>
                  <w:vMerge w:val="restart"/>
                  <w:tcBorders>
                    <w:tl2br w:val="nil"/>
                    <w:tr2bl w:val="nil"/>
                  </w:tcBorders>
                  <w:noWrap w:val="0"/>
                  <w:vAlign w:val="center"/>
                </w:tcPr>
                <w:p w14:paraId="38DD0786">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480</w:t>
                  </w:r>
                </w:p>
              </w:tc>
              <w:tc>
                <w:tcPr>
                  <w:tcW w:w="521" w:type="pct"/>
                  <w:tcBorders>
                    <w:tl2br w:val="nil"/>
                    <w:tr2bl w:val="nil"/>
                  </w:tcBorders>
                  <w:noWrap w:val="0"/>
                  <w:vAlign w:val="center"/>
                </w:tcPr>
                <w:p w14:paraId="02C14897">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1000</w:t>
                  </w:r>
                </w:p>
              </w:tc>
              <w:tc>
                <w:tcPr>
                  <w:tcW w:w="427" w:type="pct"/>
                  <w:tcBorders>
                    <w:tl2br w:val="nil"/>
                    <w:tr2bl w:val="nil"/>
                  </w:tcBorders>
                  <w:noWrap w:val="0"/>
                  <w:vAlign w:val="center"/>
                </w:tcPr>
                <w:p w14:paraId="225AEC03">
                  <w:pPr>
                    <w:pStyle w:val="98"/>
                    <w:widowControl w:val="0"/>
                    <w:kinsoku/>
                    <w:autoSpaceDE/>
                    <w:autoSpaceDN/>
                    <w:adjustRightInd/>
                    <w:snapToGrid/>
                    <w:ind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1.2</w:t>
                  </w:r>
                  <w:r>
                    <w:rPr>
                      <w:rFonts w:hint="default" w:ascii="Arial" w:hAnsi="Arial" w:cs="Arial"/>
                      <w:color w:val="auto"/>
                      <w:highlight w:val="none"/>
                      <w:lang w:val="en-US" w:eastAsia="zh-CN"/>
                    </w:rPr>
                    <w:t>×</w:t>
                  </w:r>
                  <w:r>
                    <w:rPr>
                      <w:rFonts w:hint="eastAsia" w:cs="Times New Roman"/>
                      <w:color w:val="auto"/>
                      <w:highlight w:val="none"/>
                      <w:lang w:val="en-US" w:eastAsia="zh-CN"/>
                    </w:rPr>
                    <w:t>10</w:t>
                  </w:r>
                  <w:r>
                    <w:rPr>
                      <w:rFonts w:hint="eastAsia" w:cs="Times New Roman"/>
                      <w:color w:val="auto"/>
                      <w:highlight w:val="none"/>
                      <w:vertAlign w:val="superscript"/>
                      <w:lang w:val="en-US" w:eastAsia="zh-CN"/>
                    </w:rPr>
                    <w:t>-3</w:t>
                  </w:r>
                </w:p>
              </w:tc>
              <w:tc>
                <w:tcPr>
                  <w:tcW w:w="515" w:type="pct"/>
                  <w:tcBorders>
                    <w:tl2br w:val="nil"/>
                    <w:tr2bl w:val="nil"/>
                  </w:tcBorders>
                  <w:noWrap w:val="0"/>
                  <w:vAlign w:val="center"/>
                </w:tcPr>
                <w:p w14:paraId="61453627">
                  <w:pPr>
                    <w:pStyle w:val="98"/>
                    <w:widowControl w:val="0"/>
                    <w:kinsoku/>
                    <w:autoSpaceDE/>
                    <w:autoSpaceDN/>
                    <w:adjustRightInd/>
                    <w:snapToGrid/>
                    <w:ind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2.5</w:t>
                  </w:r>
                  <w:r>
                    <w:rPr>
                      <w:rFonts w:hint="default" w:ascii="Arial" w:hAnsi="Arial" w:cs="Arial"/>
                      <w:color w:val="auto"/>
                      <w:highlight w:val="none"/>
                      <w:lang w:val="en-US" w:eastAsia="zh-CN"/>
                    </w:rPr>
                    <w:t>×</w:t>
                  </w:r>
                  <w:r>
                    <w:rPr>
                      <w:rFonts w:hint="eastAsia" w:cs="Times New Roman"/>
                      <w:color w:val="auto"/>
                      <w:highlight w:val="none"/>
                      <w:lang w:val="en-US" w:eastAsia="zh-CN"/>
                    </w:rPr>
                    <w:t>10</w:t>
                  </w:r>
                  <w:r>
                    <w:rPr>
                      <w:rFonts w:hint="eastAsia" w:cs="Times New Roman"/>
                      <w:color w:val="auto"/>
                      <w:highlight w:val="none"/>
                      <w:vertAlign w:val="superscript"/>
                      <w:lang w:val="en-US" w:eastAsia="zh-CN"/>
                    </w:rPr>
                    <w:t>-3</w:t>
                  </w:r>
                </w:p>
              </w:tc>
              <w:tc>
                <w:tcPr>
                  <w:tcW w:w="388" w:type="pct"/>
                  <w:tcBorders>
                    <w:tl2br w:val="nil"/>
                    <w:tr2bl w:val="nil"/>
                  </w:tcBorders>
                  <w:noWrap w:val="0"/>
                  <w:vAlign w:val="center"/>
                </w:tcPr>
                <w:p w14:paraId="3DD4D1EE">
                  <w:pPr>
                    <w:pStyle w:val="98"/>
                    <w:widowControl w:val="0"/>
                    <w:kinsoku/>
                    <w:autoSpaceDE/>
                    <w:autoSpaceDN/>
                    <w:adjustRightInd/>
                    <w:snapToGrid/>
                    <w:ind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w:t>
                  </w:r>
                  <w:r>
                    <w:rPr>
                      <w:rFonts w:hint="eastAsia" w:ascii="Times New Roman" w:hAnsi="Times New Roman" w:eastAsia="宋体" w:cs="Times New Roman"/>
                      <w:color w:val="auto"/>
                      <w:highlight w:val="none"/>
                      <w:lang w:val="en-US" w:eastAsia="zh-CN"/>
                    </w:rPr>
                    <w:t>.5</w:t>
                  </w:r>
                </w:p>
              </w:tc>
              <w:tc>
                <w:tcPr>
                  <w:tcW w:w="502" w:type="pct"/>
                  <w:tcBorders>
                    <w:tl2br w:val="nil"/>
                    <w:tr2bl w:val="nil"/>
                  </w:tcBorders>
                  <w:noWrap w:val="0"/>
                  <w:vAlign w:val="center"/>
                </w:tcPr>
                <w:p w14:paraId="344A2E17">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eastAsia="宋体"/>
                      <w:color w:val="auto"/>
                      <w:sz w:val="21"/>
                      <w:szCs w:val="21"/>
                      <w:highlight w:val="none"/>
                    </w:rPr>
                    <w:t>油烟净化器</w:t>
                  </w:r>
                  <w:r>
                    <w:rPr>
                      <w:rFonts w:hint="eastAsia"/>
                      <w:color w:val="auto"/>
                      <w:highlight w:val="none"/>
                      <w:lang w:val="en-US" w:eastAsia="zh-CN"/>
                    </w:rPr>
                    <w:t>（85</w:t>
                  </w:r>
                  <w:r>
                    <w:rPr>
                      <w:rFonts w:hint="eastAsia" w:ascii="Times New Roman" w:hAnsi="Times New Roman" w:cs="Times New Roman"/>
                      <w:snapToGrid/>
                      <w:color w:val="auto"/>
                      <w:kern w:val="2"/>
                      <w:szCs w:val="24"/>
                      <w:highlight w:val="none"/>
                      <w:lang w:eastAsia="zh-CN"/>
                    </w:rPr>
                    <w:t>%</w:t>
                  </w:r>
                  <w:r>
                    <w:rPr>
                      <w:rFonts w:hint="eastAsia"/>
                      <w:color w:val="auto"/>
                      <w:highlight w:val="none"/>
                      <w:lang w:val="en-US" w:eastAsia="zh-CN"/>
                    </w:rPr>
                    <w:t>）</w:t>
                  </w:r>
                </w:p>
              </w:tc>
              <w:tc>
                <w:tcPr>
                  <w:tcW w:w="447" w:type="pct"/>
                  <w:tcBorders>
                    <w:tl2br w:val="nil"/>
                    <w:tr2bl w:val="nil"/>
                  </w:tcBorders>
                  <w:noWrap w:val="0"/>
                  <w:vAlign w:val="center"/>
                </w:tcPr>
                <w:p w14:paraId="7674C38C">
                  <w:pPr>
                    <w:pStyle w:val="98"/>
                    <w:widowControl w:val="0"/>
                    <w:kinsoku/>
                    <w:autoSpaceDE/>
                    <w:autoSpaceDN/>
                    <w:adjustRightInd/>
                    <w:snapToGrid/>
                    <w:ind w:firstLine="0" w:firstLineChars="0"/>
                    <w:jc w:val="center"/>
                    <w:textAlignment w:val="auto"/>
                    <w:rPr>
                      <w:rFonts w:hint="default" w:ascii="Times New Roman" w:hAnsi="Times New Roman" w:cs="Times New Roman"/>
                      <w:snapToGrid/>
                      <w:color w:val="auto"/>
                      <w:kern w:val="2"/>
                      <w:szCs w:val="24"/>
                      <w:highlight w:val="none"/>
                      <w:lang w:val="en-US" w:eastAsia="zh-CN"/>
                    </w:rPr>
                  </w:pPr>
                  <w:r>
                    <w:rPr>
                      <w:rFonts w:hint="eastAsia" w:cs="Times New Roman"/>
                      <w:color w:val="auto"/>
                      <w:highlight w:val="none"/>
                      <w:lang w:val="en-US" w:eastAsia="zh-CN"/>
                    </w:rPr>
                    <w:t>1.</w:t>
                  </w:r>
                  <w:r>
                    <w:rPr>
                      <w:rFonts w:hint="default" w:ascii="Times New Roman" w:hAnsi="Times New Roman" w:eastAsia="宋体" w:cs="Times New Roman"/>
                      <w:color w:val="auto"/>
                      <w:highlight w:val="none"/>
                      <w:lang w:val="en-US" w:eastAsia="zh-CN"/>
                    </w:rPr>
                    <w:t>8×</w:t>
                  </w:r>
                  <w:r>
                    <w:rPr>
                      <w:rFonts w:hint="eastAsia" w:cs="Times New Roman"/>
                      <w:color w:val="auto"/>
                      <w:highlight w:val="none"/>
                      <w:lang w:val="en-US" w:eastAsia="zh-CN"/>
                    </w:rPr>
                    <w:t>10</w:t>
                  </w:r>
                  <w:r>
                    <w:rPr>
                      <w:rFonts w:hint="eastAsia" w:cs="Times New Roman"/>
                      <w:color w:val="auto"/>
                      <w:highlight w:val="none"/>
                      <w:vertAlign w:val="superscript"/>
                      <w:lang w:val="en-US" w:eastAsia="zh-CN"/>
                    </w:rPr>
                    <w:t>-4</w:t>
                  </w:r>
                </w:p>
              </w:tc>
              <w:tc>
                <w:tcPr>
                  <w:tcW w:w="490" w:type="pct"/>
                  <w:tcBorders>
                    <w:tl2br w:val="nil"/>
                    <w:tr2bl w:val="nil"/>
                  </w:tcBorders>
                  <w:noWrap w:val="0"/>
                  <w:vAlign w:val="center"/>
                </w:tcPr>
                <w:p w14:paraId="351E0502">
                  <w:pPr>
                    <w:pStyle w:val="98"/>
                    <w:widowControl w:val="0"/>
                    <w:kinsoku/>
                    <w:autoSpaceDE/>
                    <w:autoSpaceDN/>
                    <w:adjustRightInd/>
                    <w:snapToGrid/>
                    <w:ind w:firstLine="0" w:firstLineChars="0"/>
                    <w:jc w:val="center"/>
                    <w:textAlignment w:val="auto"/>
                    <w:rPr>
                      <w:rFonts w:hint="default" w:ascii="Times New Roman" w:hAnsi="Times New Roman" w:cs="Times New Roman"/>
                      <w:snapToGrid/>
                      <w:color w:val="auto"/>
                      <w:kern w:val="2"/>
                      <w:szCs w:val="24"/>
                      <w:highlight w:val="none"/>
                      <w:lang w:val="en-US" w:eastAsia="zh-CN"/>
                    </w:rPr>
                  </w:pPr>
                  <w:r>
                    <w:rPr>
                      <w:rFonts w:hint="eastAsia" w:cs="Times New Roman"/>
                      <w:color w:val="auto"/>
                      <w:highlight w:val="none"/>
                      <w:lang w:val="en-US" w:eastAsia="zh-CN"/>
                    </w:rPr>
                    <w:t>3.75</w:t>
                  </w: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10</w:t>
                  </w:r>
                  <w:r>
                    <w:rPr>
                      <w:rFonts w:hint="eastAsia" w:cs="Times New Roman"/>
                      <w:color w:val="auto"/>
                      <w:highlight w:val="none"/>
                      <w:vertAlign w:val="superscript"/>
                      <w:lang w:val="en-US" w:eastAsia="zh-CN"/>
                    </w:rPr>
                    <w:t>-4</w:t>
                  </w:r>
                </w:p>
              </w:tc>
              <w:tc>
                <w:tcPr>
                  <w:tcW w:w="421" w:type="pct"/>
                  <w:tcBorders>
                    <w:tl2br w:val="nil"/>
                    <w:tr2bl w:val="nil"/>
                  </w:tcBorders>
                  <w:noWrap w:val="0"/>
                  <w:vAlign w:val="center"/>
                </w:tcPr>
                <w:p w14:paraId="7E6AF5C4">
                  <w:pPr>
                    <w:pStyle w:val="98"/>
                    <w:widowControl w:val="0"/>
                    <w:kinsoku/>
                    <w:autoSpaceDE/>
                    <w:autoSpaceDN/>
                    <w:adjustRightInd/>
                    <w:snapToGrid/>
                    <w:ind w:firstLine="0" w:firstLineChars="0"/>
                    <w:jc w:val="center"/>
                    <w:textAlignment w:val="auto"/>
                    <w:rPr>
                      <w:rFonts w:hint="default" w:ascii="Times New Roman" w:hAnsi="Times New Roman" w:cs="Times New Roman"/>
                      <w:snapToGrid/>
                      <w:color w:val="auto"/>
                      <w:kern w:val="2"/>
                      <w:szCs w:val="24"/>
                      <w:highlight w:val="none"/>
                      <w:lang w:val="en-US" w:eastAsia="zh-CN"/>
                    </w:rPr>
                  </w:pPr>
                  <w:r>
                    <w:rPr>
                      <w:rFonts w:hint="eastAsia" w:cs="Times New Roman"/>
                      <w:snapToGrid/>
                      <w:color w:val="auto"/>
                      <w:kern w:val="2"/>
                      <w:szCs w:val="24"/>
                      <w:highlight w:val="none"/>
                      <w:lang w:val="en-US" w:eastAsia="zh-CN"/>
                    </w:rPr>
                    <w:t>0.375</w:t>
                  </w:r>
                </w:p>
              </w:tc>
            </w:tr>
            <w:tr w14:paraId="2DDA74E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2" w:hRule="atLeast"/>
                <w:jc w:val="center"/>
              </w:trPr>
              <w:tc>
                <w:tcPr>
                  <w:tcW w:w="488" w:type="pct"/>
                  <w:vMerge w:val="continue"/>
                  <w:tcBorders>
                    <w:tl2br w:val="nil"/>
                    <w:tr2bl w:val="nil"/>
                  </w:tcBorders>
                  <w:noWrap w:val="0"/>
                  <w:vAlign w:val="center"/>
                </w:tcPr>
                <w:p w14:paraId="4A0CE31D">
                  <w:pPr>
                    <w:pStyle w:val="98"/>
                    <w:widowControl w:val="0"/>
                    <w:kinsoku/>
                    <w:autoSpaceDE/>
                    <w:autoSpaceDN/>
                    <w:adjustRightInd/>
                    <w:snapToGrid/>
                    <w:ind w:firstLine="0" w:firstLineChars="0"/>
                    <w:jc w:val="center"/>
                    <w:textAlignment w:val="auto"/>
                    <w:rPr>
                      <w:rFonts w:hint="eastAsia" w:ascii="Times New Roman" w:hAnsi="Times New Roman" w:eastAsia="宋体" w:cs="Times New Roman"/>
                      <w:snapToGrid/>
                      <w:color w:val="auto"/>
                      <w:kern w:val="2"/>
                      <w:szCs w:val="24"/>
                      <w:highlight w:val="none"/>
                      <w:lang w:eastAsia="zh-CN"/>
                    </w:rPr>
                  </w:pPr>
                </w:p>
              </w:tc>
              <w:tc>
                <w:tcPr>
                  <w:tcW w:w="404" w:type="pct"/>
                  <w:tcBorders>
                    <w:tl2br w:val="nil"/>
                    <w:tr2bl w:val="nil"/>
                  </w:tcBorders>
                  <w:noWrap w:val="0"/>
                  <w:vAlign w:val="center"/>
                </w:tcPr>
                <w:p w14:paraId="4FB32CEF">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无组织</w:t>
                  </w:r>
                </w:p>
              </w:tc>
              <w:tc>
                <w:tcPr>
                  <w:tcW w:w="394" w:type="pct"/>
                  <w:vMerge w:val="continue"/>
                  <w:tcBorders>
                    <w:tl2br w:val="nil"/>
                    <w:tr2bl w:val="nil"/>
                  </w:tcBorders>
                  <w:noWrap w:val="0"/>
                  <w:vAlign w:val="center"/>
                </w:tcPr>
                <w:p w14:paraId="0D933ED5">
                  <w:pPr>
                    <w:pStyle w:val="98"/>
                    <w:widowControl w:val="0"/>
                    <w:kinsoku/>
                    <w:autoSpaceDE/>
                    <w:autoSpaceDN/>
                    <w:adjustRightInd/>
                    <w:snapToGrid/>
                    <w:jc w:val="center"/>
                    <w:textAlignment w:val="auto"/>
                    <w:rPr>
                      <w:rFonts w:hint="eastAsia" w:ascii="Times New Roman" w:hAnsi="Times New Roman" w:cs="Times New Roman"/>
                      <w:snapToGrid/>
                      <w:color w:val="auto"/>
                      <w:kern w:val="2"/>
                      <w:szCs w:val="24"/>
                      <w:highlight w:val="none"/>
                      <w:lang w:eastAsia="zh-CN"/>
                    </w:rPr>
                  </w:pPr>
                </w:p>
              </w:tc>
              <w:tc>
                <w:tcPr>
                  <w:tcW w:w="521" w:type="pct"/>
                  <w:tcBorders>
                    <w:tl2br w:val="nil"/>
                    <w:tr2bl w:val="nil"/>
                  </w:tcBorders>
                  <w:noWrap w:val="0"/>
                  <w:vAlign w:val="center"/>
                </w:tcPr>
                <w:p w14:paraId="5AF5F372">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w:t>
                  </w:r>
                </w:p>
              </w:tc>
              <w:tc>
                <w:tcPr>
                  <w:tcW w:w="427" w:type="pct"/>
                  <w:tcBorders>
                    <w:tl2br w:val="nil"/>
                    <w:tr2bl w:val="nil"/>
                  </w:tcBorders>
                  <w:noWrap w:val="0"/>
                  <w:vAlign w:val="center"/>
                </w:tcPr>
                <w:p w14:paraId="39B4373B">
                  <w:pPr>
                    <w:pStyle w:val="98"/>
                    <w:widowControl w:val="0"/>
                    <w:kinsoku/>
                    <w:autoSpaceDE/>
                    <w:autoSpaceDN/>
                    <w:adjustRightInd/>
                    <w:snapToGrid/>
                    <w:ind w:firstLine="0" w:firstLineChars="0"/>
                    <w:jc w:val="center"/>
                    <w:textAlignment w:val="auto"/>
                    <w:rPr>
                      <w:rFonts w:hint="default" w:ascii="Times New Roman" w:hAnsi="Times New Roman" w:cs="Times New Roman"/>
                      <w:snapToGrid/>
                      <w:color w:val="auto"/>
                      <w:kern w:val="2"/>
                      <w:szCs w:val="24"/>
                      <w:highlight w:val="none"/>
                      <w:lang w:val="en-US" w:eastAsia="zh-CN"/>
                    </w:rPr>
                  </w:pPr>
                  <w:r>
                    <w:rPr>
                      <w:rFonts w:hint="default" w:ascii="Times New Roman" w:hAnsi="Times New Roman" w:eastAsia="宋体" w:cs="Times New Roman"/>
                      <w:color w:val="auto"/>
                      <w:highlight w:val="none"/>
                      <w:lang w:val="en-US" w:eastAsia="zh-CN"/>
                    </w:rPr>
                    <w:t>8×</w:t>
                  </w:r>
                  <w:r>
                    <w:rPr>
                      <w:rFonts w:hint="eastAsia" w:cs="Times New Roman"/>
                      <w:color w:val="auto"/>
                      <w:highlight w:val="none"/>
                      <w:lang w:val="en-US" w:eastAsia="zh-CN"/>
                    </w:rPr>
                    <w:t>10</w:t>
                  </w:r>
                  <w:r>
                    <w:rPr>
                      <w:rFonts w:hint="eastAsia" w:cs="Times New Roman"/>
                      <w:color w:val="auto"/>
                      <w:highlight w:val="none"/>
                      <w:vertAlign w:val="superscript"/>
                      <w:lang w:val="en-US" w:eastAsia="zh-CN"/>
                    </w:rPr>
                    <w:t>-4</w:t>
                  </w:r>
                </w:p>
              </w:tc>
              <w:tc>
                <w:tcPr>
                  <w:tcW w:w="515" w:type="pct"/>
                  <w:tcBorders>
                    <w:tl2br w:val="nil"/>
                    <w:tr2bl w:val="nil"/>
                  </w:tcBorders>
                  <w:noWrap w:val="0"/>
                  <w:vAlign w:val="center"/>
                </w:tcPr>
                <w:p w14:paraId="5EF0FAC1">
                  <w:pPr>
                    <w:pStyle w:val="98"/>
                    <w:widowControl w:val="0"/>
                    <w:kinsoku/>
                    <w:autoSpaceDE/>
                    <w:autoSpaceDN/>
                    <w:adjustRightInd/>
                    <w:snapToGrid/>
                    <w:ind w:firstLine="0" w:firstLineChars="0"/>
                    <w:jc w:val="center"/>
                    <w:textAlignment w:val="auto"/>
                    <w:rPr>
                      <w:rFonts w:hint="default" w:ascii="Times New Roman" w:hAnsi="Times New Roman" w:cs="Times New Roman"/>
                      <w:snapToGrid/>
                      <w:color w:val="auto"/>
                      <w:kern w:val="2"/>
                      <w:szCs w:val="24"/>
                      <w:highlight w:val="none"/>
                      <w:lang w:val="en-US" w:eastAsia="zh-CN"/>
                    </w:rPr>
                  </w:pPr>
                  <w:r>
                    <w:rPr>
                      <w:rFonts w:hint="eastAsia" w:cs="Times New Roman"/>
                      <w:color w:val="auto"/>
                      <w:highlight w:val="none"/>
                      <w:lang w:val="en-US" w:eastAsia="zh-CN"/>
                    </w:rPr>
                    <w:t>1.67</w:t>
                  </w:r>
                  <w:r>
                    <w:rPr>
                      <w:rFonts w:hint="default" w:ascii="Arial" w:hAnsi="Arial" w:cs="Arial"/>
                      <w:color w:val="auto"/>
                      <w:highlight w:val="none"/>
                      <w:lang w:val="en-US" w:eastAsia="zh-CN"/>
                    </w:rPr>
                    <w:t>×</w:t>
                  </w:r>
                  <w:r>
                    <w:rPr>
                      <w:rFonts w:hint="eastAsia" w:cs="Times New Roman"/>
                      <w:color w:val="auto"/>
                      <w:highlight w:val="none"/>
                      <w:lang w:val="en-US" w:eastAsia="zh-CN"/>
                    </w:rPr>
                    <w:t>10</w:t>
                  </w:r>
                  <w:r>
                    <w:rPr>
                      <w:rFonts w:hint="eastAsia" w:cs="Times New Roman"/>
                      <w:color w:val="auto"/>
                      <w:highlight w:val="none"/>
                      <w:vertAlign w:val="superscript"/>
                      <w:lang w:val="en-US" w:eastAsia="zh-CN"/>
                    </w:rPr>
                    <w:t>-3</w:t>
                  </w:r>
                </w:p>
              </w:tc>
              <w:tc>
                <w:tcPr>
                  <w:tcW w:w="388" w:type="pct"/>
                  <w:tcBorders>
                    <w:tl2br w:val="nil"/>
                    <w:tr2bl w:val="nil"/>
                  </w:tcBorders>
                  <w:noWrap w:val="0"/>
                  <w:vAlign w:val="center"/>
                </w:tcPr>
                <w:p w14:paraId="56A13E0D">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w:t>
                  </w:r>
                </w:p>
              </w:tc>
              <w:tc>
                <w:tcPr>
                  <w:tcW w:w="502" w:type="pct"/>
                  <w:tcBorders>
                    <w:tl2br w:val="nil"/>
                    <w:tr2bl w:val="nil"/>
                  </w:tcBorders>
                  <w:noWrap w:val="0"/>
                  <w:vAlign w:val="center"/>
                </w:tcPr>
                <w:p w14:paraId="59B93400">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w:t>
                  </w:r>
                </w:p>
              </w:tc>
              <w:tc>
                <w:tcPr>
                  <w:tcW w:w="758" w:type="dxa"/>
                  <w:tcBorders>
                    <w:tl2br w:val="nil"/>
                    <w:tr2bl w:val="nil"/>
                  </w:tcBorders>
                  <w:noWrap w:val="0"/>
                  <w:vAlign w:val="center"/>
                </w:tcPr>
                <w:p w14:paraId="27CD7F92">
                  <w:pPr>
                    <w:pStyle w:val="98"/>
                    <w:widowControl w:val="0"/>
                    <w:kinsoku/>
                    <w:autoSpaceDE/>
                    <w:autoSpaceDN/>
                    <w:adjustRightInd/>
                    <w:snapToGrid/>
                    <w:ind w:firstLine="0" w:firstLineChars="0"/>
                    <w:jc w:val="center"/>
                    <w:textAlignment w:val="auto"/>
                    <w:rPr>
                      <w:rFonts w:hint="eastAsia" w:ascii="Times New Roman" w:hAnsi="Times New Roman" w:cs="Times New Roman"/>
                      <w:snapToGrid/>
                      <w:color w:val="auto"/>
                      <w:kern w:val="2"/>
                      <w:szCs w:val="24"/>
                      <w:highlight w:val="none"/>
                      <w:lang w:val="en-US" w:eastAsia="zh-CN"/>
                    </w:rPr>
                  </w:pPr>
                  <w:r>
                    <w:rPr>
                      <w:rFonts w:hint="default" w:ascii="Times New Roman" w:hAnsi="Times New Roman" w:eastAsia="宋体" w:cs="Times New Roman"/>
                      <w:color w:val="auto"/>
                      <w:highlight w:val="none"/>
                      <w:lang w:val="en-US" w:eastAsia="zh-CN"/>
                    </w:rPr>
                    <w:t>8×</w:t>
                  </w:r>
                  <w:r>
                    <w:rPr>
                      <w:rFonts w:hint="eastAsia" w:cs="Times New Roman"/>
                      <w:color w:val="auto"/>
                      <w:highlight w:val="none"/>
                      <w:lang w:val="en-US" w:eastAsia="zh-CN"/>
                    </w:rPr>
                    <w:t>10</w:t>
                  </w:r>
                  <w:r>
                    <w:rPr>
                      <w:rFonts w:hint="eastAsia" w:cs="Times New Roman"/>
                      <w:color w:val="auto"/>
                      <w:highlight w:val="none"/>
                      <w:vertAlign w:val="superscript"/>
                      <w:lang w:val="en-US" w:eastAsia="zh-CN"/>
                    </w:rPr>
                    <w:t>-4</w:t>
                  </w:r>
                </w:p>
              </w:tc>
              <w:tc>
                <w:tcPr>
                  <w:tcW w:w="830" w:type="dxa"/>
                  <w:tcBorders>
                    <w:tl2br w:val="nil"/>
                    <w:tr2bl w:val="nil"/>
                  </w:tcBorders>
                  <w:noWrap w:val="0"/>
                  <w:vAlign w:val="center"/>
                </w:tcPr>
                <w:p w14:paraId="2FB757C3">
                  <w:pPr>
                    <w:pStyle w:val="98"/>
                    <w:widowControl w:val="0"/>
                    <w:kinsoku/>
                    <w:autoSpaceDE/>
                    <w:autoSpaceDN/>
                    <w:adjustRightInd/>
                    <w:snapToGrid/>
                    <w:ind w:firstLine="0" w:firstLineChars="0"/>
                    <w:jc w:val="center"/>
                    <w:textAlignment w:val="auto"/>
                    <w:rPr>
                      <w:rFonts w:hint="eastAsia" w:ascii="Times New Roman" w:hAnsi="Times New Roman" w:cs="Times New Roman"/>
                      <w:snapToGrid/>
                      <w:color w:val="auto"/>
                      <w:kern w:val="2"/>
                      <w:szCs w:val="24"/>
                      <w:highlight w:val="none"/>
                      <w:lang w:val="en-US" w:eastAsia="zh-CN"/>
                    </w:rPr>
                  </w:pPr>
                  <w:r>
                    <w:rPr>
                      <w:rFonts w:hint="eastAsia" w:cs="Times New Roman"/>
                      <w:color w:val="auto"/>
                      <w:highlight w:val="none"/>
                      <w:lang w:val="en-US" w:eastAsia="zh-CN"/>
                    </w:rPr>
                    <w:t>1.67</w:t>
                  </w:r>
                  <w:r>
                    <w:rPr>
                      <w:rFonts w:hint="default" w:ascii="Arial" w:hAnsi="Arial" w:cs="Arial"/>
                      <w:color w:val="auto"/>
                      <w:highlight w:val="none"/>
                      <w:lang w:val="en-US" w:eastAsia="zh-CN"/>
                    </w:rPr>
                    <w:t>×</w:t>
                  </w:r>
                  <w:r>
                    <w:rPr>
                      <w:rFonts w:hint="eastAsia" w:cs="Times New Roman"/>
                      <w:color w:val="auto"/>
                      <w:highlight w:val="none"/>
                      <w:lang w:val="en-US" w:eastAsia="zh-CN"/>
                    </w:rPr>
                    <w:t>10</w:t>
                  </w:r>
                  <w:r>
                    <w:rPr>
                      <w:rFonts w:hint="eastAsia" w:cs="Times New Roman"/>
                      <w:color w:val="auto"/>
                      <w:highlight w:val="none"/>
                      <w:vertAlign w:val="superscript"/>
                      <w:lang w:val="en-US" w:eastAsia="zh-CN"/>
                    </w:rPr>
                    <w:t>-3</w:t>
                  </w:r>
                </w:p>
              </w:tc>
              <w:tc>
                <w:tcPr>
                  <w:tcW w:w="421" w:type="pct"/>
                  <w:tcBorders>
                    <w:tl2br w:val="nil"/>
                    <w:tr2bl w:val="nil"/>
                  </w:tcBorders>
                  <w:noWrap w:val="0"/>
                  <w:vAlign w:val="center"/>
                </w:tcPr>
                <w:p w14:paraId="182E0EB4">
                  <w:pPr>
                    <w:pStyle w:val="98"/>
                    <w:widowControl w:val="0"/>
                    <w:kinsoku/>
                    <w:autoSpaceDE/>
                    <w:autoSpaceDN/>
                    <w:adjustRightInd/>
                    <w:snapToGrid/>
                    <w:ind w:firstLine="0" w:firstLineChars="0"/>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w:t>
                  </w:r>
                </w:p>
              </w:tc>
            </w:tr>
          </w:tbl>
          <w:p w14:paraId="53C3CCDE">
            <w:pPr>
              <w:ind w:firstLine="480"/>
              <w:rPr>
                <w:color w:val="auto"/>
                <w:highlight w:val="none"/>
              </w:rPr>
            </w:pPr>
            <w:r>
              <w:rPr>
                <w:rFonts w:hint="eastAsia"/>
                <w:color w:val="auto"/>
                <w:highlight w:val="none"/>
              </w:rPr>
              <w:t>本项目的有组织和无组织产排情况一览表分别件详见表4.2-</w:t>
            </w:r>
            <w:r>
              <w:rPr>
                <w:rFonts w:hint="eastAsia"/>
                <w:color w:val="auto"/>
                <w:highlight w:val="none"/>
                <w:lang w:val="en-US" w:eastAsia="zh-CN"/>
              </w:rPr>
              <w:t>14</w:t>
            </w:r>
            <w:r>
              <w:rPr>
                <w:rFonts w:hint="eastAsia"/>
                <w:color w:val="auto"/>
                <w:highlight w:val="none"/>
              </w:rPr>
              <w:t>和表4.2-</w:t>
            </w:r>
            <w:r>
              <w:rPr>
                <w:rFonts w:hint="eastAsia"/>
                <w:color w:val="auto"/>
                <w:highlight w:val="none"/>
                <w:lang w:val="en-US" w:eastAsia="zh-CN"/>
              </w:rPr>
              <w:t>15</w:t>
            </w:r>
            <w:r>
              <w:rPr>
                <w:rFonts w:hint="eastAsia"/>
                <w:color w:val="auto"/>
                <w:highlight w:val="none"/>
              </w:rPr>
              <w:t>。</w:t>
            </w:r>
          </w:p>
        </w:tc>
      </w:tr>
    </w:tbl>
    <w:p w14:paraId="40561610">
      <w:pPr>
        <w:adjustRightInd w:val="0"/>
        <w:snapToGrid w:val="0"/>
        <w:ind w:firstLine="562"/>
        <w:rPr>
          <w:b/>
          <w:color w:val="auto"/>
          <w:kern w:val="0"/>
          <w:sz w:val="28"/>
          <w:szCs w:val="28"/>
          <w:highlight w:val="none"/>
        </w:rPr>
        <w:sectPr>
          <w:pgSz w:w="11907" w:h="16840"/>
          <w:pgMar w:top="1418" w:right="1418" w:bottom="1418" w:left="1418" w:header="851" w:footer="851" w:gutter="0"/>
          <w:pgBorders>
            <w:top w:val="none" w:sz="0" w:space="0"/>
            <w:left w:val="none" w:sz="0" w:space="0"/>
            <w:bottom w:val="none" w:sz="0" w:space="0"/>
            <w:right w:val="none" w:sz="0" w:space="0"/>
          </w:pgBorders>
          <w:cols w:space="720" w:num="1"/>
          <w:docGrid w:linePitch="312" w:charSpace="0"/>
        </w:sectPr>
      </w:pPr>
    </w:p>
    <w:tbl>
      <w:tblPr>
        <w:tblStyle w:val="27"/>
        <w:tblW w:w="5112"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95"/>
        <w:gridCol w:w="14062"/>
      </w:tblGrid>
      <w:tr w14:paraId="09171F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6" w:type="pct"/>
            <w:noWrap w:val="0"/>
            <w:tcMar>
              <w:left w:w="28" w:type="dxa"/>
              <w:right w:w="28" w:type="dxa"/>
            </w:tcMar>
            <w:vAlign w:val="center"/>
          </w:tcPr>
          <w:p w14:paraId="44DCFE8D">
            <w:pPr>
              <w:pStyle w:val="73"/>
              <w:spacing w:line="240" w:lineRule="auto"/>
              <w:ind w:firstLine="0" w:firstLineChars="0"/>
              <w:rPr>
                <w:color w:val="auto"/>
                <w:highlight w:val="none"/>
              </w:rPr>
            </w:pPr>
            <w:r>
              <w:rPr>
                <w:color w:val="auto"/>
                <w:highlight w:val="none"/>
              </w:rPr>
              <w:t>运营期环境影响和保护措施</w:t>
            </w:r>
          </w:p>
        </w:tc>
        <w:tc>
          <w:tcPr>
            <w:tcW w:w="4863" w:type="pct"/>
            <w:noWrap w:val="0"/>
            <w:vAlign w:val="center"/>
          </w:tcPr>
          <w:p w14:paraId="171415B7">
            <w:pPr>
              <w:ind w:firstLine="0" w:firstLineChars="0"/>
              <w:jc w:val="center"/>
              <w:rPr>
                <w:b/>
                <w:bCs/>
                <w:color w:val="auto"/>
                <w:highlight w:val="none"/>
              </w:rPr>
            </w:pPr>
            <w:r>
              <w:rPr>
                <w:rFonts w:hint="eastAsia"/>
                <w:b/>
                <w:bCs/>
                <w:color w:val="auto"/>
                <w:highlight w:val="none"/>
              </w:rPr>
              <w:t>表4.2-</w:t>
            </w:r>
            <w:r>
              <w:rPr>
                <w:rFonts w:hint="eastAsia"/>
                <w:b/>
                <w:bCs/>
                <w:color w:val="auto"/>
                <w:highlight w:val="none"/>
                <w:lang w:val="en-US" w:eastAsia="zh-CN"/>
              </w:rPr>
              <w:t>14</w:t>
            </w:r>
            <w:r>
              <w:rPr>
                <w:rFonts w:hint="eastAsia"/>
                <w:b/>
                <w:bCs/>
                <w:color w:val="auto"/>
                <w:highlight w:val="none"/>
              </w:rPr>
              <w:t xml:space="preserve">  </w:t>
            </w:r>
            <w:r>
              <w:rPr>
                <w:rFonts w:hint="eastAsia"/>
                <w:b/>
                <w:bCs/>
                <w:color w:val="auto"/>
                <w:highlight w:val="none"/>
                <w:lang w:val="en-US" w:eastAsia="zh-CN"/>
              </w:rPr>
              <w:t>本项目</w:t>
            </w:r>
            <w:r>
              <w:rPr>
                <w:rFonts w:hint="eastAsia"/>
                <w:b/>
                <w:bCs/>
                <w:color w:val="auto"/>
                <w:highlight w:val="none"/>
              </w:rPr>
              <w:t>有组织废气产排情况一览表</w:t>
            </w:r>
          </w:p>
          <w:tbl>
            <w:tblPr>
              <w:tblStyle w:val="27"/>
              <w:tblW w:w="5013"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430"/>
              <w:gridCol w:w="547"/>
              <w:gridCol w:w="548"/>
              <w:gridCol w:w="578"/>
              <w:gridCol w:w="738"/>
              <w:gridCol w:w="790"/>
              <w:gridCol w:w="723"/>
              <w:gridCol w:w="940"/>
              <w:gridCol w:w="897"/>
              <w:gridCol w:w="914"/>
              <w:gridCol w:w="739"/>
              <w:gridCol w:w="911"/>
              <w:gridCol w:w="716"/>
              <w:gridCol w:w="855"/>
              <w:gridCol w:w="660"/>
              <w:gridCol w:w="1095"/>
              <w:gridCol w:w="525"/>
              <w:gridCol w:w="778"/>
              <w:gridCol w:w="500"/>
            </w:tblGrid>
            <w:tr w14:paraId="2E51A36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6" w:hRule="atLeast"/>
                <w:jc w:val="center"/>
              </w:trPr>
              <w:tc>
                <w:tcPr>
                  <w:tcW w:w="549" w:type="pct"/>
                  <w:gridSpan w:val="3"/>
                  <w:vMerge w:val="restart"/>
                  <w:noWrap w:val="0"/>
                  <w:vAlign w:val="center"/>
                </w:tcPr>
                <w:p w14:paraId="483BC42C">
                  <w:pPr>
                    <w:pStyle w:val="107"/>
                    <w:widowControl/>
                    <w:ind w:firstLine="0" w:firstLineChars="0"/>
                    <w:jc w:val="center"/>
                    <w:rPr>
                      <w:rFonts w:ascii="Times New Roman" w:hAnsi="Times New Roman" w:eastAsia="宋体"/>
                      <w:b/>
                      <w:bCs/>
                      <w:color w:val="auto"/>
                      <w:sz w:val="21"/>
                      <w:szCs w:val="21"/>
                      <w:highlight w:val="none"/>
                    </w:rPr>
                  </w:pPr>
                  <w:r>
                    <w:rPr>
                      <w:rFonts w:hint="eastAsia" w:ascii="Times New Roman" w:hAnsi="Times New Roman" w:eastAsia="宋体"/>
                      <w:b/>
                      <w:bCs/>
                      <w:color w:val="auto"/>
                      <w:sz w:val="21"/>
                      <w:szCs w:val="21"/>
                      <w:highlight w:val="none"/>
                    </w:rPr>
                    <w:t>污染源/污染因子</w:t>
                  </w:r>
                </w:p>
              </w:tc>
              <w:tc>
                <w:tcPr>
                  <w:tcW w:w="208" w:type="pct"/>
                  <w:vMerge w:val="restart"/>
                  <w:noWrap w:val="0"/>
                  <w:vAlign w:val="center"/>
                </w:tcPr>
                <w:p w14:paraId="2D635BEA">
                  <w:pPr>
                    <w:pStyle w:val="107"/>
                    <w:widowControl/>
                    <w:ind w:firstLine="0" w:firstLineChars="0"/>
                    <w:jc w:val="center"/>
                    <w:rPr>
                      <w:rFonts w:ascii="Times New Roman" w:hAnsi="Times New Roman" w:eastAsia="宋体"/>
                      <w:b/>
                      <w:bCs/>
                      <w:color w:val="auto"/>
                      <w:sz w:val="21"/>
                      <w:szCs w:val="21"/>
                      <w:highlight w:val="none"/>
                    </w:rPr>
                  </w:pPr>
                  <w:r>
                    <w:rPr>
                      <w:rFonts w:hint="eastAsia" w:ascii="Times New Roman" w:hAnsi="Times New Roman" w:eastAsia="宋体"/>
                      <w:b/>
                      <w:bCs/>
                      <w:color w:val="auto"/>
                      <w:sz w:val="21"/>
                      <w:szCs w:val="21"/>
                      <w:highlight w:val="none"/>
                    </w:rPr>
                    <w:t>风机风量</w:t>
                  </w:r>
                  <w:r>
                    <w:rPr>
                      <w:rFonts w:ascii="Times New Roman" w:hAnsi="Times New Roman" w:eastAsia="宋体"/>
                      <w:b/>
                      <w:bCs/>
                      <w:color w:val="auto"/>
                      <w:sz w:val="21"/>
                      <w:szCs w:val="21"/>
                      <w:highlight w:val="none"/>
                      <w:lang w:bidi="ar"/>
                    </w:rPr>
                    <w:t>m³/h</w:t>
                  </w:r>
                </w:p>
              </w:tc>
              <w:tc>
                <w:tcPr>
                  <w:tcW w:w="810" w:type="pct"/>
                  <w:gridSpan w:val="3"/>
                  <w:noWrap w:val="0"/>
                  <w:vAlign w:val="center"/>
                </w:tcPr>
                <w:p w14:paraId="7B10EE8F">
                  <w:pPr>
                    <w:pStyle w:val="107"/>
                    <w:widowControl/>
                    <w:ind w:firstLine="0" w:firstLineChars="0"/>
                    <w:jc w:val="center"/>
                    <w:rPr>
                      <w:rFonts w:ascii="Times New Roman" w:hAnsi="Times New Roman" w:eastAsia="宋体"/>
                      <w:b/>
                      <w:bCs/>
                      <w:color w:val="auto"/>
                      <w:sz w:val="21"/>
                      <w:szCs w:val="21"/>
                      <w:highlight w:val="none"/>
                    </w:rPr>
                  </w:pPr>
                  <w:r>
                    <w:rPr>
                      <w:rFonts w:hint="eastAsia" w:ascii="Times New Roman" w:hAnsi="Times New Roman" w:eastAsia="宋体"/>
                      <w:b/>
                      <w:bCs/>
                      <w:color w:val="auto"/>
                      <w:sz w:val="21"/>
                      <w:szCs w:val="21"/>
                      <w:highlight w:val="none"/>
                    </w:rPr>
                    <w:t>污染物产生情况</w:t>
                  </w:r>
                </w:p>
              </w:tc>
              <w:tc>
                <w:tcPr>
                  <w:tcW w:w="990" w:type="pct"/>
                  <w:gridSpan w:val="3"/>
                  <w:noWrap w:val="0"/>
                  <w:vAlign w:val="center"/>
                </w:tcPr>
                <w:p w14:paraId="7FF1BE55">
                  <w:pPr>
                    <w:pStyle w:val="107"/>
                    <w:widowControl/>
                    <w:ind w:firstLine="0" w:firstLineChars="0"/>
                    <w:jc w:val="center"/>
                    <w:rPr>
                      <w:rFonts w:hint="eastAsia" w:ascii="Times New Roman" w:hAnsi="Times New Roman" w:eastAsia="宋体"/>
                      <w:b/>
                      <w:bCs/>
                      <w:color w:val="auto"/>
                      <w:sz w:val="21"/>
                      <w:szCs w:val="21"/>
                      <w:highlight w:val="none"/>
                    </w:rPr>
                  </w:pPr>
                  <w:r>
                    <w:rPr>
                      <w:rFonts w:hint="eastAsia" w:ascii="Times New Roman" w:hAnsi="Times New Roman" w:eastAsia="宋体"/>
                      <w:b/>
                      <w:bCs/>
                      <w:color w:val="auto"/>
                      <w:sz w:val="21"/>
                      <w:szCs w:val="21"/>
                      <w:highlight w:val="none"/>
                    </w:rPr>
                    <w:t>治理措施</w:t>
                  </w:r>
                </w:p>
              </w:tc>
              <w:tc>
                <w:tcPr>
                  <w:tcW w:w="852" w:type="pct"/>
                  <w:gridSpan w:val="3"/>
                  <w:noWrap w:val="0"/>
                  <w:vAlign w:val="center"/>
                </w:tcPr>
                <w:p w14:paraId="73F785C0">
                  <w:pPr>
                    <w:pStyle w:val="107"/>
                    <w:widowControl/>
                    <w:ind w:firstLine="0" w:firstLineChars="0"/>
                    <w:jc w:val="center"/>
                    <w:rPr>
                      <w:rFonts w:ascii="Times New Roman" w:hAnsi="Times New Roman" w:eastAsia="宋体"/>
                      <w:b/>
                      <w:bCs/>
                      <w:color w:val="auto"/>
                      <w:sz w:val="21"/>
                      <w:szCs w:val="21"/>
                      <w:highlight w:val="none"/>
                    </w:rPr>
                  </w:pPr>
                  <w:r>
                    <w:rPr>
                      <w:rFonts w:hint="eastAsia" w:ascii="Times New Roman" w:hAnsi="Times New Roman" w:eastAsia="宋体"/>
                      <w:b/>
                      <w:bCs/>
                      <w:color w:val="auto"/>
                      <w:sz w:val="21"/>
                      <w:szCs w:val="21"/>
                      <w:highlight w:val="none"/>
                    </w:rPr>
                    <w:t>污染物排放情况</w:t>
                  </w:r>
                </w:p>
              </w:tc>
              <w:tc>
                <w:tcPr>
                  <w:tcW w:w="939" w:type="pct"/>
                  <w:gridSpan w:val="3"/>
                  <w:noWrap w:val="0"/>
                  <w:vAlign w:val="center"/>
                </w:tcPr>
                <w:p w14:paraId="62D71580">
                  <w:pPr>
                    <w:pStyle w:val="107"/>
                    <w:widowControl/>
                    <w:ind w:firstLine="0" w:firstLineChars="0"/>
                    <w:jc w:val="center"/>
                    <w:rPr>
                      <w:rFonts w:ascii="Times New Roman" w:hAnsi="Times New Roman" w:eastAsia="宋体"/>
                      <w:b/>
                      <w:bCs/>
                      <w:color w:val="auto"/>
                      <w:sz w:val="21"/>
                      <w:szCs w:val="21"/>
                      <w:highlight w:val="none"/>
                    </w:rPr>
                  </w:pPr>
                  <w:r>
                    <w:rPr>
                      <w:rFonts w:hint="eastAsia" w:ascii="Times New Roman" w:hAnsi="Times New Roman" w:eastAsia="宋体"/>
                      <w:b/>
                      <w:bCs/>
                      <w:color w:val="auto"/>
                      <w:sz w:val="21"/>
                      <w:szCs w:val="21"/>
                      <w:highlight w:val="none"/>
                    </w:rPr>
                    <w:t>排放口基本信息</w:t>
                  </w:r>
                </w:p>
              </w:tc>
              <w:tc>
                <w:tcPr>
                  <w:tcW w:w="189" w:type="pct"/>
                  <w:vMerge w:val="restart"/>
                  <w:noWrap w:val="0"/>
                  <w:vAlign w:val="center"/>
                </w:tcPr>
                <w:p w14:paraId="13ABAE00">
                  <w:pPr>
                    <w:pStyle w:val="107"/>
                    <w:widowControl/>
                    <w:ind w:firstLine="0" w:firstLineChars="0"/>
                    <w:jc w:val="center"/>
                    <w:rPr>
                      <w:rFonts w:hint="eastAsia" w:ascii="Times New Roman" w:hAnsi="Times New Roman" w:eastAsia="宋体"/>
                      <w:b/>
                      <w:bCs/>
                      <w:color w:val="auto"/>
                      <w:sz w:val="21"/>
                      <w:szCs w:val="21"/>
                      <w:highlight w:val="none"/>
                    </w:rPr>
                  </w:pPr>
                  <w:r>
                    <w:rPr>
                      <w:rFonts w:hint="eastAsia" w:ascii="Times New Roman" w:hAnsi="Times New Roman" w:eastAsia="宋体"/>
                      <w:b/>
                      <w:bCs/>
                      <w:color w:val="auto"/>
                      <w:sz w:val="21"/>
                      <w:szCs w:val="21"/>
                      <w:highlight w:val="none"/>
                    </w:rPr>
                    <w:t>排放时间</w:t>
                  </w:r>
                </w:p>
                <w:p w14:paraId="14958846">
                  <w:pPr>
                    <w:pStyle w:val="107"/>
                    <w:widowControl/>
                    <w:ind w:firstLine="0" w:firstLineChars="0"/>
                    <w:jc w:val="center"/>
                    <w:rPr>
                      <w:rFonts w:hint="eastAsia" w:ascii="Times New Roman" w:hAnsi="Times New Roman" w:eastAsia="宋体"/>
                      <w:b/>
                      <w:bCs/>
                      <w:color w:val="auto"/>
                      <w:sz w:val="21"/>
                      <w:szCs w:val="21"/>
                      <w:highlight w:val="none"/>
                    </w:rPr>
                  </w:pPr>
                  <w:r>
                    <w:rPr>
                      <w:rFonts w:hint="eastAsia" w:ascii="Times New Roman" w:hAnsi="Times New Roman" w:eastAsia="宋体"/>
                      <w:b/>
                      <w:bCs/>
                      <w:color w:val="auto"/>
                      <w:sz w:val="21"/>
                      <w:szCs w:val="21"/>
                      <w:highlight w:val="none"/>
                    </w:rPr>
                    <w:t>h</w:t>
                  </w:r>
                </w:p>
              </w:tc>
              <w:tc>
                <w:tcPr>
                  <w:tcW w:w="280" w:type="pct"/>
                  <w:vMerge w:val="restart"/>
                  <w:noWrap w:val="0"/>
                  <w:vAlign w:val="center"/>
                </w:tcPr>
                <w:p w14:paraId="08E8A8AD">
                  <w:pPr>
                    <w:pStyle w:val="107"/>
                    <w:widowControl/>
                    <w:ind w:firstLine="0" w:firstLineChars="0"/>
                    <w:jc w:val="center"/>
                    <w:rPr>
                      <w:rFonts w:hint="eastAsia" w:ascii="Times New Roman" w:hAnsi="Times New Roman" w:eastAsia="宋体"/>
                      <w:b/>
                      <w:bCs/>
                      <w:color w:val="auto"/>
                      <w:sz w:val="21"/>
                      <w:szCs w:val="21"/>
                      <w:highlight w:val="none"/>
                    </w:rPr>
                  </w:pPr>
                  <w:r>
                    <w:rPr>
                      <w:rFonts w:hint="eastAsia" w:ascii="Times New Roman" w:hAnsi="Times New Roman" w:eastAsia="宋体"/>
                      <w:b/>
                      <w:bCs/>
                      <w:color w:val="auto"/>
                      <w:sz w:val="21"/>
                      <w:szCs w:val="21"/>
                      <w:highlight w:val="none"/>
                    </w:rPr>
                    <w:t>允许排放标准</w:t>
                  </w:r>
                  <w:r>
                    <w:rPr>
                      <w:rFonts w:ascii="Times New Roman" w:hAnsi="Times New Roman" w:eastAsia="宋体"/>
                      <w:b/>
                      <w:bCs/>
                      <w:color w:val="auto"/>
                      <w:sz w:val="21"/>
                      <w:szCs w:val="21"/>
                      <w:highlight w:val="none"/>
                    </w:rPr>
                    <w:t>mg/m</w:t>
                  </w:r>
                  <w:r>
                    <w:rPr>
                      <w:rFonts w:hint="eastAsia" w:ascii="Times New Roman" w:hAnsi="Times New Roman" w:eastAsia="宋体"/>
                      <w:b/>
                      <w:bCs/>
                      <w:color w:val="auto"/>
                      <w:sz w:val="21"/>
                      <w:szCs w:val="21"/>
                      <w:highlight w:val="none"/>
                      <w:vertAlign w:val="superscript"/>
                    </w:rPr>
                    <w:t>3</w:t>
                  </w:r>
                </w:p>
              </w:tc>
              <w:tc>
                <w:tcPr>
                  <w:tcW w:w="180" w:type="pct"/>
                  <w:vMerge w:val="restart"/>
                  <w:noWrap w:val="0"/>
                  <w:vAlign w:val="center"/>
                </w:tcPr>
                <w:p w14:paraId="20A51AC6">
                  <w:pPr>
                    <w:pStyle w:val="107"/>
                    <w:widowControl/>
                    <w:ind w:firstLine="0" w:firstLineChars="0"/>
                    <w:jc w:val="center"/>
                    <w:rPr>
                      <w:rFonts w:hint="default" w:ascii="Times New Roman" w:hAnsi="Times New Roman" w:eastAsia="宋体"/>
                      <w:b/>
                      <w:bCs/>
                      <w:color w:val="auto"/>
                      <w:sz w:val="21"/>
                      <w:szCs w:val="21"/>
                      <w:highlight w:val="none"/>
                      <w:lang w:val="en-US" w:eastAsia="zh-CN"/>
                    </w:rPr>
                  </w:pPr>
                  <w:r>
                    <w:rPr>
                      <w:rFonts w:hint="eastAsia" w:ascii="Times New Roman" w:hAnsi="Times New Roman" w:eastAsia="宋体"/>
                      <w:b/>
                      <w:bCs/>
                      <w:color w:val="auto"/>
                      <w:sz w:val="21"/>
                      <w:szCs w:val="21"/>
                      <w:highlight w:val="none"/>
                      <w:lang w:val="en-US" w:eastAsia="zh-CN"/>
                    </w:rPr>
                    <w:t>允许排放速率</w:t>
                  </w:r>
                  <w:r>
                    <w:rPr>
                      <w:rFonts w:ascii="Times New Roman" w:hAnsi="Times New Roman" w:eastAsia="宋体"/>
                      <w:b/>
                      <w:bCs/>
                      <w:color w:val="auto"/>
                      <w:sz w:val="21"/>
                      <w:szCs w:val="21"/>
                      <w:highlight w:val="none"/>
                    </w:rPr>
                    <w:t>kg/h</w:t>
                  </w:r>
                </w:p>
              </w:tc>
            </w:tr>
            <w:tr w14:paraId="7ABC322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20" w:hRule="atLeast"/>
                <w:jc w:val="center"/>
              </w:trPr>
              <w:tc>
                <w:tcPr>
                  <w:tcW w:w="549" w:type="pct"/>
                  <w:gridSpan w:val="3"/>
                  <w:vMerge w:val="continue"/>
                  <w:noWrap w:val="0"/>
                  <w:vAlign w:val="center"/>
                </w:tcPr>
                <w:p w14:paraId="7324C19F">
                  <w:pPr>
                    <w:pStyle w:val="107"/>
                    <w:widowControl/>
                    <w:ind w:firstLine="0" w:firstLineChars="0"/>
                    <w:jc w:val="center"/>
                    <w:rPr>
                      <w:rFonts w:ascii="Times New Roman" w:hAnsi="Times New Roman" w:eastAsia="宋体"/>
                      <w:b/>
                      <w:bCs/>
                      <w:color w:val="auto"/>
                      <w:sz w:val="21"/>
                      <w:szCs w:val="21"/>
                      <w:highlight w:val="none"/>
                    </w:rPr>
                  </w:pPr>
                </w:p>
              </w:tc>
              <w:tc>
                <w:tcPr>
                  <w:tcW w:w="208" w:type="pct"/>
                  <w:vMerge w:val="continue"/>
                  <w:noWrap w:val="0"/>
                  <w:vAlign w:val="center"/>
                </w:tcPr>
                <w:p w14:paraId="7C5CD5F1">
                  <w:pPr>
                    <w:pStyle w:val="107"/>
                    <w:widowControl/>
                    <w:ind w:firstLine="0" w:firstLineChars="0"/>
                    <w:jc w:val="center"/>
                    <w:rPr>
                      <w:rFonts w:ascii="Times New Roman" w:hAnsi="Times New Roman" w:eastAsia="宋体"/>
                      <w:b/>
                      <w:bCs/>
                      <w:color w:val="auto"/>
                      <w:sz w:val="21"/>
                      <w:szCs w:val="21"/>
                      <w:highlight w:val="none"/>
                    </w:rPr>
                  </w:pPr>
                </w:p>
              </w:tc>
              <w:tc>
                <w:tcPr>
                  <w:tcW w:w="265" w:type="pct"/>
                  <w:noWrap w:val="0"/>
                  <w:vAlign w:val="center"/>
                </w:tcPr>
                <w:p w14:paraId="2CC39001">
                  <w:pPr>
                    <w:pStyle w:val="107"/>
                    <w:widowControl/>
                    <w:ind w:firstLine="0" w:firstLineChars="0"/>
                    <w:jc w:val="center"/>
                    <w:rPr>
                      <w:rFonts w:ascii="Times New Roman" w:hAnsi="Times New Roman" w:eastAsia="宋体"/>
                      <w:b/>
                      <w:bCs/>
                      <w:color w:val="auto"/>
                      <w:sz w:val="21"/>
                      <w:szCs w:val="21"/>
                      <w:highlight w:val="none"/>
                    </w:rPr>
                  </w:pPr>
                  <w:r>
                    <w:rPr>
                      <w:rFonts w:hint="eastAsia" w:ascii="Times New Roman" w:hAnsi="Times New Roman" w:eastAsia="宋体"/>
                      <w:b/>
                      <w:bCs/>
                      <w:color w:val="auto"/>
                      <w:sz w:val="21"/>
                      <w:szCs w:val="21"/>
                      <w:highlight w:val="none"/>
                    </w:rPr>
                    <w:t>产生量</w:t>
                  </w:r>
                  <w:r>
                    <w:rPr>
                      <w:rFonts w:ascii="Times New Roman" w:hAnsi="Times New Roman" w:eastAsia="宋体"/>
                      <w:b/>
                      <w:bCs/>
                      <w:color w:val="auto"/>
                      <w:sz w:val="21"/>
                      <w:szCs w:val="21"/>
                      <w:highlight w:val="none"/>
                    </w:rPr>
                    <w:t>t/a</w:t>
                  </w:r>
                </w:p>
              </w:tc>
              <w:tc>
                <w:tcPr>
                  <w:tcW w:w="284" w:type="pct"/>
                  <w:noWrap w:val="0"/>
                  <w:vAlign w:val="center"/>
                </w:tcPr>
                <w:p w14:paraId="1F123428">
                  <w:pPr>
                    <w:pStyle w:val="107"/>
                    <w:widowControl/>
                    <w:ind w:firstLine="0" w:firstLineChars="0"/>
                    <w:jc w:val="center"/>
                    <w:rPr>
                      <w:rFonts w:ascii="Times New Roman" w:hAnsi="Times New Roman" w:eastAsia="宋体"/>
                      <w:b/>
                      <w:bCs/>
                      <w:color w:val="auto"/>
                      <w:sz w:val="21"/>
                      <w:szCs w:val="21"/>
                      <w:highlight w:val="none"/>
                    </w:rPr>
                  </w:pPr>
                  <w:r>
                    <w:rPr>
                      <w:rFonts w:hint="eastAsia" w:ascii="Times New Roman" w:hAnsi="Times New Roman" w:eastAsia="宋体"/>
                      <w:b/>
                      <w:bCs/>
                      <w:color w:val="auto"/>
                      <w:sz w:val="21"/>
                      <w:szCs w:val="21"/>
                      <w:highlight w:val="none"/>
                    </w:rPr>
                    <w:t>产生速率</w:t>
                  </w:r>
                  <w:r>
                    <w:rPr>
                      <w:rFonts w:ascii="Times New Roman" w:hAnsi="Times New Roman" w:eastAsia="宋体"/>
                      <w:b/>
                      <w:bCs/>
                      <w:color w:val="auto"/>
                      <w:sz w:val="21"/>
                      <w:szCs w:val="21"/>
                      <w:highlight w:val="none"/>
                    </w:rPr>
                    <w:t>kg/h</w:t>
                  </w:r>
                </w:p>
              </w:tc>
              <w:tc>
                <w:tcPr>
                  <w:tcW w:w="260" w:type="pct"/>
                  <w:noWrap w:val="0"/>
                  <w:vAlign w:val="center"/>
                </w:tcPr>
                <w:p w14:paraId="6C3D3006">
                  <w:pPr>
                    <w:pStyle w:val="107"/>
                    <w:widowControl/>
                    <w:ind w:firstLine="0" w:firstLineChars="0"/>
                    <w:jc w:val="center"/>
                    <w:rPr>
                      <w:rFonts w:hint="eastAsia" w:ascii="Times New Roman" w:hAnsi="Times New Roman" w:eastAsia="宋体"/>
                      <w:b/>
                      <w:bCs/>
                      <w:color w:val="auto"/>
                      <w:sz w:val="21"/>
                      <w:szCs w:val="21"/>
                      <w:highlight w:val="none"/>
                    </w:rPr>
                  </w:pPr>
                  <w:r>
                    <w:rPr>
                      <w:rFonts w:hint="eastAsia" w:ascii="Times New Roman" w:hAnsi="Times New Roman" w:eastAsia="宋体"/>
                      <w:b/>
                      <w:bCs/>
                      <w:color w:val="auto"/>
                      <w:sz w:val="21"/>
                      <w:szCs w:val="21"/>
                      <w:highlight w:val="none"/>
                    </w:rPr>
                    <w:t>产生</w:t>
                  </w:r>
                </w:p>
                <w:p w14:paraId="718CD71F">
                  <w:pPr>
                    <w:pStyle w:val="107"/>
                    <w:widowControl/>
                    <w:ind w:firstLine="0" w:firstLineChars="0"/>
                    <w:jc w:val="center"/>
                    <w:rPr>
                      <w:rFonts w:hint="eastAsia" w:ascii="Times New Roman" w:hAnsi="Times New Roman" w:eastAsia="宋体"/>
                      <w:b/>
                      <w:bCs/>
                      <w:color w:val="auto"/>
                      <w:sz w:val="21"/>
                      <w:szCs w:val="21"/>
                      <w:highlight w:val="none"/>
                    </w:rPr>
                  </w:pPr>
                  <w:r>
                    <w:rPr>
                      <w:rFonts w:hint="eastAsia" w:ascii="Times New Roman" w:hAnsi="Times New Roman" w:eastAsia="宋体"/>
                      <w:b/>
                      <w:bCs/>
                      <w:color w:val="auto"/>
                      <w:sz w:val="21"/>
                      <w:szCs w:val="21"/>
                      <w:highlight w:val="none"/>
                    </w:rPr>
                    <w:t>浓度</w:t>
                  </w:r>
                </w:p>
                <w:p w14:paraId="5DC7F04C">
                  <w:pPr>
                    <w:pStyle w:val="107"/>
                    <w:widowControl/>
                    <w:ind w:firstLine="0" w:firstLineChars="0"/>
                    <w:jc w:val="center"/>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mg/m</w:t>
                  </w:r>
                  <w:r>
                    <w:rPr>
                      <w:rFonts w:hint="eastAsia" w:ascii="Times New Roman" w:hAnsi="Times New Roman" w:eastAsia="宋体"/>
                      <w:b/>
                      <w:bCs/>
                      <w:color w:val="auto"/>
                      <w:sz w:val="21"/>
                      <w:szCs w:val="21"/>
                      <w:highlight w:val="none"/>
                      <w:vertAlign w:val="superscript"/>
                    </w:rPr>
                    <w:t>3</w:t>
                  </w:r>
                </w:p>
              </w:tc>
              <w:tc>
                <w:tcPr>
                  <w:tcW w:w="338" w:type="pct"/>
                  <w:noWrap w:val="0"/>
                  <w:vAlign w:val="center"/>
                </w:tcPr>
                <w:p w14:paraId="062D4B4C">
                  <w:pPr>
                    <w:pStyle w:val="107"/>
                    <w:widowControl/>
                    <w:ind w:firstLine="0" w:firstLineChars="0"/>
                    <w:jc w:val="center"/>
                    <w:rPr>
                      <w:rFonts w:hint="eastAsia" w:ascii="Times New Roman" w:hAnsi="Times New Roman" w:eastAsia="宋体"/>
                      <w:b/>
                      <w:bCs/>
                      <w:color w:val="auto"/>
                      <w:sz w:val="21"/>
                      <w:szCs w:val="21"/>
                      <w:highlight w:val="none"/>
                    </w:rPr>
                  </w:pPr>
                  <w:r>
                    <w:rPr>
                      <w:rFonts w:hint="eastAsia" w:ascii="Times New Roman" w:hAnsi="Times New Roman" w:eastAsia="宋体"/>
                      <w:b/>
                      <w:bCs/>
                      <w:color w:val="auto"/>
                      <w:sz w:val="21"/>
                      <w:szCs w:val="21"/>
                      <w:highlight w:val="none"/>
                    </w:rPr>
                    <w:t>处理工艺</w:t>
                  </w:r>
                </w:p>
              </w:tc>
              <w:tc>
                <w:tcPr>
                  <w:tcW w:w="323" w:type="pct"/>
                  <w:noWrap w:val="0"/>
                  <w:vAlign w:val="center"/>
                </w:tcPr>
                <w:p w14:paraId="2DD264EF">
                  <w:pPr>
                    <w:pStyle w:val="107"/>
                    <w:widowControl/>
                    <w:ind w:firstLine="0" w:firstLineChars="0"/>
                    <w:jc w:val="center"/>
                    <w:rPr>
                      <w:rFonts w:ascii="Times New Roman" w:hAnsi="Times New Roman" w:eastAsia="宋体"/>
                      <w:b/>
                      <w:bCs/>
                      <w:color w:val="auto"/>
                      <w:sz w:val="21"/>
                      <w:szCs w:val="21"/>
                      <w:highlight w:val="none"/>
                    </w:rPr>
                  </w:pPr>
                  <w:r>
                    <w:rPr>
                      <w:rFonts w:hint="eastAsia" w:ascii="Times New Roman" w:hAnsi="Times New Roman" w:eastAsia="宋体"/>
                      <w:b/>
                      <w:bCs/>
                      <w:color w:val="auto"/>
                      <w:sz w:val="21"/>
                      <w:szCs w:val="21"/>
                      <w:highlight w:val="none"/>
                    </w:rPr>
                    <w:t>去除效率</w:t>
                  </w:r>
                </w:p>
              </w:tc>
              <w:tc>
                <w:tcPr>
                  <w:tcW w:w="329" w:type="pct"/>
                  <w:noWrap w:val="0"/>
                  <w:vAlign w:val="center"/>
                </w:tcPr>
                <w:p w14:paraId="3FFE0D83">
                  <w:pPr>
                    <w:pStyle w:val="107"/>
                    <w:widowControl/>
                    <w:ind w:firstLine="0" w:firstLineChars="0"/>
                    <w:jc w:val="center"/>
                    <w:rPr>
                      <w:rFonts w:ascii="Times New Roman" w:hAnsi="Times New Roman" w:eastAsia="宋体"/>
                      <w:b/>
                      <w:bCs/>
                      <w:color w:val="auto"/>
                      <w:sz w:val="21"/>
                      <w:szCs w:val="21"/>
                      <w:highlight w:val="none"/>
                    </w:rPr>
                  </w:pPr>
                  <w:r>
                    <w:rPr>
                      <w:rFonts w:hint="eastAsia" w:ascii="Times New Roman" w:hAnsi="Times New Roman" w:eastAsia="宋体"/>
                      <w:b/>
                      <w:bCs/>
                      <w:color w:val="auto"/>
                      <w:sz w:val="21"/>
                      <w:szCs w:val="21"/>
                      <w:highlight w:val="none"/>
                    </w:rPr>
                    <w:t>是否为可行技术</w:t>
                  </w:r>
                </w:p>
              </w:tc>
              <w:tc>
                <w:tcPr>
                  <w:tcW w:w="266" w:type="pct"/>
                  <w:noWrap w:val="0"/>
                  <w:vAlign w:val="center"/>
                </w:tcPr>
                <w:p w14:paraId="4236349C">
                  <w:pPr>
                    <w:pStyle w:val="107"/>
                    <w:widowControl/>
                    <w:ind w:firstLine="0" w:firstLineChars="0"/>
                    <w:jc w:val="center"/>
                    <w:rPr>
                      <w:rFonts w:ascii="Times New Roman" w:hAnsi="Times New Roman" w:eastAsia="宋体"/>
                      <w:b/>
                      <w:bCs/>
                      <w:color w:val="auto"/>
                      <w:sz w:val="21"/>
                      <w:szCs w:val="21"/>
                      <w:highlight w:val="none"/>
                    </w:rPr>
                  </w:pPr>
                  <w:r>
                    <w:rPr>
                      <w:rFonts w:hint="eastAsia" w:ascii="Times New Roman" w:hAnsi="Times New Roman" w:eastAsia="宋体"/>
                      <w:b/>
                      <w:bCs/>
                      <w:color w:val="auto"/>
                      <w:sz w:val="21"/>
                      <w:szCs w:val="21"/>
                      <w:highlight w:val="none"/>
                    </w:rPr>
                    <w:t>排放量</w:t>
                  </w:r>
                  <w:r>
                    <w:rPr>
                      <w:rFonts w:ascii="Times New Roman" w:hAnsi="Times New Roman" w:eastAsia="宋体"/>
                      <w:b/>
                      <w:bCs/>
                      <w:color w:val="auto"/>
                      <w:sz w:val="21"/>
                      <w:szCs w:val="21"/>
                      <w:highlight w:val="none"/>
                    </w:rPr>
                    <w:t>t/a</w:t>
                  </w:r>
                </w:p>
              </w:tc>
              <w:tc>
                <w:tcPr>
                  <w:tcW w:w="328" w:type="pct"/>
                  <w:noWrap w:val="0"/>
                  <w:vAlign w:val="center"/>
                </w:tcPr>
                <w:p w14:paraId="43E08404">
                  <w:pPr>
                    <w:pStyle w:val="107"/>
                    <w:widowControl/>
                    <w:ind w:firstLine="0" w:firstLineChars="0"/>
                    <w:jc w:val="center"/>
                    <w:rPr>
                      <w:rFonts w:ascii="Times New Roman" w:hAnsi="Times New Roman" w:eastAsia="宋体"/>
                      <w:b/>
                      <w:bCs/>
                      <w:color w:val="auto"/>
                      <w:sz w:val="21"/>
                      <w:szCs w:val="21"/>
                      <w:highlight w:val="none"/>
                    </w:rPr>
                  </w:pPr>
                  <w:r>
                    <w:rPr>
                      <w:rFonts w:hint="eastAsia" w:ascii="Times New Roman" w:hAnsi="Times New Roman" w:eastAsia="宋体"/>
                      <w:b/>
                      <w:bCs/>
                      <w:color w:val="auto"/>
                      <w:sz w:val="21"/>
                      <w:szCs w:val="21"/>
                      <w:highlight w:val="none"/>
                    </w:rPr>
                    <w:t>排放速率</w:t>
                  </w:r>
                  <w:r>
                    <w:rPr>
                      <w:rFonts w:ascii="Times New Roman" w:hAnsi="Times New Roman" w:eastAsia="宋体"/>
                      <w:b/>
                      <w:bCs/>
                      <w:color w:val="auto"/>
                      <w:sz w:val="21"/>
                      <w:szCs w:val="21"/>
                      <w:highlight w:val="none"/>
                    </w:rPr>
                    <w:t>kg/h</w:t>
                  </w:r>
                </w:p>
              </w:tc>
              <w:tc>
                <w:tcPr>
                  <w:tcW w:w="257" w:type="pct"/>
                  <w:noWrap w:val="0"/>
                  <w:vAlign w:val="center"/>
                </w:tcPr>
                <w:p w14:paraId="4B9BCC64">
                  <w:pPr>
                    <w:pStyle w:val="107"/>
                    <w:widowControl/>
                    <w:ind w:firstLine="0" w:firstLineChars="0"/>
                    <w:jc w:val="center"/>
                    <w:rPr>
                      <w:rFonts w:ascii="Times New Roman" w:hAnsi="Times New Roman" w:eastAsia="宋体"/>
                      <w:b/>
                      <w:bCs/>
                      <w:color w:val="auto"/>
                      <w:sz w:val="21"/>
                      <w:szCs w:val="21"/>
                      <w:highlight w:val="none"/>
                    </w:rPr>
                  </w:pPr>
                  <w:r>
                    <w:rPr>
                      <w:rFonts w:hint="eastAsia" w:ascii="Times New Roman" w:hAnsi="Times New Roman" w:eastAsia="宋体"/>
                      <w:b/>
                      <w:bCs/>
                      <w:color w:val="auto"/>
                      <w:sz w:val="21"/>
                      <w:szCs w:val="21"/>
                      <w:highlight w:val="none"/>
                    </w:rPr>
                    <w:t>排放浓度</w:t>
                  </w:r>
                  <w:r>
                    <w:rPr>
                      <w:rFonts w:ascii="Times New Roman" w:hAnsi="Times New Roman" w:eastAsia="宋体"/>
                      <w:b/>
                      <w:bCs/>
                      <w:color w:val="auto"/>
                      <w:sz w:val="21"/>
                      <w:szCs w:val="21"/>
                      <w:highlight w:val="none"/>
                    </w:rPr>
                    <w:t>mg/m</w:t>
                  </w:r>
                  <w:r>
                    <w:rPr>
                      <w:rFonts w:hint="eastAsia" w:ascii="Times New Roman" w:hAnsi="Times New Roman" w:eastAsia="宋体"/>
                      <w:b/>
                      <w:bCs/>
                      <w:color w:val="auto"/>
                      <w:sz w:val="21"/>
                      <w:szCs w:val="21"/>
                      <w:highlight w:val="none"/>
                      <w:vertAlign w:val="superscript"/>
                    </w:rPr>
                    <w:t>3</w:t>
                  </w:r>
                </w:p>
              </w:tc>
              <w:tc>
                <w:tcPr>
                  <w:tcW w:w="307" w:type="pct"/>
                  <w:noWrap w:val="0"/>
                  <w:vAlign w:val="center"/>
                </w:tcPr>
                <w:p w14:paraId="5D540DEF">
                  <w:pPr>
                    <w:pStyle w:val="107"/>
                    <w:widowControl/>
                    <w:ind w:firstLine="0" w:firstLineChars="0"/>
                    <w:jc w:val="center"/>
                    <w:rPr>
                      <w:rFonts w:ascii="Times New Roman" w:hAnsi="Times New Roman" w:eastAsia="宋体"/>
                      <w:b/>
                      <w:bCs/>
                      <w:color w:val="auto"/>
                      <w:sz w:val="21"/>
                      <w:szCs w:val="21"/>
                      <w:highlight w:val="none"/>
                    </w:rPr>
                  </w:pPr>
                  <w:r>
                    <w:rPr>
                      <w:rFonts w:hint="eastAsia" w:ascii="Times New Roman" w:hAnsi="Times New Roman" w:eastAsia="宋体"/>
                      <w:b/>
                      <w:bCs/>
                      <w:color w:val="auto"/>
                      <w:sz w:val="21"/>
                      <w:szCs w:val="21"/>
                      <w:highlight w:val="none"/>
                    </w:rPr>
                    <w:t>排放筒內径、高度、温度</w:t>
                  </w:r>
                </w:p>
              </w:tc>
              <w:tc>
                <w:tcPr>
                  <w:tcW w:w="237" w:type="pct"/>
                  <w:noWrap w:val="0"/>
                  <w:vAlign w:val="center"/>
                </w:tcPr>
                <w:p w14:paraId="13908907">
                  <w:pPr>
                    <w:pStyle w:val="107"/>
                    <w:widowControl/>
                    <w:ind w:firstLine="0" w:firstLineChars="0"/>
                    <w:jc w:val="center"/>
                    <w:rPr>
                      <w:rFonts w:ascii="Times New Roman" w:hAnsi="Times New Roman" w:eastAsia="宋体"/>
                      <w:b/>
                      <w:bCs/>
                      <w:color w:val="auto"/>
                      <w:sz w:val="21"/>
                      <w:szCs w:val="21"/>
                      <w:highlight w:val="none"/>
                    </w:rPr>
                  </w:pPr>
                  <w:r>
                    <w:rPr>
                      <w:rFonts w:hint="eastAsia" w:ascii="Times New Roman" w:hAnsi="Times New Roman" w:eastAsia="宋体"/>
                      <w:b/>
                      <w:bCs/>
                      <w:color w:val="auto"/>
                      <w:sz w:val="21"/>
                      <w:szCs w:val="21"/>
                      <w:highlight w:val="none"/>
                    </w:rPr>
                    <w:t>编号及名称、类型</w:t>
                  </w:r>
                </w:p>
              </w:tc>
              <w:tc>
                <w:tcPr>
                  <w:tcW w:w="394" w:type="pct"/>
                  <w:noWrap w:val="0"/>
                  <w:vAlign w:val="center"/>
                </w:tcPr>
                <w:p w14:paraId="7316A3D5">
                  <w:pPr>
                    <w:pStyle w:val="107"/>
                    <w:widowControl/>
                    <w:ind w:firstLine="0" w:firstLineChars="0"/>
                    <w:jc w:val="center"/>
                    <w:rPr>
                      <w:rFonts w:ascii="Times New Roman" w:hAnsi="Times New Roman" w:eastAsia="宋体"/>
                      <w:b/>
                      <w:bCs/>
                      <w:color w:val="auto"/>
                      <w:sz w:val="21"/>
                      <w:szCs w:val="21"/>
                      <w:highlight w:val="none"/>
                    </w:rPr>
                  </w:pPr>
                  <w:r>
                    <w:rPr>
                      <w:rFonts w:hint="eastAsia" w:ascii="Times New Roman" w:hAnsi="Times New Roman" w:eastAsia="宋体"/>
                      <w:b/>
                      <w:bCs/>
                      <w:color w:val="auto"/>
                      <w:sz w:val="21"/>
                      <w:szCs w:val="21"/>
                      <w:highlight w:val="none"/>
                    </w:rPr>
                    <w:t>地理坐标</w:t>
                  </w:r>
                </w:p>
              </w:tc>
              <w:tc>
                <w:tcPr>
                  <w:tcW w:w="189" w:type="pct"/>
                  <w:vMerge w:val="continue"/>
                  <w:noWrap w:val="0"/>
                  <w:vAlign w:val="center"/>
                </w:tcPr>
                <w:p w14:paraId="6BF1229D">
                  <w:pPr>
                    <w:pStyle w:val="107"/>
                    <w:widowControl/>
                    <w:ind w:firstLine="0" w:firstLineChars="0"/>
                    <w:jc w:val="center"/>
                    <w:rPr>
                      <w:rFonts w:ascii="Times New Roman" w:hAnsi="Times New Roman" w:eastAsia="宋体"/>
                      <w:b/>
                      <w:bCs/>
                      <w:color w:val="auto"/>
                      <w:sz w:val="21"/>
                      <w:szCs w:val="21"/>
                      <w:highlight w:val="none"/>
                    </w:rPr>
                  </w:pPr>
                </w:p>
              </w:tc>
              <w:tc>
                <w:tcPr>
                  <w:tcW w:w="280" w:type="pct"/>
                  <w:vMerge w:val="continue"/>
                  <w:noWrap w:val="0"/>
                  <w:vAlign w:val="center"/>
                </w:tcPr>
                <w:p w14:paraId="4EA92FE1">
                  <w:pPr>
                    <w:pStyle w:val="107"/>
                    <w:widowControl/>
                    <w:ind w:firstLine="0" w:firstLineChars="0"/>
                    <w:jc w:val="center"/>
                    <w:rPr>
                      <w:rFonts w:ascii="Times New Roman" w:hAnsi="Times New Roman" w:eastAsia="宋体"/>
                      <w:b/>
                      <w:bCs/>
                      <w:color w:val="auto"/>
                      <w:sz w:val="21"/>
                      <w:szCs w:val="21"/>
                      <w:highlight w:val="none"/>
                    </w:rPr>
                  </w:pPr>
                </w:p>
              </w:tc>
              <w:tc>
                <w:tcPr>
                  <w:tcW w:w="180" w:type="pct"/>
                  <w:vMerge w:val="continue"/>
                  <w:noWrap w:val="0"/>
                  <w:vAlign w:val="center"/>
                </w:tcPr>
                <w:p w14:paraId="4D6971A7">
                  <w:pPr>
                    <w:pStyle w:val="107"/>
                    <w:widowControl/>
                    <w:ind w:firstLine="0" w:firstLineChars="0"/>
                    <w:jc w:val="center"/>
                    <w:rPr>
                      <w:rFonts w:ascii="Times New Roman" w:hAnsi="Times New Roman" w:eastAsia="宋体"/>
                      <w:b/>
                      <w:bCs/>
                      <w:color w:val="auto"/>
                      <w:sz w:val="21"/>
                      <w:szCs w:val="21"/>
                      <w:highlight w:val="none"/>
                    </w:rPr>
                  </w:pPr>
                </w:p>
              </w:tc>
            </w:tr>
            <w:tr w14:paraId="44493C8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9" w:hRule="atLeast"/>
                <w:jc w:val="center"/>
              </w:trPr>
              <w:tc>
                <w:tcPr>
                  <w:tcW w:w="154" w:type="pct"/>
                  <w:vMerge w:val="restart"/>
                  <w:noWrap w:val="0"/>
                  <w:vAlign w:val="center"/>
                </w:tcPr>
                <w:p w14:paraId="032196A6">
                  <w:pPr>
                    <w:pStyle w:val="107"/>
                    <w:widowControl/>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骨料烘干废气</w:t>
                  </w:r>
                </w:p>
              </w:tc>
              <w:tc>
                <w:tcPr>
                  <w:tcW w:w="196" w:type="pct"/>
                  <w:noWrap w:val="0"/>
                  <w:vAlign w:val="center"/>
                </w:tcPr>
                <w:p w14:paraId="207C1954">
                  <w:pPr>
                    <w:pStyle w:val="98"/>
                    <w:widowControl w:val="0"/>
                    <w:kinsoku/>
                    <w:autoSpaceDE/>
                    <w:autoSpaceDN/>
                    <w:adjustRightInd/>
                    <w:snapToGrid/>
                    <w:ind w:firstLine="0" w:firstLineChars="0"/>
                    <w:jc w:val="center"/>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snapToGrid/>
                      <w:color w:val="auto"/>
                      <w:kern w:val="2"/>
                      <w:szCs w:val="24"/>
                      <w:highlight w:val="none"/>
                      <w:lang w:eastAsia="zh-CN"/>
                    </w:rPr>
                    <w:t>颗粒物</w:t>
                  </w:r>
                </w:p>
              </w:tc>
              <w:tc>
                <w:tcPr>
                  <w:tcW w:w="197" w:type="pct"/>
                  <w:vMerge w:val="restart"/>
                  <w:noWrap w:val="0"/>
                  <w:vAlign w:val="center"/>
                </w:tcPr>
                <w:p w14:paraId="3FE084F6">
                  <w:pPr>
                    <w:pStyle w:val="98"/>
                    <w:widowControl w:val="0"/>
                    <w:kinsoku/>
                    <w:autoSpaceDE/>
                    <w:autoSpaceDN/>
                    <w:adjustRightInd/>
                    <w:snapToGrid/>
                    <w:ind w:firstLine="0" w:firstLineChars="0"/>
                    <w:jc w:val="center"/>
                    <w:textAlignment w:val="auto"/>
                    <w:rPr>
                      <w:rFonts w:hint="default" w:ascii="Times New Roman" w:hAnsi="Times New Roman" w:eastAsia="宋体" w:cs="Times New Roman"/>
                      <w:snapToGrid/>
                      <w:color w:val="auto"/>
                      <w:kern w:val="2"/>
                      <w:szCs w:val="24"/>
                      <w:highlight w:val="none"/>
                      <w:lang w:val="en-US" w:eastAsia="zh-CN"/>
                    </w:rPr>
                  </w:pPr>
                  <w:r>
                    <w:rPr>
                      <w:rFonts w:hint="eastAsia" w:cs="Times New Roman"/>
                      <w:snapToGrid/>
                      <w:color w:val="auto"/>
                      <w:kern w:val="2"/>
                      <w:szCs w:val="24"/>
                      <w:highlight w:val="none"/>
                      <w:lang w:val="en-US" w:eastAsia="zh-CN"/>
                    </w:rPr>
                    <w:t>一期</w:t>
                  </w:r>
                </w:p>
              </w:tc>
              <w:tc>
                <w:tcPr>
                  <w:tcW w:w="208" w:type="pct"/>
                  <w:vMerge w:val="restart"/>
                  <w:noWrap w:val="0"/>
                  <w:vAlign w:val="center"/>
                </w:tcPr>
                <w:p w14:paraId="50366AA5">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3000</w:t>
                  </w:r>
                </w:p>
              </w:tc>
              <w:tc>
                <w:tcPr>
                  <w:tcW w:w="265" w:type="pct"/>
                  <w:noWrap w:val="0"/>
                  <w:vAlign w:val="center"/>
                </w:tcPr>
                <w:p w14:paraId="74658311">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4.372</w:t>
                  </w:r>
                </w:p>
              </w:tc>
              <w:tc>
                <w:tcPr>
                  <w:tcW w:w="284" w:type="pct"/>
                  <w:noWrap w:val="0"/>
                  <w:vAlign w:val="center"/>
                </w:tcPr>
                <w:p w14:paraId="6145C1E9">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1.14</w:t>
                  </w:r>
                </w:p>
              </w:tc>
              <w:tc>
                <w:tcPr>
                  <w:tcW w:w="260" w:type="pct"/>
                  <w:noWrap w:val="0"/>
                  <w:vAlign w:val="center"/>
                </w:tcPr>
                <w:p w14:paraId="669A5120">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380</w:t>
                  </w:r>
                </w:p>
              </w:tc>
              <w:tc>
                <w:tcPr>
                  <w:tcW w:w="338" w:type="pct"/>
                  <w:vMerge w:val="restart"/>
                  <w:noWrap w:val="0"/>
                  <w:vAlign w:val="center"/>
                </w:tcPr>
                <w:p w14:paraId="70E6129F">
                  <w:pPr>
                    <w:pStyle w:val="107"/>
                    <w:widowControl/>
                    <w:ind w:firstLine="0" w:firstLineChars="0"/>
                    <w:jc w:val="center"/>
                    <w:rPr>
                      <w:rFonts w:hint="default" w:ascii="Times New Roman" w:hAnsi="Times New Roman" w:eastAsia="宋体"/>
                      <w:color w:val="auto"/>
                      <w:sz w:val="21"/>
                      <w:szCs w:val="21"/>
                      <w:highlight w:val="none"/>
                      <w:lang w:val="en-US"/>
                    </w:rPr>
                  </w:pPr>
                  <w:r>
                    <w:rPr>
                      <w:rFonts w:hint="eastAsia" w:ascii="Times New Roman" w:hAnsi="Times New Roman" w:eastAsia="宋体"/>
                      <w:color w:val="auto"/>
                      <w:sz w:val="21"/>
                      <w:szCs w:val="21"/>
                      <w:highlight w:val="none"/>
                      <w:lang w:val="en-US" w:eastAsia="zh-CN"/>
                    </w:rPr>
                    <w:t>布袋除尘器</w:t>
                  </w:r>
                </w:p>
              </w:tc>
              <w:tc>
                <w:tcPr>
                  <w:tcW w:w="323" w:type="pct"/>
                  <w:noWrap w:val="0"/>
                  <w:vAlign w:val="center"/>
                </w:tcPr>
                <w:p w14:paraId="3EDDF7A2">
                  <w:pPr>
                    <w:pStyle w:val="107"/>
                    <w:widowControl/>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99.7</w:t>
                  </w:r>
                  <w:r>
                    <w:rPr>
                      <w:rFonts w:hint="eastAsia" w:ascii="Times New Roman" w:hAnsi="Times New Roman" w:eastAsia="宋体"/>
                      <w:color w:val="auto"/>
                      <w:sz w:val="21"/>
                      <w:szCs w:val="21"/>
                      <w:highlight w:val="none"/>
                    </w:rPr>
                    <w:t>%</w:t>
                  </w:r>
                </w:p>
              </w:tc>
              <w:tc>
                <w:tcPr>
                  <w:tcW w:w="329" w:type="pct"/>
                  <w:vMerge w:val="restart"/>
                  <w:noWrap w:val="0"/>
                  <w:vAlign w:val="center"/>
                </w:tcPr>
                <w:p w14:paraId="5E6F9389">
                  <w:pPr>
                    <w:pStyle w:val="107"/>
                    <w:widowControl/>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是</w:t>
                  </w:r>
                </w:p>
              </w:tc>
              <w:tc>
                <w:tcPr>
                  <w:tcW w:w="266" w:type="pct"/>
                  <w:noWrap w:val="0"/>
                  <w:vAlign w:val="center"/>
                </w:tcPr>
                <w:p w14:paraId="06E114AE">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0.013</w:t>
                  </w:r>
                </w:p>
              </w:tc>
              <w:tc>
                <w:tcPr>
                  <w:tcW w:w="328" w:type="pct"/>
                  <w:noWrap w:val="0"/>
                  <w:vAlign w:val="center"/>
                </w:tcPr>
                <w:p w14:paraId="39340889">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0.0034</w:t>
                  </w:r>
                </w:p>
              </w:tc>
              <w:tc>
                <w:tcPr>
                  <w:tcW w:w="257" w:type="pct"/>
                  <w:noWrap w:val="0"/>
                  <w:vAlign w:val="center"/>
                </w:tcPr>
                <w:p w14:paraId="6B3C4CEC">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1.13</w:t>
                  </w:r>
                </w:p>
              </w:tc>
              <w:tc>
                <w:tcPr>
                  <w:tcW w:w="307" w:type="pct"/>
                  <w:vMerge w:val="restart"/>
                  <w:noWrap w:val="0"/>
                  <w:vAlign w:val="center"/>
                </w:tcPr>
                <w:p w14:paraId="4A8D4C67">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H=2</w:t>
                  </w:r>
                  <w:r>
                    <w:rPr>
                      <w:rFonts w:hint="eastAsia" w:ascii="Times New Roman" w:hAnsi="Times New Roman" w:eastAsia="宋体"/>
                      <w:color w:val="auto"/>
                      <w:sz w:val="21"/>
                      <w:szCs w:val="21"/>
                      <w:highlight w:val="none"/>
                      <w:lang w:val="en-US" w:eastAsia="zh-CN"/>
                    </w:rPr>
                    <w:t>0</w:t>
                  </w:r>
                  <w:r>
                    <w:rPr>
                      <w:rFonts w:hint="eastAsia" w:ascii="Times New Roman" w:hAnsi="Times New Roman" w:eastAsia="宋体"/>
                      <w:color w:val="auto"/>
                      <w:sz w:val="21"/>
                      <w:szCs w:val="21"/>
                      <w:highlight w:val="none"/>
                    </w:rPr>
                    <w:t>m、內径</w:t>
                  </w:r>
                  <w:r>
                    <w:rPr>
                      <w:rFonts w:hint="eastAsia" w:ascii="Times New Roman" w:hAnsi="Times New Roman" w:eastAsia="宋体"/>
                      <w:color w:val="auto"/>
                      <w:sz w:val="21"/>
                      <w:szCs w:val="21"/>
                      <w:highlight w:val="none"/>
                      <w:lang w:val="en-US" w:eastAsia="zh-CN"/>
                    </w:rPr>
                    <w:t>1.4</w:t>
                  </w:r>
                  <w:r>
                    <w:rPr>
                      <w:rFonts w:hint="eastAsia" w:ascii="Times New Roman" w:hAnsi="Times New Roman" w:eastAsia="宋体"/>
                      <w:color w:val="auto"/>
                      <w:sz w:val="21"/>
                      <w:szCs w:val="21"/>
                      <w:highlight w:val="none"/>
                    </w:rPr>
                    <w:t>m、温度25</w:t>
                  </w:r>
                  <w:r>
                    <w:rPr>
                      <w:rFonts w:hint="eastAsia" w:ascii="宋体" w:hAnsi="宋体" w:eastAsia="宋体" w:cs="宋体"/>
                      <w:color w:val="auto"/>
                      <w:sz w:val="21"/>
                      <w:szCs w:val="21"/>
                      <w:highlight w:val="none"/>
                    </w:rPr>
                    <w:t>℃</w:t>
                  </w:r>
                </w:p>
              </w:tc>
              <w:tc>
                <w:tcPr>
                  <w:tcW w:w="237" w:type="pct"/>
                  <w:vMerge w:val="restart"/>
                  <w:noWrap w:val="0"/>
                  <w:vAlign w:val="center"/>
                </w:tcPr>
                <w:p w14:paraId="7A34C092">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DA001一般排放口</w:t>
                  </w:r>
                </w:p>
              </w:tc>
              <w:tc>
                <w:tcPr>
                  <w:tcW w:w="394" w:type="pct"/>
                  <w:vMerge w:val="restart"/>
                  <w:noWrap w:val="0"/>
                  <w:vAlign w:val="center"/>
                </w:tcPr>
                <w:p w14:paraId="57B51F0A">
                  <w:pPr>
                    <w:pStyle w:val="107"/>
                    <w:widowControl/>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119.635031 </w:t>
                  </w:r>
                </w:p>
                <w:p w14:paraId="1E93C520">
                  <w:pPr>
                    <w:pStyle w:val="107"/>
                    <w:widowControl/>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26.495703  </w:t>
                  </w:r>
                </w:p>
              </w:tc>
              <w:tc>
                <w:tcPr>
                  <w:tcW w:w="189" w:type="pct"/>
                  <w:vMerge w:val="restart"/>
                  <w:noWrap w:val="0"/>
                  <w:vAlign w:val="center"/>
                </w:tcPr>
                <w:p w14:paraId="09790CC4">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3840</w:t>
                  </w:r>
                </w:p>
              </w:tc>
              <w:tc>
                <w:tcPr>
                  <w:tcW w:w="280" w:type="pct"/>
                  <w:noWrap w:val="0"/>
                  <w:vAlign w:val="center"/>
                </w:tcPr>
                <w:p w14:paraId="0394DB32">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200</w:t>
                  </w:r>
                </w:p>
              </w:tc>
              <w:tc>
                <w:tcPr>
                  <w:tcW w:w="180" w:type="pct"/>
                  <w:noWrap w:val="0"/>
                  <w:vAlign w:val="center"/>
                </w:tcPr>
                <w:p w14:paraId="30AC43FB">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w:t>
                  </w:r>
                </w:p>
              </w:tc>
            </w:tr>
            <w:tr w14:paraId="31B035C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9" w:hRule="atLeast"/>
                <w:jc w:val="center"/>
              </w:trPr>
              <w:tc>
                <w:tcPr>
                  <w:tcW w:w="154" w:type="pct"/>
                  <w:vMerge w:val="continue"/>
                  <w:noWrap w:val="0"/>
                  <w:vAlign w:val="center"/>
                </w:tcPr>
                <w:p w14:paraId="557DCE4F">
                  <w:pPr>
                    <w:pStyle w:val="107"/>
                    <w:widowControl/>
                    <w:ind w:firstLine="0" w:firstLineChars="0"/>
                    <w:jc w:val="center"/>
                    <w:rPr>
                      <w:rFonts w:hint="eastAsia" w:ascii="Times New Roman" w:hAnsi="Times New Roman" w:eastAsia="宋体" w:cs="Times New Roman"/>
                      <w:color w:val="auto"/>
                      <w:sz w:val="21"/>
                      <w:szCs w:val="21"/>
                      <w:highlight w:val="none"/>
                    </w:rPr>
                  </w:pPr>
                </w:p>
              </w:tc>
              <w:tc>
                <w:tcPr>
                  <w:tcW w:w="196" w:type="pct"/>
                  <w:noWrap w:val="0"/>
                  <w:vAlign w:val="center"/>
                </w:tcPr>
                <w:p w14:paraId="7B215752">
                  <w:pPr>
                    <w:pStyle w:val="98"/>
                    <w:widowControl w:val="0"/>
                    <w:kinsoku/>
                    <w:autoSpaceDE/>
                    <w:autoSpaceDN/>
                    <w:adjustRightInd/>
                    <w:snapToGrid/>
                    <w:ind w:firstLine="0" w:firstLineChars="0"/>
                    <w:jc w:val="center"/>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snapToGrid/>
                      <w:color w:val="auto"/>
                      <w:kern w:val="2"/>
                      <w:szCs w:val="24"/>
                      <w:highlight w:val="none"/>
                      <w:lang w:eastAsia="zh-CN"/>
                    </w:rPr>
                    <w:t>SO</w:t>
                  </w:r>
                  <w:r>
                    <w:rPr>
                      <w:rFonts w:hint="eastAsia" w:ascii="Times New Roman" w:hAnsi="Times New Roman" w:eastAsia="宋体" w:cs="Times New Roman"/>
                      <w:snapToGrid/>
                      <w:color w:val="auto"/>
                      <w:kern w:val="2"/>
                      <w:szCs w:val="24"/>
                      <w:highlight w:val="none"/>
                      <w:vertAlign w:val="subscript"/>
                      <w:lang w:eastAsia="zh-CN"/>
                    </w:rPr>
                    <w:t>2</w:t>
                  </w:r>
                </w:p>
              </w:tc>
              <w:tc>
                <w:tcPr>
                  <w:tcW w:w="197" w:type="pct"/>
                  <w:vMerge w:val="continue"/>
                  <w:noWrap w:val="0"/>
                  <w:vAlign w:val="center"/>
                </w:tcPr>
                <w:p w14:paraId="5E66D956">
                  <w:pPr>
                    <w:pStyle w:val="98"/>
                    <w:widowControl w:val="0"/>
                    <w:kinsoku/>
                    <w:autoSpaceDE/>
                    <w:autoSpaceDN/>
                    <w:adjustRightInd/>
                    <w:snapToGrid/>
                    <w:ind w:firstLine="0" w:firstLineChars="0"/>
                    <w:jc w:val="center"/>
                    <w:textAlignment w:val="auto"/>
                    <w:rPr>
                      <w:rFonts w:hint="eastAsia" w:ascii="Times New Roman" w:hAnsi="Times New Roman" w:eastAsia="宋体" w:cs="Times New Roman"/>
                      <w:snapToGrid/>
                      <w:color w:val="auto"/>
                      <w:kern w:val="2"/>
                      <w:szCs w:val="24"/>
                      <w:highlight w:val="none"/>
                      <w:lang w:eastAsia="zh-CN"/>
                    </w:rPr>
                  </w:pPr>
                </w:p>
              </w:tc>
              <w:tc>
                <w:tcPr>
                  <w:tcW w:w="208" w:type="pct"/>
                  <w:vMerge w:val="continue"/>
                  <w:noWrap w:val="0"/>
                  <w:vAlign w:val="center"/>
                </w:tcPr>
                <w:p w14:paraId="33FF79D6">
                  <w:pPr>
                    <w:pStyle w:val="107"/>
                    <w:widowControl/>
                    <w:ind w:firstLine="0" w:firstLineChars="0"/>
                    <w:jc w:val="center"/>
                    <w:rPr>
                      <w:rFonts w:hint="eastAsia" w:ascii="Times New Roman" w:hAnsi="Times New Roman" w:eastAsia="宋体"/>
                      <w:color w:val="auto"/>
                      <w:sz w:val="21"/>
                      <w:szCs w:val="21"/>
                      <w:highlight w:val="none"/>
                    </w:rPr>
                  </w:pPr>
                </w:p>
              </w:tc>
              <w:tc>
                <w:tcPr>
                  <w:tcW w:w="265" w:type="pct"/>
                  <w:noWrap w:val="0"/>
                  <w:vAlign w:val="center"/>
                </w:tcPr>
                <w:p w14:paraId="423F86BE">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0.06</w:t>
                  </w:r>
                </w:p>
              </w:tc>
              <w:tc>
                <w:tcPr>
                  <w:tcW w:w="284" w:type="pct"/>
                  <w:noWrap w:val="0"/>
                  <w:vAlign w:val="center"/>
                </w:tcPr>
                <w:p w14:paraId="1939182B">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0.016</w:t>
                  </w:r>
                </w:p>
              </w:tc>
              <w:tc>
                <w:tcPr>
                  <w:tcW w:w="260" w:type="pct"/>
                  <w:noWrap w:val="0"/>
                  <w:vAlign w:val="center"/>
                </w:tcPr>
                <w:p w14:paraId="63639FDA">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5.33</w:t>
                  </w:r>
                </w:p>
              </w:tc>
              <w:tc>
                <w:tcPr>
                  <w:tcW w:w="338" w:type="pct"/>
                  <w:vMerge w:val="continue"/>
                  <w:noWrap w:val="0"/>
                  <w:vAlign w:val="center"/>
                </w:tcPr>
                <w:p w14:paraId="3E4EB96F">
                  <w:pPr>
                    <w:pStyle w:val="107"/>
                    <w:widowControl/>
                    <w:ind w:firstLine="0" w:firstLineChars="0"/>
                    <w:jc w:val="center"/>
                    <w:rPr>
                      <w:rFonts w:hint="eastAsia" w:ascii="Times New Roman" w:hAnsi="Times New Roman" w:eastAsia="宋体"/>
                      <w:color w:val="auto"/>
                      <w:sz w:val="21"/>
                      <w:szCs w:val="21"/>
                      <w:highlight w:val="none"/>
                    </w:rPr>
                  </w:pPr>
                </w:p>
              </w:tc>
              <w:tc>
                <w:tcPr>
                  <w:tcW w:w="323" w:type="pct"/>
                  <w:noWrap w:val="0"/>
                  <w:vAlign w:val="center"/>
                </w:tcPr>
                <w:p w14:paraId="382F8EE7">
                  <w:pPr>
                    <w:pStyle w:val="107"/>
                    <w:widowControl/>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w:t>
                  </w:r>
                </w:p>
              </w:tc>
              <w:tc>
                <w:tcPr>
                  <w:tcW w:w="329" w:type="pct"/>
                  <w:vMerge w:val="continue"/>
                  <w:noWrap w:val="0"/>
                  <w:vAlign w:val="center"/>
                </w:tcPr>
                <w:p w14:paraId="152B7AE3">
                  <w:pPr>
                    <w:pStyle w:val="107"/>
                    <w:widowControl/>
                    <w:ind w:firstLine="0" w:firstLineChars="0"/>
                    <w:jc w:val="center"/>
                    <w:rPr>
                      <w:rFonts w:ascii="Times New Roman" w:hAnsi="Times New Roman" w:eastAsia="宋体"/>
                      <w:color w:val="auto"/>
                      <w:sz w:val="21"/>
                      <w:szCs w:val="21"/>
                      <w:highlight w:val="none"/>
                    </w:rPr>
                  </w:pPr>
                </w:p>
              </w:tc>
              <w:tc>
                <w:tcPr>
                  <w:tcW w:w="266" w:type="pct"/>
                  <w:noWrap w:val="0"/>
                  <w:vAlign w:val="center"/>
                </w:tcPr>
                <w:p w14:paraId="0984FC36">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0.06</w:t>
                  </w:r>
                </w:p>
              </w:tc>
              <w:tc>
                <w:tcPr>
                  <w:tcW w:w="328" w:type="pct"/>
                  <w:noWrap w:val="0"/>
                  <w:vAlign w:val="center"/>
                </w:tcPr>
                <w:p w14:paraId="62FD36E0">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0.016</w:t>
                  </w:r>
                </w:p>
              </w:tc>
              <w:tc>
                <w:tcPr>
                  <w:tcW w:w="257" w:type="pct"/>
                  <w:noWrap w:val="0"/>
                  <w:vAlign w:val="center"/>
                </w:tcPr>
                <w:p w14:paraId="66C1DC95">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5.33</w:t>
                  </w:r>
                </w:p>
              </w:tc>
              <w:tc>
                <w:tcPr>
                  <w:tcW w:w="307" w:type="pct"/>
                  <w:vMerge w:val="continue"/>
                  <w:noWrap w:val="0"/>
                  <w:vAlign w:val="center"/>
                </w:tcPr>
                <w:p w14:paraId="0832CF9C">
                  <w:pPr>
                    <w:pStyle w:val="107"/>
                    <w:widowControl/>
                    <w:ind w:firstLine="0" w:firstLineChars="0"/>
                    <w:jc w:val="center"/>
                    <w:rPr>
                      <w:rFonts w:hint="eastAsia" w:ascii="Times New Roman" w:hAnsi="Times New Roman" w:eastAsia="宋体"/>
                      <w:color w:val="auto"/>
                      <w:sz w:val="21"/>
                      <w:szCs w:val="21"/>
                      <w:highlight w:val="none"/>
                    </w:rPr>
                  </w:pPr>
                </w:p>
              </w:tc>
              <w:tc>
                <w:tcPr>
                  <w:tcW w:w="237" w:type="pct"/>
                  <w:vMerge w:val="continue"/>
                  <w:noWrap w:val="0"/>
                  <w:vAlign w:val="center"/>
                </w:tcPr>
                <w:p w14:paraId="65D1244B">
                  <w:pPr>
                    <w:pStyle w:val="107"/>
                    <w:widowControl/>
                    <w:ind w:firstLine="0" w:firstLineChars="0"/>
                    <w:jc w:val="center"/>
                    <w:rPr>
                      <w:rFonts w:hint="eastAsia" w:ascii="Times New Roman" w:hAnsi="Times New Roman" w:eastAsia="宋体"/>
                      <w:color w:val="auto"/>
                      <w:sz w:val="21"/>
                      <w:szCs w:val="21"/>
                      <w:highlight w:val="none"/>
                    </w:rPr>
                  </w:pPr>
                </w:p>
              </w:tc>
              <w:tc>
                <w:tcPr>
                  <w:tcW w:w="394" w:type="pct"/>
                  <w:vMerge w:val="continue"/>
                  <w:noWrap w:val="0"/>
                  <w:vAlign w:val="center"/>
                </w:tcPr>
                <w:p w14:paraId="5F607BD1">
                  <w:pPr>
                    <w:pStyle w:val="107"/>
                    <w:widowControl/>
                    <w:ind w:firstLine="0" w:firstLineChars="0"/>
                    <w:jc w:val="center"/>
                    <w:rPr>
                      <w:rFonts w:hint="eastAsia" w:ascii="Times New Roman" w:hAnsi="Times New Roman" w:eastAsia="宋体" w:cs="Times New Roman"/>
                      <w:color w:val="auto"/>
                      <w:sz w:val="21"/>
                      <w:szCs w:val="21"/>
                      <w:highlight w:val="none"/>
                      <w:lang w:val="en-US" w:eastAsia="zh-CN"/>
                    </w:rPr>
                  </w:pPr>
                </w:p>
              </w:tc>
              <w:tc>
                <w:tcPr>
                  <w:tcW w:w="189" w:type="pct"/>
                  <w:vMerge w:val="continue"/>
                  <w:noWrap w:val="0"/>
                  <w:vAlign w:val="center"/>
                </w:tcPr>
                <w:p w14:paraId="0F50AEF0">
                  <w:pPr>
                    <w:pStyle w:val="107"/>
                    <w:widowControl/>
                    <w:ind w:firstLine="0" w:firstLineChars="0"/>
                    <w:jc w:val="center"/>
                    <w:rPr>
                      <w:rFonts w:hint="eastAsia" w:ascii="Times New Roman" w:hAnsi="Times New Roman" w:eastAsia="宋体"/>
                      <w:color w:val="auto"/>
                      <w:sz w:val="21"/>
                      <w:szCs w:val="21"/>
                      <w:highlight w:val="none"/>
                    </w:rPr>
                  </w:pPr>
                </w:p>
              </w:tc>
              <w:tc>
                <w:tcPr>
                  <w:tcW w:w="280" w:type="pct"/>
                  <w:noWrap w:val="0"/>
                  <w:vAlign w:val="center"/>
                </w:tcPr>
                <w:p w14:paraId="0AFE9DA4">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200</w:t>
                  </w:r>
                </w:p>
              </w:tc>
              <w:tc>
                <w:tcPr>
                  <w:tcW w:w="180" w:type="pct"/>
                  <w:noWrap w:val="0"/>
                  <w:vAlign w:val="center"/>
                </w:tcPr>
                <w:p w14:paraId="7D28D0BC">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w:t>
                  </w:r>
                </w:p>
              </w:tc>
            </w:tr>
            <w:tr w14:paraId="1A61A8C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9" w:hRule="atLeast"/>
                <w:jc w:val="center"/>
              </w:trPr>
              <w:tc>
                <w:tcPr>
                  <w:tcW w:w="154" w:type="pct"/>
                  <w:vMerge w:val="continue"/>
                  <w:noWrap w:val="0"/>
                  <w:vAlign w:val="center"/>
                </w:tcPr>
                <w:p w14:paraId="40A54A77">
                  <w:pPr>
                    <w:pStyle w:val="107"/>
                    <w:widowControl/>
                    <w:ind w:firstLine="0" w:firstLineChars="0"/>
                    <w:jc w:val="center"/>
                    <w:rPr>
                      <w:rFonts w:hint="eastAsia" w:ascii="Times New Roman" w:hAnsi="Times New Roman" w:eastAsia="宋体" w:cs="Times New Roman"/>
                      <w:color w:val="auto"/>
                      <w:sz w:val="21"/>
                      <w:szCs w:val="21"/>
                      <w:highlight w:val="none"/>
                    </w:rPr>
                  </w:pPr>
                </w:p>
              </w:tc>
              <w:tc>
                <w:tcPr>
                  <w:tcW w:w="196" w:type="pct"/>
                  <w:noWrap w:val="0"/>
                  <w:vAlign w:val="center"/>
                </w:tcPr>
                <w:p w14:paraId="09EB679C">
                  <w:pPr>
                    <w:pStyle w:val="98"/>
                    <w:widowControl w:val="0"/>
                    <w:kinsoku/>
                    <w:autoSpaceDE/>
                    <w:autoSpaceDN/>
                    <w:adjustRightInd/>
                    <w:snapToGrid/>
                    <w:ind w:firstLine="0" w:firstLineChars="0"/>
                    <w:jc w:val="center"/>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snapToGrid/>
                      <w:color w:val="auto"/>
                      <w:kern w:val="2"/>
                      <w:szCs w:val="24"/>
                      <w:highlight w:val="none"/>
                      <w:lang w:eastAsia="zh-CN"/>
                    </w:rPr>
                    <w:t>NO</w:t>
                  </w:r>
                  <w:r>
                    <w:rPr>
                      <w:rFonts w:hint="eastAsia" w:ascii="Times New Roman" w:hAnsi="Times New Roman" w:eastAsia="宋体" w:cs="Times New Roman"/>
                      <w:snapToGrid/>
                      <w:color w:val="auto"/>
                      <w:kern w:val="2"/>
                      <w:szCs w:val="24"/>
                      <w:highlight w:val="none"/>
                      <w:vertAlign w:val="subscript"/>
                      <w:lang w:eastAsia="zh-CN"/>
                    </w:rPr>
                    <w:t>X</w:t>
                  </w:r>
                </w:p>
              </w:tc>
              <w:tc>
                <w:tcPr>
                  <w:tcW w:w="197" w:type="pct"/>
                  <w:vMerge w:val="continue"/>
                  <w:noWrap w:val="0"/>
                  <w:vAlign w:val="center"/>
                </w:tcPr>
                <w:p w14:paraId="64CC8088">
                  <w:pPr>
                    <w:pStyle w:val="98"/>
                    <w:widowControl w:val="0"/>
                    <w:kinsoku/>
                    <w:autoSpaceDE/>
                    <w:autoSpaceDN/>
                    <w:adjustRightInd/>
                    <w:snapToGrid/>
                    <w:ind w:firstLine="0" w:firstLineChars="0"/>
                    <w:jc w:val="center"/>
                    <w:textAlignment w:val="auto"/>
                    <w:rPr>
                      <w:rFonts w:hint="eastAsia" w:ascii="Times New Roman" w:hAnsi="Times New Roman" w:eastAsia="宋体" w:cs="Times New Roman"/>
                      <w:snapToGrid/>
                      <w:color w:val="auto"/>
                      <w:kern w:val="2"/>
                      <w:szCs w:val="24"/>
                      <w:highlight w:val="none"/>
                      <w:lang w:eastAsia="zh-CN"/>
                    </w:rPr>
                  </w:pPr>
                </w:p>
              </w:tc>
              <w:tc>
                <w:tcPr>
                  <w:tcW w:w="208" w:type="pct"/>
                  <w:vMerge w:val="continue"/>
                  <w:noWrap w:val="0"/>
                  <w:vAlign w:val="center"/>
                </w:tcPr>
                <w:p w14:paraId="42B74A23">
                  <w:pPr>
                    <w:pStyle w:val="107"/>
                    <w:widowControl/>
                    <w:ind w:firstLine="0" w:firstLineChars="0"/>
                    <w:jc w:val="center"/>
                    <w:rPr>
                      <w:rFonts w:hint="eastAsia" w:ascii="Times New Roman" w:hAnsi="Times New Roman" w:eastAsia="宋体"/>
                      <w:color w:val="auto"/>
                      <w:sz w:val="21"/>
                      <w:szCs w:val="21"/>
                      <w:highlight w:val="none"/>
                    </w:rPr>
                  </w:pPr>
                </w:p>
              </w:tc>
              <w:tc>
                <w:tcPr>
                  <w:tcW w:w="265" w:type="pct"/>
                  <w:noWrap w:val="0"/>
                  <w:vAlign w:val="center"/>
                </w:tcPr>
                <w:p w14:paraId="3F9B6F30">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0.89</w:t>
                  </w:r>
                </w:p>
              </w:tc>
              <w:tc>
                <w:tcPr>
                  <w:tcW w:w="284" w:type="pct"/>
                  <w:noWrap w:val="0"/>
                  <w:vAlign w:val="center"/>
                </w:tcPr>
                <w:p w14:paraId="388BD0D2">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0.23</w:t>
                  </w:r>
                </w:p>
              </w:tc>
              <w:tc>
                <w:tcPr>
                  <w:tcW w:w="260" w:type="pct"/>
                  <w:noWrap w:val="0"/>
                  <w:vAlign w:val="center"/>
                </w:tcPr>
                <w:p w14:paraId="1D247F2E">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76.7</w:t>
                  </w:r>
                </w:p>
              </w:tc>
              <w:tc>
                <w:tcPr>
                  <w:tcW w:w="338" w:type="pct"/>
                  <w:vMerge w:val="continue"/>
                  <w:noWrap w:val="0"/>
                  <w:vAlign w:val="center"/>
                </w:tcPr>
                <w:p w14:paraId="7A01A347">
                  <w:pPr>
                    <w:pStyle w:val="107"/>
                    <w:widowControl/>
                    <w:ind w:firstLine="0" w:firstLineChars="0"/>
                    <w:jc w:val="center"/>
                    <w:rPr>
                      <w:rFonts w:hint="eastAsia" w:ascii="Times New Roman" w:hAnsi="Times New Roman" w:eastAsia="宋体"/>
                      <w:color w:val="auto"/>
                      <w:sz w:val="21"/>
                      <w:szCs w:val="21"/>
                      <w:highlight w:val="none"/>
                    </w:rPr>
                  </w:pPr>
                </w:p>
              </w:tc>
              <w:tc>
                <w:tcPr>
                  <w:tcW w:w="323" w:type="pct"/>
                  <w:noWrap w:val="0"/>
                  <w:vAlign w:val="center"/>
                </w:tcPr>
                <w:p w14:paraId="520E4B6E">
                  <w:pPr>
                    <w:pStyle w:val="107"/>
                    <w:widowControl/>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w:t>
                  </w:r>
                </w:p>
              </w:tc>
              <w:tc>
                <w:tcPr>
                  <w:tcW w:w="329" w:type="pct"/>
                  <w:vMerge w:val="continue"/>
                  <w:noWrap w:val="0"/>
                  <w:vAlign w:val="center"/>
                </w:tcPr>
                <w:p w14:paraId="2FAB76D8">
                  <w:pPr>
                    <w:pStyle w:val="107"/>
                    <w:widowControl/>
                    <w:ind w:firstLine="0" w:firstLineChars="0"/>
                    <w:jc w:val="center"/>
                    <w:rPr>
                      <w:rFonts w:hint="eastAsia" w:ascii="Times New Roman" w:hAnsi="Times New Roman" w:eastAsia="宋体"/>
                      <w:color w:val="auto"/>
                      <w:sz w:val="21"/>
                      <w:szCs w:val="21"/>
                      <w:highlight w:val="none"/>
                    </w:rPr>
                  </w:pPr>
                </w:p>
              </w:tc>
              <w:tc>
                <w:tcPr>
                  <w:tcW w:w="266" w:type="pct"/>
                  <w:noWrap w:val="0"/>
                  <w:vAlign w:val="center"/>
                </w:tcPr>
                <w:p w14:paraId="3CD41E88">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0.89</w:t>
                  </w:r>
                </w:p>
              </w:tc>
              <w:tc>
                <w:tcPr>
                  <w:tcW w:w="328" w:type="pct"/>
                  <w:noWrap w:val="0"/>
                  <w:vAlign w:val="center"/>
                </w:tcPr>
                <w:p w14:paraId="2B05028A">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0.23</w:t>
                  </w:r>
                </w:p>
              </w:tc>
              <w:tc>
                <w:tcPr>
                  <w:tcW w:w="257" w:type="pct"/>
                  <w:noWrap w:val="0"/>
                  <w:vAlign w:val="center"/>
                </w:tcPr>
                <w:p w14:paraId="72B980BC">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76.7</w:t>
                  </w:r>
                </w:p>
              </w:tc>
              <w:tc>
                <w:tcPr>
                  <w:tcW w:w="307" w:type="pct"/>
                  <w:vMerge w:val="continue"/>
                  <w:noWrap w:val="0"/>
                  <w:vAlign w:val="center"/>
                </w:tcPr>
                <w:p w14:paraId="26B7BC46">
                  <w:pPr>
                    <w:pStyle w:val="107"/>
                    <w:widowControl/>
                    <w:ind w:firstLine="0" w:firstLineChars="0"/>
                    <w:jc w:val="center"/>
                    <w:rPr>
                      <w:rFonts w:hint="eastAsia" w:ascii="Times New Roman" w:hAnsi="Times New Roman" w:eastAsia="宋体"/>
                      <w:color w:val="auto"/>
                      <w:sz w:val="21"/>
                      <w:szCs w:val="21"/>
                      <w:highlight w:val="none"/>
                    </w:rPr>
                  </w:pPr>
                </w:p>
              </w:tc>
              <w:tc>
                <w:tcPr>
                  <w:tcW w:w="237" w:type="pct"/>
                  <w:vMerge w:val="continue"/>
                  <w:noWrap w:val="0"/>
                  <w:vAlign w:val="center"/>
                </w:tcPr>
                <w:p w14:paraId="1ED1AB35">
                  <w:pPr>
                    <w:pStyle w:val="107"/>
                    <w:widowControl/>
                    <w:ind w:firstLine="0" w:firstLineChars="0"/>
                    <w:jc w:val="center"/>
                    <w:rPr>
                      <w:rFonts w:hint="eastAsia" w:ascii="Times New Roman" w:hAnsi="Times New Roman" w:eastAsia="宋体"/>
                      <w:color w:val="auto"/>
                      <w:sz w:val="21"/>
                      <w:szCs w:val="21"/>
                      <w:highlight w:val="none"/>
                    </w:rPr>
                  </w:pPr>
                </w:p>
              </w:tc>
              <w:tc>
                <w:tcPr>
                  <w:tcW w:w="394" w:type="pct"/>
                  <w:vMerge w:val="continue"/>
                  <w:noWrap w:val="0"/>
                  <w:vAlign w:val="center"/>
                </w:tcPr>
                <w:p w14:paraId="5A0CAAE0">
                  <w:pPr>
                    <w:pStyle w:val="107"/>
                    <w:widowControl/>
                    <w:ind w:firstLine="0" w:firstLineChars="0"/>
                    <w:jc w:val="center"/>
                    <w:rPr>
                      <w:rFonts w:hint="eastAsia" w:ascii="Times New Roman" w:hAnsi="Times New Roman" w:eastAsia="宋体" w:cs="Times New Roman"/>
                      <w:color w:val="auto"/>
                      <w:sz w:val="21"/>
                      <w:szCs w:val="21"/>
                      <w:highlight w:val="none"/>
                      <w:lang w:val="en-US" w:eastAsia="zh-CN"/>
                    </w:rPr>
                  </w:pPr>
                </w:p>
              </w:tc>
              <w:tc>
                <w:tcPr>
                  <w:tcW w:w="189" w:type="pct"/>
                  <w:vMerge w:val="continue"/>
                  <w:noWrap w:val="0"/>
                  <w:vAlign w:val="center"/>
                </w:tcPr>
                <w:p w14:paraId="6F49E98A">
                  <w:pPr>
                    <w:pStyle w:val="107"/>
                    <w:widowControl/>
                    <w:ind w:firstLine="0" w:firstLineChars="0"/>
                    <w:jc w:val="center"/>
                    <w:rPr>
                      <w:rFonts w:hint="eastAsia" w:ascii="Times New Roman" w:hAnsi="Times New Roman" w:eastAsia="宋体"/>
                      <w:color w:val="auto"/>
                      <w:sz w:val="21"/>
                      <w:szCs w:val="21"/>
                      <w:highlight w:val="none"/>
                    </w:rPr>
                  </w:pPr>
                </w:p>
              </w:tc>
              <w:tc>
                <w:tcPr>
                  <w:tcW w:w="280" w:type="pct"/>
                  <w:noWrap w:val="0"/>
                  <w:vAlign w:val="center"/>
                </w:tcPr>
                <w:p w14:paraId="2535C369">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300</w:t>
                  </w:r>
                </w:p>
              </w:tc>
              <w:tc>
                <w:tcPr>
                  <w:tcW w:w="180" w:type="pct"/>
                  <w:noWrap w:val="0"/>
                  <w:vAlign w:val="center"/>
                </w:tcPr>
                <w:p w14:paraId="6FD9D0F6">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w:t>
                  </w:r>
                </w:p>
              </w:tc>
            </w:tr>
            <w:tr w14:paraId="680EEC1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9" w:hRule="atLeast"/>
                <w:jc w:val="center"/>
              </w:trPr>
              <w:tc>
                <w:tcPr>
                  <w:tcW w:w="154" w:type="pct"/>
                  <w:vMerge w:val="continue"/>
                  <w:noWrap w:val="0"/>
                  <w:vAlign w:val="center"/>
                </w:tcPr>
                <w:p w14:paraId="55F2EC50">
                  <w:pPr>
                    <w:pStyle w:val="107"/>
                    <w:widowControl/>
                    <w:ind w:firstLine="0" w:firstLineChars="0"/>
                    <w:jc w:val="center"/>
                    <w:rPr>
                      <w:rFonts w:hint="eastAsia" w:ascii="Times New Roman" w:hAnsi="Times New Roman" w:eastAsia="宋体" w:cs="Times New Roman"/>
                      <w:color w:val="auto"/>
                      <w:sz w:val="21"/>
                      <w:szCs w:val="21"/>
                      <w:highlight w:val="none"/>
                    </w:rPr>
                  </w:pPr>
                </w:p>
              </w:tc>
              <w:tc>
                <w:tcPr>
                  <w:tcW w:w="196" w:type="pct"/>
                  <w:noWrap w:val="0"/>
                  <w:vAlign w:val="center"/>
                </w:tcPr>
                <w:p w14:paraId="645F412F">
                  <w:pPr>
                    <w:pStyle w:val="98"/>
                    <w:widowControl w:val="0"/>
                    <w:kinsoku/>
                    <w:autoSpaceDE/>
                    <w:autoSpaceDN/>
                    <w:adjustRightInd/>
                    <w:snapToGrid/>
                    <w:ind w:firstLine="0" w:firstLineChars="0"/>
                    <w:jc w:val="center"/>
                    <w:textAlignment w:val="auto"/>
                    <w:rPr>
                      <w:rFonts w:hint="eastAsia" w:ascii="Times New Roman" w:hAnsi="Times New Roman" w:eastAsia="宋体" w:cs="Times New Roman"/>
                      <w:snapToGrid/>
                      <w:color w:val="auto"/>
                      <w:kern w:val="2"/>
                      <w:szCs w:val="24"/>
                      <w:highlight w:val="none"/>
                      <w:lang w:eastAsia="zh-CN"/>
                    </w:rPr>
                  </w:pPr>
                  <w:r>
                    <w:rPr>
                      <w:rFonts w:hint="eastAsia" w:ascii="Times New Roman" w:hAnsi="Times New Roman" w:eastAsia="宋体" w:cs="Times New Roman"/>
                      <w:snapToGrid/>
                      <w:color w:val="auto"/>
                      <w:kern w:val="2"/>
                      <w:szCs w:val="24"/>
                      <w:highlight w:val="none"/>
                      <w:lang w:eastAsia="zh-CN"/>
                    </w:rPr>
                    <w:t>颗粒物</w:t>
                  </w:r>
                </w:p>
              </w:tc>
              <w:tc>
                <w:tcPr>
                  <w:tcW w:w="197" w:type="pct"/>
                  <w:vMerge w:val="restart"/>
                  <w:noWrap w:val="0"/>
                  <w:vAlign w:val="center"/>
                </w:tcPr>
                <w:p w14:paraId="22459FA1">
                  <w:pPr>
                    <w:pStyle w:val="98"/>
                    <w:widowControl w:val="0"/>
                    <w:kinsoku/>
                    <w:autoSpaceDE/>
                    <w:autoSpaceDN/>
                    <w:adjustRightInd/>
                    <w:snapToGrid/>
                    <w:ind w:firstLine="0" w:firstLineChars="0"/>
                    <w:jc w:val="center"/>
                    <w:textAlignment w:val="auto"/>
                    <w:rPr>
                      <w:rFonts w:hint="default" w:ascii="Times New Roman" w:hAnsi="Times New Roman" w:eastAsia="宋体" w:cs="Times New Roman"/>
                      <w:snapToGrid/>
                      <w:color w:val="auto"/>
                      <w:kern w:val="2"/>
                      <w:szCs w:val="24"/>
                      <w:highlight w:val="none"/>
                      <w:lang w:val="en-US" w:eastAsia="zh-CN"/>
                    </w:rPr>
                  </w:pPr>
                  <w:r>
                    <w:rPr>
                      <w:rFonts w:hint="eastAsia" w:cs="Times New Roman"/>
                      <w:snapToGrid/>
                      <w:color w:val="auto"/>
                      <w:kern w:val="2"/>
                      <w:szCs w:val="24"/>
                      <w:highlight w:val="none"/>
                      <w:lang w:val="en-US" w:eastAsia="zh-CN"/>
                    </w:rPr>
                    <w:t>二期</w:t>
                  </w:r>
                </w:p>
              </w:tc>
              <w:tc>
                <w:tcPr>
                  <w:tcW w:w="208" w:type="pct"/>
                  <w:vMerge w:val="restart"/>
                  <w:noWrap w:val="0"/>
                  <w:vAlign w:val="center"/>
                </w:tcPr>
                <w:p w14:paraId="364F60FA">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5000</w:t>
                  </w:r>
                </w:p>
              </w:tc>
              <w:tc>
                <w:tcPr>
                  <w:tcW w:w="265" w:type="pct"/>
                  <w:noWrap w:val="0"/>
                  <w:vAlign w:val="center"/>
                </w:tcPr>
                <w:p w14:paraId="738CD9C2">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8.764</w:t>
                  </w:r>
                </w:p>
              </w:tc>
              <w:tc>
                <w:tcPr>
                  <w:tcW w:w="284" w:type="pct"/>
                  <w:noWrap w:val="0"/>
                  <w:vAlign w:val="center"/>
                </w:tcPr>
                <w:p w14:paraId="75FF545C">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2.28</w:t>
                  </w:r>
                </w:p>
              </w:tc>
              <w:tc>
                <w:tcPr>
                  <w:tcW w:w="260" w:type="pct"/>
                  <w:noWrap w:val="0"/>
                  <w:vAlign w:val="center"/>
                </w:tcPr>
                <w:p w14:paraId="06E32BB4">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456</w:t>
                  </w:r>
                </w:p>
              </w:tc>
              <w:tc>
                <w:tcPr>
                  <w:tcW w:w="338" w:type="pct"/>
                  <w:vMerge w:val="restart"/>
                  <w:noWrap w:val="0"/>
                  <w:vAlign w:val="center"/>
                </w:tcPr>
                <w:p w14:paraId="4DA7E97E">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布袋除尘器</w:t>
                  </w:r>
                </w:p>
              </w:tc>
              <w:tc>
                <w:tcPr>
                  <w:tcW w:w="323" w:type="pct"/>
                  <w:noWrap w:val="0"/>
                  <w:vAlign w:val="center"/>
                </w:tcPr>
                <w:p w14:paraId="5CF46111">
                  <w:pPr>
                    <w:pStyle w:val="107"/>
                    <w:widowControl/>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99.7</w:t>
                  </w:r>
                  <w:r>
                    <w:rPr>
                      <w:rFonts w:hint="eastAsia" w:ascii="Times New Roman" w:hAnsi="Times New Roman" w:eastAsia="宋体"/>
                      <w:color w:val="auto"/>
                      <w:sz w:val="21"/>
                      <w:szCs w:val="21"/>
                      <w:highlight w:val="none"/>
                    </w:rPr>
                    <w:t>%</w:t>
                  </w:r>
                </w:p>
              </w:tc>
              <w:tc>
                <w:tcPr>
                  <w:tcW w:w="329" w:type="pct"/>
                  <w:vMerge w:val="restart"/>
                  <w:noWrap w:val="0"/>
                  <w:vAlign w:val="center"/>
                </w:tcPr>
                <w:p w14:paraId="49860DC0">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是</w:t>
                  </w:r>
                </w:p>
              </w:tc>
              <w:tc>
                <w:tcPr>
                  <w:tcW w:w="266" w:type="pct"/>
                  <w:noWrap w:val="0"/>
                  <w:vAlign w:val="center"/>
                </w:tcPr>
                <w:p w14:paraId="3BCC23C4">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0.026</w:t>
                  </w:r>
                </w:p>
              </w:tc>
              <w:tc>
                <w:tcPr>
                  <w:tcW w:w="328" w:type="pct"/>
                  <w:noWrap w:val="0"/>
                  <w:vAlign w:val="center"/>
                </w:tcPr>
                <w:p w14:paraId="7FCF63A9">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0.007</w:t>
                  </w:r>
                </w:p>
              </w:tc>
              <w:tc>
                <w:tcPr>
                  <w:tcW w:w="257" w:type="pct"/>
                  <w:noWrap w:val="0"/>
                  <w:vAlign w:val="center"/>
                </w:tcPr>
                <w:p w14:paraId="51B97901">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1.4</w:t>
                  </w:r>
                </w:p>
              </w:tc>
              <w:tc>
                <w:tcPr>
                  <w:tcW w:w="307" w:type="pct"/>
                  <w:vMerge w:val="restart"/>
                  <w:noWrap w:val="0"/>
                  <w:vAlign w:val="center"/>
                </w:tcPr>
                <w:p w14:paraId="415DA71A">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H=2</w:t>
                  </w:r>
                  <w:r>
                    <w:rPr>
                      <w:rFonts w:hint="eastAsia" w:ascii="Times New Roman" w:hAnsi="Times New Roman" w:eastAsia="宋体"/>
                      <w:color w:val="auto"/>
                      <w:sz w:val="21"/>
                      <w:szCs w:val="21"/>
                      <w:highlight w:val="none"/>
                      <w:lang w:val="en-US" w:eastAsia="zh-CN"/>
                    </w:rPr>
                    <w:t>0</w:t>
                  </w:r>
                  <w:r>
                    <w:rPr>
                      <w:rFonts w:hint="eastAsia" w:ascii="Times New Roman" w:hAnsi="Times New Roman" w:eastAsia="宋体"/>
                      <w:color w:val="auto"/>
                      <w:sz w:val="21"/>
                      <w:szCs w:val="21"/>
                      <w:highlight w:val="none"/>
                    </w:rPr>
                    <w:t>m、內径</w:t>
                  </w:r>
                  <w:r>
                    <w:rPr>
                      <w:rFonts w:hint="eastAsia" w:ascii="Times New Roman" w:hAnsi="Times New Roman" w:eastAsia="宋体"/>
                      <w:color w:val="auto"/>
                      <w:sz w:val="21"/>
                      <w:szCs w:val="21"/>
                      <w:highlight w:val="none"/>
                      <w:lang w:val="en-US" w:eastAsia="zh-CN"/>
                    </w:rPr>
                    <w:t>1.4</w:t>
                  </w:r>
                  <w:r>
                    <w:rPr>
                      <w:rFonts w:hint="eastAsia" w:ascii="Times New Roman" w:hAnsi="Times New Roman" w:eastAsia="宋体"/>
                      <w:color w:val="auto"/>
                      <w:sz w:val="21"/>
                      <w:szCs w:val="21"/>
                      <w:highlight w:val="none"/>
                    </w:rPr>
                    <w:t>m、温度25</w:t>
                  </w:r>
                  <w:r>
                    <w:rPr>
                      <w:rFonts w:hint="eastAsia" w:ascii="宋体" w:hAnsi="宋体" w:eastAsia="宋体" w:cs="宋体"/>
                      <w:color w:val="auto"/>
                      <w:sz w:val="21"/>
                      <w:szCs w:val="21"/>
                      <w:highlight w:val="none"/>
                    </w:rPr>
                    <w:t>℃</w:t>
                  </w:r>
                </w:p>
              </w:tc>
              <w:tc>
                <w:tcPr>
                  <w:tcW w:w="237" w:type="pct"/>
                  <w:vMerge w:val="restart"/>
                  <w:noWrap w:val="0"/>
                  <w:vAlign w:val="center"/>
                </w:tcPr>
                <w:p w14:paraId="46A6BE6B">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DA00</w:t>
                  </w:r>
                  <w:r>
                    <w:rPr>
                      <w:rFonts w:hint="eastAsia" w:ascii="Times New Roman" w:hAnsi="Times New Roman" w:eastAsia="宋体"/>
                      <w:color w:val="auto"/>
                      <w:sz w:val="21"/>
                      <w:szCs w:val="21"/>
                      <w:highlight w:val="none"/>
                      <w:lang w:val="en-US" w:eastAsia="zh-CN"/>
                    </w:rPr>
                    <w:t>4</w:t>
                  </w:r>
                  <w:r>
                    <w:rPr>
                      <w:rFonts w:hint="eastAsia" w:ascii="Times New Roman" w:hAnsi="Times New Roman" w:eastAsia="宋体"/>
                      <w:color w:val="auto"/>
                      <w:sz w:val="21"/>
                      <w:szCs w:val="21"/>
                      <w:highlight w:val="none"/>
                    </w:rPr>
                    <w:t>一般排放口</w:t>
                  </w:r>
                </w:p>
              </w:tc>
              <w:tc>
                <w:tcPr>
                  <w:tcW w:w="394" w:type="pct"/>
                  <w:vMerge w:val="restart"/>
                  <w:noWrap w:val="0"/>
                  <w:vAlign w:val="center"/>
                </w:tcPr>
                <w:p w14:paraId="30D2CEBD">
                  <w:pPr>
                    <w:pStyle w:val="107"/>
                    <w:widowControl/>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119.635128 </w:t>
                  </w:r>
                </w:p>
                <w:p w14:paraId="00B9F950">
                  <w:pPr>
                    <w:pStyle w:val="107"/>
                    <w:widowControl/>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26.495571  </w:t>
                  </w:r>
                </w:p>
              </w:tc>
              <w:tc>
                <w:tcPr>
                  <w:tcW w:w="189" w:type="pct"/>
                  <w:vMerge w:val="restart"/>
                  <w:noWrap w:val="0"/>
                  <w:vAlign w:val="center"/>
                </w:tcPr>
                <w:p w14:paraId="4D7BC7F5">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3840</w:t>
                  </w:r>
                </w:p>
              </w:tc>
              <w:tc>
                <w:tcPr>
                  <w:tcW w:w="280" w:type="pct"/>
                  <w:noWrap w:val="0"/>
                  <w:vAlign w:val="center"/>
                </w:tcPr>
                <w:p w14:paraId="7D72C178">
                  <w:pPr>
                    <w:pStyle w:val="107"/>
                    <w:widowControl/>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200</w:t>
                  </w:r>
                </w:p>
              </w:tc>
              <w:tc>
                <w:tcPr>
                  <w:tcW w:w="180" w:type="pct"/>
                  <w:noWrap w:val="0"/>
                  <w:vAlign w:val="center"/>
                </w:tcPr>
                <w:p w14:paraId="7555DBF9">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w:t>
                  </w:r>
                </w:p>
              </w:tc>
            </w:tr>
            <w:tr w14:paraId="4C49940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9" w:hRule="atLeast"/>
                <w:jc w:val="center"/>
              </w:trPr>
              <w:tc>
                <w:tcPr>
                  <w:tcW w:w="154" w:type="pct"/>
                  <w:vMerge w:val="continue"/>
                  <w:noWrap w:val="0"/>
                  <w:vAlign w:val="center"/>
                </w:tcPr>
                <w:p w14:paraId="04280B03">
                  <w:pPr>
                    <w:pStyle w:val="107"/>
                    <w:widowControl/>
                    <w:ind w:firstLine="0" w:firstLineChars="0"/>
                    <w:jc w:val="center"/>
                    <w:rPr>
                      <w:rFonts w:hint="eastAsia" w:ascii="Times New Roman" w:hAnsi="Times New Roman" w:eastAsia="宋体" w:cs="Times New Roman"/>
                      <w:color w:val="auto"/>
                      <w:sz w:val="21"/>
                      <w:szCs w:val="21"/>
                      <w:highlight w:val="none"/>
                    </w:rPr>
                  </w:pPr>
                </w:p>
              </w:tc>
              <w:tc>
                <w:tcPr>
                  <w:tcW w:w="196" w:type="pct"/>
                  <w:noWrap w:val="0"/>
                  <w:vAlign w:val="center"/>
                </w:tcPr>
                <w:p w14:paraId="1335E02E">
                  <w:pPr>
                    <w:pStyle w:val="98"/>
                    <w:widowControl w:val="0"/>
                    <w:kinsoku/>
                    <w:autoSpaceDE/>
                    <w:autoSpaceDN/>
                    <w:adjustRightInd/>
                    <w:snapToGrid/>
                    <w:ind w:firstLine="0" w:firstLineChars="0"/>
                    <w:jc w:val="center"/>
                    <w:textAlignment w:val="auto"/>
                    <w:rPr>
                      <w:rFonts w:hint="eastAsia" w:ascii="Times New Roman" w:hAnsi="Times New Roman" w:eastAsia="宋体" w:cs="Times New Roman"/>
                      <w:snapToGrid/>
                      <w:color w:val="auto"/>
                      <w:kern w:val="2"/>
                      <w:szCs w:val="24"/>
                      <w:highlight w:val="none"/>
                      <w:lang w:eastAsia="zh-CN"/>
                    </w:rPr>
                  </w:pPr>
                  <w:r>
                    <w:rPr>
                      <w:rFonts w:hint="eastAsia" w:ascii="Times New Roman" w:hAnsi="Times New Roman" w:eastAsia="宋体" w:cs="Times New Roman"/>
                      <w:snapToGrid/>
                      <w:color w:val="auto"/>
                      <w:kern w:val="2"/>
                      <w:szCs w:val="24"/>
                      <w:highlight w:val="none"/>
                      <w:lang w:eastAsia="zh-CN"/>
                    </w:rPr>
                    <w:t>SO</w:t>
                  </w:r>
                  <w:r>
                    <w:rPr>
                      <w:rFonts w:hint="eastAsia" w:ascii="Times New Roman" w:hAnsi="Times New Roman" w:eastAsia="宋体" w:cs="Times New Roman"/>
                      <w:snapToGrid/>
                      <w:color w:val="auto"/>
                      <w:kern w:val="2"/>
                      <w:szCs w:val="24"/>
                      <w:highlight w:val="none"/>
                      <w:vertAlign w:val="subscript"/>
                      <w:lang w:eastAsia="zh-CN"/>
                    </w:rPr>
                    <w:t>2</w:t>
                  </w:r>
                </w:p>
              </w:tc>
              <w:tc>
                <w:tcPr>
                  <w:tcW w:w="197" w:type="pct"/>
                  <w:vMerge w:val="continue"/>
                  <w:noWrap w:val="0"/>
                  <w:vAlign w:val="center"/>
                </w:tcPr>
                <w:p w14:paraId="417AC03C">
                  <w:pPr>
                    <w:pStyle w:val="98"/>
                    <w:widowControl w:val="0"/>
                    <w:kinsoku/>
                    <w:autoSpaceDE/>
                    <w:autoSpaceDN/>
                    <w:adjustRightInd/>
                    <w:snapToGrid/>
                    <w:ind w:firstLine="0" w:firstLineChars="0"/>
                    <w:jc w:val="center"/>
                    <w:textAlignment w:val="auto"/>
                    <w:rPr>
                      <w:rFonts w:hint="eastAsia" w:ascii="Times New Roman" w:hAnsi="Times New Roman" w:eastAsia="宋体" w:cs="Times New Roman"/>
                      <w:snapToGrid/>
                      <w:color w:val="auto"/>
                      <w:kern w:val="2"/>
                      <w:szCs w:val="24"/>
                      <w:highlight w:val="none"/>
                      <w:lang w:eastAsia="zh-CN"/>
                    </w:rPr>
                  </w:pPr>
                </w:p>
              </w:tc>
              <w:tc>
                <w:tcPr>
                  <w:tcW w:w="208" w:type="pct"/>
                  <w:vMerge w:val="continue"/>
                  <w:noWrap w:val="0"/>
                  <w:vAlign w:val="center"/>
                </w:tcPr>
                <w:p w14:paraId="649A1057">
                  <w:pPr>
                    <w:pStyle w:val="107"/>
                    <w:widowControl/>
                    <w:ind w:firstLine="0" w:firstLineChars="0"/>
                    <w:jc w:val="center"/>
                    <w:rPr>
                      <w:rFonts w:hint="eastAsia" w:ascii="Times New Roman" w:hAnsi="Times New Roman" w:eastAsia="宋体"/>
                      <w:color w:val="auto"/>
                      <w:sz w:val="21"/>
                      <w:szCs w:val="21"/>
                      <w:highlight w:val="none"/>
                    </w:rPr>
                  </w:pPr>
                </w:p>
              </w:tc>
              <w:tc>
                <w:tcPr>
                  <w:tcW w:w="265" w:type="pct"/>
                  <w:noWrap w:val="0"/>
                  <w:vAlign w:val="center"/>
                </w:tcPr>
                <w:p w14:paraId="3ED96B12">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0.12</w:t>
                  </w:r>
                </w:p>
              </w:tc>
              <w:tc>
                <w:tcPr>
                  <w:tcW w:w="284" w:type="pct"/>
                  <w:noWrap w:val="0"/>
                  <w:vAlign w:val="center"/>
                </w:tcPr>
                <w:p w14:paraId="25B7DECC">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0.031</w:t>
                  </w:r>
                </w:p>
              </w:tc>
              <w:tc>
                <w:tcPr>
                  <w:tcW w:w="260" w:type="pct"/>
                  <w:noWrap w:val="0"/>
                  <w:vAlign w:val="center"/>
                </w:tcPr>
                <w:p w14:paraId="56ECD275">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6.2</w:t>
                  </w:r>
                </w:p>
              </w:tc>
              <w:tc>
                <w:tcPr>
                  <w:tcW w:w="338" w:type="pct"/>
                  <w:vMerge w:val="continue"/>
                  <w:noWrap w:val="0"/>
                  <w:vAlign w:val="center"/>
                </w:tcPr>
                <w:p w14:paraId="0CF240BA">
                  <w:pPr>
                    <w:pStyle w:val="107"/>
                    <w:widowControl/>
                    <w:ind w:firstLine="0" w:firstLineChars="0"/>
                    <w:jc w:val="center"/>
                    <w:rPr>
                      <w:rFonts w:hint="eastAsia" w:ascii="Times New Roman" w:hAnsi="Times New Roman" w:eastAsia="宋体"/>
                      <w:color w:val="auto"/>
                      <w:sz w:val="21"/>
                      <w:szCs w:val="21"/>
                      <w:highlight w:val="none"/>
                    </w:rPr>
                  </w:pPr>
                </w:p>
              </w:tc>
              <w:tc>
                <w:tcPr>
                  <w:tcW w:w="323" w:type="pct"/>
                  <w:noWrap w:val="0"/>
                  <w:vAlign w:val="center"/>
                </w:tcPr>
                <w:p w14:paraId="6B2A2BE1">
                  <w:pPr>
                    <w:pStyle w:val="107"/>
                    <w:widowControl/>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w:t>
                  </w:r>
                </w:p>
              </w:tc>
              <w:tc>
                <w:tcPr>
                  <w:tcW w:w="329" w:type="pct"/>
                  <w:vMerge w:val="continue"/>
                  <w:noWrap w:val="0"/>
                  <w:vAlign w:val="center"/>
                </w:tcPr>
                <w:p w14:paraId="6FAD2BE2">
                  <w:pPr>
                    <w:pStyle w:val="107"/>
                    <w:widowControl/>
                    <w:ind w:firstLine="0" w:firstLineChars="0"/>
                    <w:jc w:val="center"/>
                    <w:rPr>
                      <w:rFonts w:hint="eastAsia" w:ascii="Times New Roman" w:hAnsi="Times New Roman" w:eastAsia="宋体"/>
                      <w:color w:val="auto"/>
                      <w:sz w:val="21"/>
                      <w:szCs w:val="21"/>
                      <w:highlight w:val="none"/>
                    </w:rPr>
                  </w:pPr>
                </w:p>
              </w:tc>
              <w:tc>
                <w:tcPr>
                  <w:tcW w:w="266" w:type="pct"/>
                  <w:noWrap w:val="0"/>
                  <w:vAlign w:val="center"/>
                </w:tcPr>
                <w:p w14:paraId="29D95078">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0.12</w:t>
                  </w:r>
                </w:p>
              </w:tc>
              <w:tc>
                <w:tcPr>
                  <w:tcW w:w="328" w:type="pct"/>
                  <w:noWrap w:val="0"/>
                  <w:vAlign w:val="center"/>
                </w:tcPr>
                <w:p w14:paraId="0F50EC0C">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0.013</w:t>
                  </w:r>
                </w:p>
              </w:tc>
              <w:tc>
                <w:tcPr>
                  <w:tcW w:w="257" w:type="pct"/>
                  <w:noWrap w:val="0"/>
                  <w:vAlign w:val="center"/>
                </w:tcPr>
                <w:p w14:paraId="5BF952C3">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6.2</w:t>
                  </w:r>
                </w:p>
              </w:tc>
              <w:tc>
                <w:tcPr>
                  <w:tcW w:w="307" w:type="pct"/>
                  <w:vMerge w:val="continue"/>
                  <w:noWrap w:val="0"/>
                  <w:vAlign w:val="center"/>
                </w:tcPr>
                <w:p w14:paraId="12DFEF27">
                  <w:pPr>
                    <w:pStyle w:val="107"/>
                    <w:widowControl/>
                    <w:ind w:firstLine="0" w:firstLineChars="0"/>
                    <w:jc w:val="center"/>
                    <w:rPr>
                      <w:rFonts w:hint="eastAsia" w:ascii="Times New Roman" w:hAnsi="Times New Roman" w:eastAsia="宋体"/>
                      <w:color w:val="auto"/>
                      <w:sz w:val="21"/>
                      <w:szCs w:val="21"/>
                      <w:highlight w:val="none"/>
                    </w:rPr>
                  </w:pPr>
                </w:p>
              </w:tc>
              <w:tc>
                <w:tcPr>
                  <w:tcW w:w="237" w:type="pct"/>
                  <w:vMerge w:val="continue"/>
                  <w:noWrap w:val="0"/>
                  <w:vAlign w:val="center"/>
                </w:tcPr>
                <w:p w14:paraId="5656EAB2">
                  <w:pPr>
                    <w:pStyle w:val="107"/>
                    <w:widowControl/>
                    <w:ind w:firstLine="0" w:firstLineChars="0"/>
                    <w:jc w:val="center"/>
                    <w:rPr>
                      <w:rFonts w:hint="eastAsia" w:ascii="Times New Roman" w:hAnsi="Times New Roman" w:eastAsia="宋体"/>
                      <w:color w:val="auto"/>
                      <w:sz w:val="21"/>
                      <w:szCs w:val="21"/>
                      <w:highlight w:val="none"/>
                    </w:rPr>
                  </w:pPr>
                </w:p>
              </w:tc>
              <w:tc>
                <w:tcPr>
                  <w:tcW w:w="394" w:type="pct"/>
                  <w:vMerge w:val="continue"/>
                  <w:noWrap w:val="0"/>
                  <w:vAlign w:val="center"/>
                </w:tcPr>
                <w:p w14:paraId="5CCE3848">
                  <w:pPr>
                    <w:pStyle w:val="107"/>
                    <w:widowControl/>
                    <w:ind w:firstLine="0" w:firstLineChars="0"/>
                    <w:jc w:val="center"/>
                    <w:rPr>
                      <w:rFonts w:hint="eastAsia" w:ascii="Times New Roman" w:hAnsi="Times New Roman" w:eastAsia="宋体" w:cs="Times New Roman"/>
                      <w:color w:val="auto"/>
                      <w:sz w:val="21"/>
                      <w:szCs w:val="21"/>
                      <w:highlight w:val="none"/>
                      <w:lang w:val="en-US" w:eastAsia="zh-CN"/>
                    </w:rPr>
                  </w:pPr>
                </w:p>
              </w:tc>
              <w:tc>
                <w:tcPr>
                  <w:tcW w:w="189" w:type="pct"/>
                  <w:vMerge w:val="continue"/>
                  <w:noWrap w:val="0"/>
                  <w:vAlign w:val="center"/>
                </w:tcPr>
                <w:p w14:paraId="7B957E08">
                  <w:pPr>
                    <w:pStyle w:val="107"/>
                    <w:widowControl/>
                    <w:ind w:firstLine="0" w:firstLineChars="0"/>
                    <w:jc w:val="center"/>
                    <w:rPr>
                      <w:rFonts w:hint="eastAsia" w:ascii="Times New Roman" w:hAnsi="Times New Roman" w:eastAsia="宋体"/>
                      <w:color w:val="auto"/>
                      <w:sz w:val="21"/>
                      <w:szCs w:val="21"/>
                      <w:highlight w:val="none"/>
                    </w:rPr>
                  </w:pPr>
                </w:p>
              </w:tc>
              <w:tc>
                <w:tcPr>
                  <w:tcW w:w="280" w:type="pct"/>
                  <w:noWrap w:val="0"/>
                  <w:vAlign w:val="center"/>
                </w:tcPr>
                <w:p w14:paraId="31C7091D">
                  <w:pPr>
                    <w:pStyle w:val="107"/>
                    <w:widowControl/>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200</w:t>
                  </w:r>
                </w:p>
              </w:tc>
              <w:tc>
                <w:tcPr>
                  <w:tcW w:w="180" w:type="pct"/>
                  <w:noWrap w:val="0"/>
                  <w:vAlign w:val="center"/>
                </w:tcPr>
                <w:p w14:paraId="00B1F06B">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w:t>
                  </w:r>
                </w:p>
              </w:tc>
            </w:tr>
            <w:tr w14:paraId="022FF82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9" w:hRule="atLeast"/>
                <w:jc w:val="center"/>
              </w:trPr>
              <w:tc>
                <w:tcPr>
                  <w:tcW w:w="154" w:type="pct"/>
                  <w:vMerge w:val="continue"/>
                  <w:noWrap w:val="0"/>
                  <w:vAlign w:val="center"/>
                </w:tcPr>
                <w:p w14:paraId="6C39B7EE">
                  <w:pPr>
                    <w:pStyle w:val="107"/>
                    <w:widowControl/>
                    <w:ind w:firstLine="0" w:firstLineChars="0"/>
                    <w:jc w:val="center"/>
                    <w:rPr>
                      <w:rFonts w:hint="eastAsia" w:ascii="Times New Roman" w:hAnsi="Times New Roman" w:eastAsia="宋体" w:cs="Times New Roman"/>
                      <w:color w:val="auto"/>
                      <w:sz w:val="21"/>
                      <w:szCs w:val="21"/>
                      <w:highlight w:val="none"/>
                    </w:rPr>
                  </w:pPr>
                </w:p>
              </w:tc>
              <w:tc>
                <w:tcPr>
                  <w:tcW w:w="196" w:type="pct"/>
                  <w:noWrap w:val="0"/>
                  <w:vAlign w:val="center"/>
                </w:tcPr>
                <w:p w14:paraId="7E247560">
                  <w:pPr>
                    <w:pStyle w:val="98"/>
                    <w:widowControl w:val="0"/>
                    <w:kinsoku/>
                    <w:autoSpaceDE/>
                    <w:autoSpaceDN/>
                    <w:adjustRightInd/>
                    <w:snapToGrid/>
                    <w:ind w:firstLine="0" w:firstLineChars="0"/>
                    <w:jc w:val="center"/>
                    <w:textAlignment w:val="auto"/>
                    <w:rPr>
                      <w:rFonts w:hint="eastAsia" w:ascii="Times New Roman" w:hAnsi="Times New Roman" w:eastAsia="宋体" w:cs="Times New Roman"/>
                      <w:snapToGrid/>
                      <w:color w:val="auto"/>
                      <w:kern w:val="2"/>
                      <w:szCs w:val="24"/>
                      <w:highlight w:val="none"/>
                      <w:lang w:eastAsia="zh-CN"/>
                    </w:rPr>
                  </w:pPr>
                  <w:r>
                    <w:rPr>
                      <w:rFonts w:hint="eastAsia" w:ascii="Times New Roman" w:hAnsi="Times New Roman" w:eastAsia="宋体" w:cs="Times New Roman"/>
                      <w:snapToGrid/>
                      <w:color w:val="auto"/>
                      <w:kern w:val="2"/>
                      <w:szCs w:val="24"/>
                      <w:highlight w:val="none"/>
                      <w:lang w:eastAsia="zh-CN"/>
                    </w:rPr>
                    <w:t>NO</w:t>
                  </w:r>
                  <w:r>
                    <w:rPr>
                      <w:rFonts w:hint="eastAsia" w:ascii="Times New Roman" w:hAnsi="Times New Roman" w:eastAsia="宋体" w:cs="Times New Roman"/>
                      <w:snapToGrid/>
                      <w:color w:val="auto"/>
                      <w:kern w:val="2"/>
                      <w:szCs w:val="24"/>
                      <w:highlight w:val="none"/>
                      <w:vertAlign w:val="subscript"/>
                      <w:lang w:eastAsia="zh-CN"/>
                    </w:rPr>
                    <w:t>X</w:t>
                  </w:r>
                </w:p>
              </w:tc>
              <w:tc>
                <w:tcPr>
                  <w:tcW w:w="197" w:type="pct"/>
                  <w:vMerge w:val="continue"/>
                  <w:noWrap w:val="0"/>
                  <w:vAlign w:val="center"/>
                </w:tcPr>
                <w:p w14:paraId="5605E37F">
                  <w:pPr>
                    <w:pStyle w:val="98"/>
                    <w:widowControl w:val="0"/>
                    <w:kinsoku/>
                    <w:autoSpaceDE/>
                    <w:autoSpaceDN/>
                    <w:adjustRightInd/>
                    <w:snapToGrid/>
                    <w:ind w:firstLine="0" w:firstLineChars="0"/>
                    <w:jc w:val="center"/>
                    <w:textAlignment w:val="auto"/>
                    <w:rPr>
                      <w:rFonts w:hint="eastAsia" w:ascii="Times New Roman" w:hAnsi="Times New Roman" w:eastAsia="宋体" w:cs="Times New Roman"/>
                      <w:snapToGrid/>
                      <w:color w:val="auto"/>
                      <w:kern w:val="2"/>
                      <w:szCs w:val="24"/>
                      <w:highlight w:val="none"/>
                      <w:lang w:eastAsia="zh-CN"/>
                    </w:rPr>
                  </w:pPr>
                </w:p>
              </w:tc>
              <w:tc>
                <w:tcPr>
                  <w:tcW w:w="208" w:type="pct"/>
                  <w:vMerge w:val="continue"/>
                  <w:noWrap w:val="0"/>
                  <w:vAlign w:val="center"/>
                </w:tcPr>
                <w:p w14:paraId="5DFDBCC0">
                  <w:pPr>
                    <w:pStyle w:val="107"/>
                    <w:widowControl/>
                    <w:ind w:firstLine="0" w:firstLineChars="0"/>
                    <w:jc w:val="center"/>
                    <w:rPr>
                      <w:rFonts w:hint="eastAsia" w:ascii="Times New Roman" w:hAnsi="Times New Roman" w:eastAsia="宋体"/>
                      <w:color w:val="auto"/>
                      <w:sz w:val="21"/>
                      <w:szCs w:val="21"/>
                      <w:highlight w:val="none"/>
                    </w:rPr>
                  </w:pPr>
                </w:p>
              </w:tc>
              <w:tc>
                <w:tcPr>
                  <w:tcW w:w="265" w:type="pct"/>
                  <w:noWrap w:val="0"/>
                  <w:vAlign w:val="center"/>
                </w:tcPr>
                <w:p w14:paraId="6EA6A1C4">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1.78</w:t>
                  </w:r>
                </w:p>
              </w:tc>
              <w:tc>
                <w:tcPr>
                  <w:tcW w:w="284" w:type="pct"/>
                  <w:noWrap w:val="0"/>
                  <w:vAlign w:val="center"/>
                </w:tcPr>
                <w:p w14:paraId="2AA43022">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0.46</w:t>
                  </w:r>
                </w:p>
              </w:tc>
              <w:tc>
                <w:tcPr>
                  <w:tcW w:w="260" w:type="pct"/>
                  <w:noWrap w:val="0"/>
                  <w:vAlign w:val="center"/>
                </w:tcPr>
                <w:p w14:paraId="13AB41AA">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92</w:t>
                  </w:r>
                </w:p>
              </w:tc>
              <w:tc>
                <w:tcPr>
                  <w:tcW w:w="338" w:type="pct"/>
                  <w:vMerge w:val="continue"/>
                  <w:noWrap w:val="0"/>
                  <w:vAlign w:val="center"/>
                </w:tcPr>
                <w:p w14:paraId="725CE149">
                  <w:pPr>
                    <w:pStyle w:val="107"/>
                    <w:widowControl/>
                    <w:ind w:firstLine="0" w:firstLineChars="0"/>
                    <w:jc w:val="center"/>
                    <w:rPr>
                      <w:rFonts w:hint="eastAsia" w:ascii="Times New Roman" w:hAnsi="Times New Roman" w:eastAsia="宋体"/>
                      <w:color w:val="auto"/>
                      <w:sz w:val="21"/>
                      <w:szCs w:val="21"/>
                      <w:highlight w:val="none"/>
                    </w:rPr>
                  </w:pPr>
                </w:p>
              </w:tc>
              <w:tc>
                <w:tcPr>
                  <w:tcW w:w="323" w:type="pct"/>
                  <w:noWrap w:val="0"/>
                  <w:vAlign w:val="center"/>
                </w:tcPr>
                <w:p w14:paraId="01433BD4">
                  <w:pPr>
                    <w:pStyle w:val="107"/>
                    <w:widowControl/>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w:t>
                  </w:r>
                </w:p>
              </w:tc>
              <w:tc>
                <w:tcPr>
                  <w:tcW w:w="329" w:type="pct"/>
                  <w:vMerge w:val="continue"/>
                  <w:noWrap w:val="0"/>
                  <w:vAlign w:val="center"/>
                </w:tcPr>
                <w:p w14:paraId="05110186">
                  <w:pPr>
                    <w:pStyle w:val="107"/>
                    <w:widowControl/>
                    <w:ind w:firstLine="0" w:firstLineChars="0"/>
                    <w:jc w:val="center"/>
                    <w:rPr>
                      <w:rFonts w:hint="eastAsia" w:ascii="Times New Roman" w:hAnsi="Times New Roman" w:eastAsia="宋体"/>
                      <w:color w:val="auto"/>
                      <w:sz w:val="21"/>
                      <w:szCs w:val="21"/>
                      <w:highlight w:val="none"/>
                    </w:rPr>
                  </w:pPr>
                </w:p>
              </w:tc>
              <w:tc>
                <w:tcPr>
                  <w:tcW w:w="266" w:type="pct"/>
                  <w:noWrap w:val="0"/>
                  <w:vAlign w:val="center"/>
                </w:tcPr>
                <w:p w14:paraId="3C0D9143">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1.78</w:t>
                  </w:r>
                </w:p>
              </w:tc>
              <w:tc>
                <w:tcPr>
                  <w:tcW w:w="328" w:type="pct"/>
                  <w:noWrap w:val="0"/>
                  <w:vAlign w:val="center"/>
                </w:tcPr>
                <w:p w14:paraId="409942B0">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0.46</w:t>
                  </w:r>
                </w:p>
              </w:tc>
              <w:tc>
                <w:tcPr>
                  <w:tcW w:w="257" w:type="pct"/>
                  <w:noWrap w:val="0"/>
                  <w:vAlign w:val="center"/>
                </w:tcPr>
                <w:p w14:paraId="0D57948A">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92</w:t>
                  </w:r>
                </w:p>
              </w:tc>
              <w:tc>
                <w:tcPr>
                  <w:tcW w:w="307" w:type="pct"/>
                  <w:vMerge w:val="continue"/>
                  <w:noWrap w:val="0"/>
                  <w:vAlign w:val="center"/>
                </w:tcPr>
                <w:p w14:paraId="65CEAE58">
                  <w:pPr>
                    <w:pStyle w:val="107"/>
                    <w:widowControl/>
                    <w:ind w:firstLine="0" w:firstLineChars="0"/>
                    <w:jc w:val="center"/>
                    <w:rPr>
                      <w:rFonts w:hint="eastAsia" w:ascii="Times New Roman" w:hAnsi="Times New Roman" w:eastAsia="宋体"/>
                      <w:color w:val="auto"/>
                      <w:sz w:val="21"/>
                      <w:szCs w:val="21"/>
                      <w:highlight w:val="none"/>
                    </w:rPr>
                  </w:pPr>
                </w:p>
              </w:tc>
              <w:tc>
                <w:tcPr>
                  <w:tcW w:w="237" w:type="pct"/>
                  <w:vMerge w:val="continue"/>
                  <w:noWrap w:val="0"/>
                  <w:vAlign w:val="center"/>
                </w:tcPr>
                <w:p w14:paraId="75E1F0BA">
                  <w:pPr>
                    <w:pStyle w:val="107"/>
                    <w:widowControl/>
                    <w:ind w:firstLine="0" w:firstLineChars="0"/>
                    <w:jc w:val="center"/>
                    <w:rPr>
                      <w:rFonts w:hint="eastAsia" w:ascii="Times New Roman" w:hAnsi="Times New Roman" w:eastAsia="宋体"/>
                      <w:color w:val="auto"/>
                      <w:sz w:val="21"/>
                      <w:szCs w:val="21"/>
                      <w:highlight w:val="none"/>
                    </w:rPr>
                  </w:pPr>
                </w:p>
              </w:tc>
              <w:tc>
                <w:tcPr>
                  <w:tcW w:w="394" w:type="pct"/>
                  <w:vMerge w:val="continue"/>
                  <w:noWrap w:val="0"/>
                  <w:vAlign w:val="center"/>
                </w:tcPr>
                <w:p w14:paraId="670EA8EE">
                  <w:pPr>
                    <w:pStyle w:val="107"/>
                    <w:widowControl/>
                    <w:ind w:firstLine="0" w:firstLineChars="0"/>
                    <w:jc w:val="center"/>
                    <w:rPr>
                      <w:rFonts w:hint="eastAsia" w:ascii="Times New Roman" w:hAnsi="Times New Roman" w:eastAsia="宋体" w:cs="Times New Roman"/>
                      <w:color w:val="auto"/>
                      <w:sz w:val="21"/>
                      <w:szCs w:val="21"/>
                      <w:highlight w:val="none"/>
                      <w:lang w:val="en-US" w:eastAsia="zh-CN"/>
                    </w:rPr>
                  </w:pPr>
                </w:p>
              </w:tc>
              <w:tc>
                <w:tcPr>
                  <w:tcW w:w="189" w:type="pct"/>
                  <w:vMerge w:val="continue"/>
                  <w:noWrap w:val="0"/>
                  <w:vAlign w:val="center"/>
                </w:tcPr>
                <w:p w14:paraId="0371BB72">
                  <w:pPr>
                    <w:pStyle w:val="107"/>
                    <w:widowControl/>
                    <w:ind w:firstLine="0" w:firstLineChars="0"/>
                    <w:jc w:val="center"/>
                    <w:rPr>
                      <w:rFonts w:hint="eastAsia" w:ascii="Times New Roman" w:hAnsi="Times New Roman" w:eastAsia="宋体"/>
                      <w:color w:val="auto"/>
                      <w:sz w:val="21"/>
                      <w:szCs w:val="21"/>
                      <w:highlight w:val="none"/>
                    </w:rPr>
                  </w:pPr>
                </w:p>
              </w:tc>
              <w:tc>
                <w:tcPr>
                  <w:tcW w:w="280" w:type="pct"/>
                  <w:noWrap w:val="0"/>
                  <w:vAlign w:val="center"/>
                </w:tcPr>
                <w:p w14:paraId="15C72B48">
                  <w:pPr>
                    <w:pStyle w:val="107"/>
                    <w:widowControl/>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300</w:t>
                  </w:r>
                </w:p>
              </w:tc>
              <w:tc>
                <w:tcPr>
                  <w:tcW w:w="180" w:type="pct"/>
                  <w:noWrap w:val="0"/>
                  <w:vAlign w:val="center"/>
                </w:tcPr>
                <w:p w14:paraId="022BC58C">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w:t>
                  </w:r>
                </w:p>
              </w:tc>
            </w:tr>
            <w:tr w14:paraId="3EB7F3E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45" w:hRule="atLeast"/>
                <w:jc w:val="center"/>
              </w:trPr>
              <w:tc>
                <w:tcPr>
                  <w:tcW w:w="154" w:type="pct"/>
                  <w:vMerge w:val="restart"/>
                  <w:noWrap w:val="0"/>
                  <w:vAlign w:val="center"/>
                </w:tcPr>
                <w:p w14:paraId="6167AE14">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导热油炉废气</w:t>
                  </w:r>
                </w:p>
              </w:tc>
              <w:tc>
                <w:tcPr>
                  <w:tcW w:w="196" w:type="pct"/>
                  <w:noWrap w:val="0"/>
                  <w:vAlign w:val="center"/>
                </w:tcPr>
                <w:p w14:paraId="665DE8E4">
                  <w:pPr>
                    <w:pStyle w:val="98"/>
                    <w:widowControl w:val="0"/>
                    <w:kinsoku/>
                    <w:autoSpaceDE/>
                    <w:autoSpaceDN/>
                    <w:adjustRightInd/>
                    <w:snapToGrid/>
                    <w:ind w:firstLine="0" w:firstLineChars="0"/>
                    <w:jc w:val="center"/>
                    <w:textAlignment w:val="auto"/>
                    <w:rPr>
                      <w:rFonts w:ascii="Times New Roman" w:hAnsi="Times New Roman" w:eastAsia="宋体"/>
                      <w:color w:val="auto"/>
                      <w:sz w:val="21"/>
                      <w:szCs w:val="21"/>
                      <w:highlight w:val="none"/>
                    </w:rPr>
                  </w:pPr>
                  <w:r>
                    <w:rPr>
                      <w:rFonts w:hint="eastAsia" w:ascii="Times New Roman" w:hAnsi="Times New Roman" w:eastAsia="宋体" w:cs="Times New Roman"/>
                      <w:snapToGrid/>
                      <w:color w:val="auto"/>
                      <w:kern w:val="2"/>
                      <w:szCs w:val="24"/>
                      <w:highlight w:val="none"/>
                      <w:lang w:eastAsia="zh-CN"/>
                    </w:rPr>
                    <w:t>颗粒物</w:t>
                  </w:r>
                </w:p>
              </w:tc>
              <w:tc>
                <w:tcPr>
                  <w:tcW w:w="197" w:type="pct"/>
                  <w:vMerge w:val="restart"/>
                  <w:noWrap w:val="0"/>
                  <w:vAlign w:val="center"/>
                </w:tcPr>
                <w:p w14:paraId="2DB335D1">
                  <w:pPr>
                    <w:pStyle w:val="98"/>
                    <w:widowControl w:val="0"/>
                    <w:kinsoku/>
                    <w:autoSpaceDE/>
                    <w:autoSpaceDN/>
                    <w:adjustRightInd/>
                    <w:snapToGrid/>
                    <w:ind w:firstLine="0" w:firstLineChars="0"/>
                    <w:jc w:val="center"/>
                    <w:textAlignment w:val="auto"/>
                    <w:rPr>
                      <w:rFonts w:hint="eastAsia" w:ascii="Times New Roman" w:hAnsi="Times New Roman" w:eastAsia="宋体" w:cs="Times New Roman"/>
                      <w:snapToGrid/>
                      <w:color w:val="auto"/>
                      <w:kern w:val="2"/>
                      <w:szCs w:val="24"/>
                      <w:highlight w:val="none"/>
                      <w:lang w:eastAsia="zh-CN"/>
                    </w:rPr>
                  </w:pPr>
                  <w:r>
                    <w:rPr>
                      <w:rFonts w:hint="eastAsia" w:cs="Times New Roman"/>
                      <w:snapToGrid/>
                      <w:color w:val="auto"/>
                      <w:kern w:val="2"/>
                      <w:szCs w:val="24"/>
                      <w:highlight w:val="none"/>
                      <w:lang w:val="en-US" w:eastAsia="zh-CN"/>
                    </w:rPr>
                    <w:t>一期</w:t>
                  </w:r>
                </w:p>
              </w:tc>
              <w:tc>
                <w:tcPr>
                  <w:tcW w:w="208" w:type="pct"/>
                  <w:vMerge w:val="restart"/>
                  <w:noWrap w:val="0"/>
                  <w:vAlign w:val="center"/>
                </w:tcPr>
                <w:p w14:paraId="5AF4A5BE">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1000</w:t>
                  </w:r>
                </w:p>
              </w:tc>
              <w:tc>
                <w:tcPr>
                  <w:tcW w:w="265" w:type="pct"/>
                  <w:noWrap w:val="0"/>
                  <w:vAlign w:val="center"/>
                </w:tcPr>
                <w:p w14:paraId="07ED9D40">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0.016</w:t>
                  </w:r>
                </w:p>
              </w:tc>
              <w:tc>
                <w:tcPr>
                  <w:tcW w:w="284" w:type="pct"/>
                  <w:noWrap w:val="0"/>
                  <w:vAlign w:val="center"/>
                </w:tcPr>
                <w:p w14:paraId="67047508">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0.0042</w:t>
                  </w:r>
                </w:p>
              </w:tc>
              <w:tc>
                <w:tcPr>
                  <w:tcW w:w="260" w:type="pct"/>
                  <w:noWrap w:val="0"/>
                  <w:vAlign w:val="center"/>
                </w:tcPr>
                <w:p w14:paraId="3A7E4ED9">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4.2</w:t>
                  </w:r>
                </w:p>
              </w:tc>
              <w:tc>
                <w:tcPr>
                  <w:tcW w:w="338" w:type="pct"/>
                  <w:vMerge w:val="restart"/>
                  <w:noWrap/>
                  <w:vAlign w:val="center"/>
                </w:tcPr>
                <w:p w14:paraId="10BA04C1">
                  <w:pPr>
                    <w:pStyle w:val="107"/>
                    <w:widowControl/>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低氮燃烧</w:t>
                  </w:r>
                </w:p>
              </w:tc>
              <w:tc>
                <w:tcPr>
                  <w:tcW w:w="323" w:type="pct"/>
                  <w:noWrap w:val="0"/>
                  <w:vAlign w:val="center"/>
                </w:tcPr>
                <w:p w14:paraId="126C2393">
                  <w:pPr>
                    <w:pStyle w:val="107"/>
                    <w:widowControl/>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w:t>
                  </w:r>
                </w:p>
              </w:tc>
              <w:tc>
                <w:tcPr>
                  <w:tcW w:w="329" w:type="pct"/>
                  <w:vMerge w:val="restart"/>
                  <w:noWrap w:val="0"/>
                  <w:vAlign w:val="center"/>
                </w:tcPr>
                <w:p w14:paraId="1F97E8DE">
                  <w:pPr>
                    <w:pStyle w:val="107"/>
                    <w:widowControl/>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是</w:t>
                  </w:r>
                </w:p>
              </w:tc>
              <w:tc>
                <w:tcPr>
                  <w:tcW w:w="266" w:type="pct"/>
                  <w:noWrap w:val="0"/>
                  <w:vAlign w:val="center"/>
                </w:tcPr>
                <w:p w14:paraId="27730E32">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0.016</w:t>
                  </w:r>
                </w:p>
              </w:tc>
              <w:tc>
                <w:tcPr>
                  <w:tcW w:w="328" w:type="pct"/>
                  <w:noWrap w:val="0"/>
                  <w:vAlign w:val="center"/>
                </w:tcPr>
                <w:p w14:paraId="51D1DC79">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0.0042</w:t>
                  </w:r>
                </w:p>
              </w:tc>
              <w:tc>
                <w:tcPr>
                  <w:tcW w:w="257" w:type="pct"/>
                  <w:noWrap w:val="0"/>
                  <w:vAlign w:val="center"/>
                </w:tcPr>
                <w:p w14:paraId="4F90F30B">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4.2</w:t>
                  </w:r>
                </w:p>
              </w:tc>
              <w:tc>
                <w:tcPr>
                  <w:tcW w:w="307" w:type="pct"/>
                  <w:vMerge w:val="restart"/>
                  <w:noWrap w:val="0"/>
                  <w:vAlign w:val="center"/>
                </w:tcPr>
                <w:p w14:paraId="5E3DDB90">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H=</w:t>
                  </w:r>
                  <w:r>
                    <w:rPr>
                      <w:rFonts w:hint="eastAsia" w:ascii="Times New Roman" w:hAnsi="Times New Roman" w:eastAsia="宋体"/>
                      <w:color w:val="auto"/>
                      <w:sz w:val="21"/>
                      <w:szCs w:val="21"/>
                      <w:highlight w:val="none"/>
                      <w:lang w:val="en-US" w:eastAsia="zh-CN"/>
                    </w:rPr>
                    <w:t>8</w:t>
                  </w:r>
                  <w:r>
                    <w:rPr>
                      <w:rFonts w:hint="eastAsia" w:ascii="Times New Roman" w:hAnsi="Times New Roman" w:eastAsia="宋体"/>
                      <w:color w:val="auto"/>
                      <w:sz w:val="21"/>
                      <w:szCs w:val="21"/>
                      <w:highlight w:val="none"/>
                    </w:rPr>
                    <w:t>m、內径</w:t>
                  </w:r>
                  <w:r>
                    <w:rPr>
                      <w:rFonts w:hint="eastAsia" w:ascii="Times New Roman" w:hAnsi="Times New Roman" w:eastAsia="宋体"/>
                      <w:color w:val="auto"/>
                      <w:sz w:val="21"/>
                      <w:szCs w:val="21"/>
                      <w:highlight w:val="none"/>
                      <w:lang w:val="en-US" w:eastAsia="zh-CN"/>
                    </w:rPr>
                    <w:t>1.2</w:t>
                  </w:r>
                  <w:r>
                    <w:rPr>
                      <w:rFonts w:hint="eastAsia" w:ascii="Times New Roman" w:hAnsi="Times New Roman" w:eastAsia="宋体"/>
                      <w:color w:val="auto"/>
                      <w:sz w:val="21"/>
                      <w:szCs w:val="21"/>
                      <w:highlight w:val="none"/>
                    </w:rPr>
                    <w:t>m、温度</w:t>
                  </w:r>
                  <w:r>
                    <w:rPr>
                      <w:rFonts w:hint="eastAsia" w:ascii="Times New Roman" w:hAnsi="Times New Roman" w:eastAsia="宋体"/>
                      <w:color w:val="auto"/>
                      <w:sz w:val="21"/>
                      <w:szCs w:val="21"/>
                      <w:highlight w:val="none"/>
                      <w:lang w:val="en-US" w:eastAsia="zh-CN"/>
                    </w:rPr>
                    <w:t>30</w:t>
                  </w:r>
                  <w:r>
                    <w:rPr>
                      <w:rFonts w:hint="eastAsia" w:ascii="宋体" w:hAnsi="宋体" w:eastAsia="宋体" w:cs="宋体"/>
                      <w:color w:val="auto"/>
                      <w:sz w:val="21"/>
                      <w:szCs w:val="21"/>
                      <w:highlight w:val="none"/>
                    </w:rPr>
                    <w:t>℃</w:t>
                  </w:r>
                </w:p>
              </w:tc>
              <w:tc>
                <w:tcPr>
                  <w:tcW w:w="237" w:type="pct"/>
                  <w:vMerge w:val="restart"/>
                  <w:noWrap w:val="0"/>
                  <w:vAlign w:val="center"/>
                </w:tcPr>
                <w:p w14:paraId="5A04F909">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DA00</w:t>
                  </w:r>
                  <w:r>
                    <w:rPr>
                      <w:rFonts w:hint="eastAsia" w:ascii="Times New Roman" w:hAnsi="Times New Roman" w:eastAsia="宋体"/>
                      <w:color w:val="auto"/>
                      <w:sz w:val="21"/>
                      <w:szCs w:val="21"/>
                      <w:highlight w:val="none"/>
                      <w:lang w:val="en-US" w:eastAsia="zh-CN"/>
                    </w:rPr>
                    <w:t>2</w:t>
                  </w:r>
                  <w:r>
                    <w:rPr>
                      <w:rFonts w:hint="eastAsia" w:ascii="Times New Roman" w:hAnsi="Times New Roman" w:eastAsia="宋体"/>
                      <w:color w:val="auto"/>
                      <w:sz w:val="21"/>
                      <w:szCs w:val="21"/>
                      <w:highlight w:val="none"/>
                    </w:rPr>
                    <w:t>一般排放口</w:t>
                  </w:r>
                </w:p>
              </w:tc>
              <w:tc>
                <w:tcPr>
                  <w:tcW w:w="394" w:type="pct"/>
                  <w:vMerge w:val="restart"/>
                  <w:noWrap w:val="0"/>
                  <w:vAlign w:val="center"/>
                </w:tcPr>
                <w:p w14:paraId="1C711C82">
                  <w:pPr>
                    <w:pStyle w:val="107"/>
                    <w:widowControl/>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119.635094 </w:t>
                  </w:r>
                </w:p>
                <w:p w14:paraId="649498CE">
                  <w:pPr>
                    <w:pStyle w:val="107"/>
                    <w:widowControl/>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26.495842 </w:t>
                  </w:r>
                </w:p>
              </w:tc>
              <w:tc>
                <w:tcPr>
                  <w:tcW w:w="189" w:type="pct"/>
                  <w:vMerge w:val="restart"/>
                  <w:noWrap w:val="0"/>
                  <w:vAlign w:val="center"/>
                </w:tcPr>
                <w:p w14:paraId="172C8FAE">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3840</w:t>
                  </w:r>
                </w:p>
              </w:tc>
              <w:tc>
                <w:tcPr>
                  <w:tcW w:w="280" w:type="pct"/>
                  <w:noWrap w:val="0"/>
                  <w:vAlign w:val="center"/>
                </w:tcPr>
                <w:p w14:paraId="428E47E6">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20</w:t>
                  </w:r>
                </w:p>
              </w:tc>
              <w:tc>
                <w:tcPr>
                  <w:tcW w:w="180" w:type="pct"/>
                  <w:noWrap w:val="0"/>
                  <w:vAlign w:val="center"/>
                </w:tcPr>
                <w:p w14:paraId="46A69592">
                  <w:pPr>
                    <w:pStyle w:val="107"/>
                    <w:widowControl/>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w:t>
                  </w:r>
                </w:p>
              </w:tc>
            </w:tr>
            <w:tr w14:paraId="77C997C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154" w:type="pct"/>
                  <w:vMerge w:val="continue"/>
                  <w:noWrap w:val="0"/>
                  <w:vAlign w:val="center"/>
                </w:tcPr>
                <w:p w14:paraId="5E4893F9">
                  <w:pPr>
                    <w:pStyle w:val="107"/>
                    <w:widowControl/>
                    <w:ind w:firstLine="0" w:firstLineChars="0"/>
                    <w:jc w:val="center"/>
                    <w:rPr>
                      <w:rFonts w:ascii="Times New Roman" w:hAnsi="Times New Roman" w:eastAsia="宋体"/>
                      <w:color w:val="auto"/>
                      <w:sz w:val="21"/>
                      <w:szCs w:val="21"/>
                      <w:highlight w:val="none"/>
                    </w:rPr>
                  </w:pPr>
                </w:p>
              </w:tc>
              <w:tc>
                <w:tcPr>
                  <w:tcW w:w="196" w:type="pct"/>
                  <w:noWrap w:val="0"/>
                  <w:vAlign w:val="center"/>
                </w:tcPr>
                <w:p w14:paraId="2B00C89A">
                  <w:pPr>
                    <w:pStyle w:val="98"/>
                    <w:widowControl w:val="0"/>
                    <w:kinsoku/>
                    <w:autoSpaceDE/>
                    <w:autoSpaceDN/>
                    <w:adjustRightInd/>
                    <w:snapToGrid/>
                    <w:ind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s="Times New Roman"/>
                      <w:snapToGrid/>
                      <w:color w:val="auto"/>
                      <w:kern w:val="2"/>
                      <w:szCs w:val="24"/>
                      <w:highlight w:val="none"/>
                      <w:lang w:eastAsia="zh-CN"/>
                    </w:rPr>
                    <w:t>SO</w:t>
                  </w:r>
                  <w:r>
                    <w:rPr>
                      <w:rFonts w:hint="eastAsia" w:ascii="Times New Roman" w:hAnsi="Times New Roman" w:eastAsia="宋体" w:cs="Times New Roman"/>
                      <w:snapToGrid/>
                      <w:color w:val="auto"/>
                      <w:kern w:val="2"/>
                      <w:szCs w:val="24"/>
                      <w:highlight w:val="none"/>
                      <w:vertAlign w:val="subscript"/>
                      <w:lang w:eastAsia="zh-CN"/>
                    </w:rPr>
                    <w:t>2</w:t>
                  </w:r>
                </w:p>
              </w:tc>
              <w:tc>
                <w:tcPr>
                  <w:tcW w:w="197" w:type="pct"/>
                  <w:vMerge w:val="continue"/>
                  <w:noWrap w:val="0"/>
                  <w:vAlign w:val="center"/>
                </w:tcPr>
                <w:p w14:paraId="427963CC">
                  <w:pPr>
                    <w:pStyle w:val="98"/>
                    <w:widowControl w:val="0"/>
                    <w:kinsoku/>
                    <w:autoSpaceDE/>
                    <w:autoSpaceDN/>
                    <w:adjustRightInd/>
                    <w:snapToGrid/>
                    <w:ind w:firstLine="0" w:firstLineChars="0"/>
                    <w:jc w:val="center"/>
                    <w:textAlignment w:val="auto"/>
                    <w:rPr>
                      <w:rFonts w:hint="eastAsia" w:ascii="Times New Roman" w:hAnsi="Times New Roman" w:eastAsia="宋体" w:cs="Times New Roman"/>
                      <w:snapToGrid/>
                      <w:color w:val="auto"/>
                      <w:kern w:val="2"/>
                      <w:szCs w:val="24"/>
                      <w:highlight w:val="none"/>
                      <w:lang w:eastAsia="zh-CN"/>
                    </w:rPr>
                  </w:pPr>
                </w:p>
              </w:tc>
              <w:tc>
                <w:tcPr>
                  <w:tcW w:w="208" w:type="pct"/>
                  <w:vMerge w:val="continue"/>
                  <w:noWrap w:val="0"/>
                  <w:vAlign w:val="center"/>
                </w:tcPr>
                <w:p w14:paraId="47473C63">
                  <w:pPr>
                    <w:pStyle w:val="107"/>
                    <w:widowControl/>
                    <w:ind w:firstLine="0" w:firstLineChars="0"/>
                    <w:jc w:val="center"/>
                    <w:rPr>
                      <w:rFonts w:hint="eastAsia" w:ascii="Times New Roman" w:hAnsi="Times New Roman" w:eastAsia="宋体"/>
                      <w:color w:val="auto"/>
                      <w:sz w:val="21"/>
                      <w:szCs w:val="21"/>
                      <w:highlight w:val="none"/>
                    </w:rPr>
                  </w:pPr>
                </w:p>
              </w:tc>
              <w:tc>
                <w:tcPr>
                  <w:tcW w:w="265" w:type="pct"/>
                  <w:noWrap w:val="0"/>
                  <w:vAlign w:val="center"/>
                </w:tcPr>
                <w:p w14:paraId="7B78A2E3">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0.011</w:t>
                  </w:r>
                </w:p>
              </w:tc>
              <w:tc>
                <w:tcPr>
                  <w:tcW w:w="284" w:type="pct"/>
                  <w:noWrap w:val="0"/>
                  <w:vAlign w:val="center"/>
                </w:tcPr>
                <w:p w14:paraId="0B03F95A">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0.0029</w:t>
                  </w:r>
                </w:p>
              </w:tc>
              <w:tc>
                <w:tcPr>
                  <w:tcW w:w="260" w:type="pct"/>
                  <w:noWrap w:val="0"/>
                  <w:vAlign w:val="center"/>
                </w:tcPr>
                <w:p w14:paraId="1A94DCE3">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2.9</w:t>
                  </w:r>
                </w:p>
              </w:tc>
              <w:tc>
                <w:tcPr>
                  <w:tcW w:w="338" w:type="pct"/>
                  <w:vMerge w:val="continue"/>
                  <w:noWrap/>
                  <w:vAlign w:val="center"/>
                </w:tcPr>
                <w:p w14:paraId="189A7C66">
                  <w:pPr>
                    <w:pStyle w:val="107"/>
                    <w:widowControl/>
                    <w:ind w:firstLine="0" w:firstLineChars="0"/>
                    <w:jc w:val="center"/>
                    <w:rPr>
                      <w:rFonts w:ascii="Times New Roman" w:hAnsi="Times New Roman" w:eastAsia="宋体"/>
                      <w:color w:val="auto"/>
                      <w:sz w:val="21"/>
                      <w:szCs w:val="21"/>
                      <w:highlight w:val="none"/>
                    </w:rPr>
                  </w:pPr>
                </w:p>
              </w:tc>
              <w:tc>
                <w:tcPr>
                  <w:tcW w:w="323" w:type="pct"/>
                  <w:noWrap w:val="0"/>
                  <w:vAlign w:val="center"/>
                </w:tcPr>
                <w:p w14:paraId="6F2B09AE">
                  <w:pPr>
                    <w:pStyle w:val="107"/>
                    <w:widowControl/>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c>
                <w:tcPr>
                  <w:tcW w:w="329" w:type="pct"/>
                  <w:vMerge w:val="continue"/>
                  <w:noWrap w:val="0"/>
                  <w:vAlign w:val="center"/>
                </w:tcPr>
                <w:p w14:paraId="0F121BFD">
                  <w:pPr>
                    <w:pStyle w:val="107"/>
                    <w:widowControl/>
                    <w:ind w:firstLine="0" w:firstLineChars="0"/>
                    <w:jc w:val="center"/>
                    <w:rPr>
                      <w:rFonts w:ascii="Times New Roman" w:hAnsi="Times New Roman" w:eastAsia="宋体"/>
                      <w:color w:val="auto"/>
                      <w:sz w:val="21"/>
                      <w:szCs w:val="21"/>
                      <w:highlight w:val="none"/>
                    </w:rPr>
                  </w:pPr>
                </w:p>
              </w:tc>
              <w:tc>
                <w:tcPr>
                  <w:tcW w:w="266" w:type="pct"/>
                  <w:noWrap w:val="0"/>
                  <w:vAlign w:val="center"/>
                </w:tcPr>
                <w:p w14:paraId="349A689F">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0.011</w:t>
                  </w:r>
                </w:p>
              </w:tc>
              <w:tc>
                <w:tcPr>
                  <w:tcW w:w="328" w:type="pct"/>
                  <w:noWrap w:val="0"/>
                  <w:vAlign w:val="center"/>
                </w:tcPr>
                <w:p w14:paraId="500F9D61">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0.0029</w:t>
                  </w:r>
                </w:p>
              </w:tc>
              <w:tc>
                <w:tcPr>
                  <w:tcW w:w="257" w:type="pct"/>
                  <w:noWrap w:val="0"/>
                  <w:vAlign w:val="center"/>
                </w:tcPr>
                <w:p w14:paraId="2F4DED38">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2.9</w:t>
                  </w:r>
                </w:p>
              </w:tc>
              <w:tc>
                <w:tcPr>
                  <w:tcW w:w="307" w:type="pct"/>
                  <w:vMerge w:val="continue"/>
                  <w:noWrap w:val="0"/>
                  <w:vAlign w:val="center"/>
                </w:tcPr>
                <w:p w14:paraId="32B80699">
                  <w:pPr>
                    <w:pStyle w:val="107"/>
                    <w:widowControl/>
                    <w:ind w:firstLine="0" w:firstLineChars="0"/>
                    <w:jc w:val="center"/>
                    <w:rPr>
                      <w:rFonts w:hint="eastAsia" w:ascii="Times New Roman" w:hAnsi="Times New Roman" w:eastAsia="宋体"/>
                      <w:color w:val="auto"/>
                      <w:sz w:val="21"/>
                      <w:szCs w:val="21"/>
                      <w:highlight w:val="none"/>
                    </w:rPr>
                  </w:pPr>
                </w:p>
              </w:tc>
              <w:tc>
                <w:tcPr>
                  <w:tcW w:w="237" w:type="pct"/>
                  <w:vMerge w:val="continue"/>
                  <w:noWrap w:val="0"/>
                  <w:vAlign w:val="center"/>
                </w:tcPr>
                <w:p w14:paraId="20976440">
                  <w:pPr>
                    <w:pStyle w:val="107"/>
                    <w:widowControl/>
                    <w:ind w:firstLine="0" w:firstLineChars="0"/>
                    <w:jc w:val="center"/>
                    <w:rPr>
                      <w:rFonts w:hint="eastAsia" w:ascii="Times New Roman" w:hAnsi="Times New Roman" w:eastAsia="宋体"/>
                      <w:color w:val="auto"/>
                      <w:sz w:val="21"/>
                      <w:szCs w:val="21"/>
                      <w:highlight w:val="none"/>
                    </w:rPr>
                  </w:pPr>
                </w:p>
              </w:tc>
              <w:tc>
                <w:tcPr>
                  <w:tcW w:w="394" w:type="pct"/>
                  <w:vMerge w:val="continue"/>
                  <w:noWrap w:val="0"/>
                  <w:vAlign w:val="center"/>
                </w:tcPr>
                <w:p w14:paraId="03B9BBF5">
                  <w:pPr>
                    <w:pStyle w:val="107"/>
                    <w:widowControl/>
                    <w:ind w:firstLine="0" w:firstLineChars="0"/>
                    <w:jc w:val="center"/>
                    <w:rPr>
                      <w:rFonts w:hint="eastAsia" w:ascii="Times New Roman" w:hAnsi="Times New Roman" w:eastAsia="宋体" w:cs="Times New Roman"/>
                      <w:color w:val="auto"/>
                      <w:sz w:val="21"/>
                      <w:szCs w:val="21"/>
                      <w:highlight w:val="none"/>
                      <w:lang w:val="en-US" w:eastAsia="zh-CN"/>
                    </w:rPr>
                  </w:pPr>
                </w:p>
              </w:tc>
              <w:tc>
                <w:tcPr>
                  <w:tcW w:w="189" w:type="pct"/>
                  <w:vMerge w:val="continue"/>
                  <w:noWrap w:val="0"/>
                  <w:vAlign w:val="center"/>
                </w:tcPr>
                <w:p w14:paraId="6531A0EF">
                  <w:pPr>
                    <w:pStyle w:val="107"/>
                    <w:widowControl/>
                    <w:ind w:firstLine="0" w:firstLineChars="0"/>
                    <w:jc w:val="center"/>
                    <w:rPr>
                      <w:rFonts w:hint="eastAsia" w:ascii="Times New Roman" w:hAnsi="Times New Roman" w:eastAsia="宋体"/>
                      <w:color w:val="auto"/>
                      <w:sz w:val="21"/>
                      <w:szCs w:val="21"/>
                      <w:highlight w:val="none"/>
                    </w:rPr>
                  </w:pPr>
                </w:p>
              </w:tc>
              <w:tc>
                <w:tcPr>
                  <w:tcW w:w="280" w:type="pct"/>
                  <w:noWrap w:val="0"/>
                  <w:vAlign w:val="center"/>
                </w:tcPr>
                <w:p w14:paraId="466B8CC5">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50</w:t>
                  </w:r>
                </w:p>
              </w:tc>
              <w:tc>
                <w:tcPr>
                  <w:tcW w:w="180" w:type="pct"/>
                  <w:noWrap w:val="0"/>
                  <w:vAlign w:val="center"/>
                </w:tcPr>
                <w:p w14:paraId="4267798B">
                  <w:pPr>
                    <w:pStyle w:val="107"/>
                    <w:widowControl/>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w:t>
                  </w:r>
                </w:p>
              </w:tc>
            </w:tr>
            <w:tr w14:paraId="7AE8221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54" w:type="pct"/>
                  <w:vMerge w:val="continue"/>
                  <w:noWrap w:val="0"/>
                  <w:vAlign w:val="center"/>
                </w:tcPr>
                <w:p w14:paraId="6F9A1D14">
                  <w:pPr>
                    <w:pStyle w:val="107"/>
                    <w:widowControl/>
                    <w:ind w:firstLine="0" w:firstLineChars="0"/>
                    <w:jc w:val="center"/>
                    <w:rPr>
                      <w:rFonts w:hint="eastAsia" w:ascii="Times New Roman" w:hAnsi="Times New Roman" w:eastAsia="宋体"/>
                      <w:color w:val="auto"/>
                      <w:sz w:val="21"/>
                      <w:szCs w:val="21"/>
                      <w:highlight w:val="none"/>
                    </w:rPr>
                  </w:pPr>
                </w:p>
              </w:tc>
              <w:tc>
                <w:tcPr>
                  <w:tcW w:w="196" w:type="pct"/>
                  <w:noWrap w:val="0"/>
                  <w:vAlign w:val="center"/>
                </w:tcPr>
                <w:p w14:paraId="6FAB1883">
                  <w:pPr>
                    <w:pStyle w:val="98"/>
                    <w:widowControl w:val="0"/>
                    <w:kinsoku/>
                    <w:autoSpaceDE/>
                    <w:autoSpaceDN/>
                    <w:adjustRightInd/>
                    <w:snapToGrid/>
                    <w:ind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s="Times New Roman"/>
                      <w:snapToGrid/>
                      <w:color w:val="auto"/>
                      <w:kern w:val="2"/>
                      <w:szCs w:val="24"/>
                      <w:highlight w:val="none"/>
                      <w:lang w:eastAsia="zh-CN"/>
                    </w:rPr>
                    <w:t>NO</w:t>
                  </w:r>
                  <w:r>
                    <w:rPr>
                      <w:rFonts w:hint="eastAsia" w:ascii="Times New Roman" w:hAnsi="Times New Roman" w:eastAsia="宋体" w:cs="Times New Roman"/>
                      <w:snapToGrid/>
                      <w:color w:val="auto"/>
                      <w:kern w:val="2"/>
                      <w:szCs w:val="24"/>
                      <w:highlight w:val="none"/>
                      <w:vertAlign w:val="subscript"/>
                      <w:lang w:eastAsia="zh-CN"/>
                    </w:rPr>
                    <w:t>X</w:t>
                  </w:r>
                </w:p>
              </w:tc>
              <w:tc>
                <w:tcPr>
                  <w:tcW w:w="197" w:type="pct"/>
                  <w:vMerge w:val="continue"/>
                  <w:noWrap w:val="0"/>
                  <w:vAlign w:val="center"/>
                </w:tcPr>
                <w:p w14:paraId="78D5AAEF">
                  <w:pPr>
                    <w:pStyle w:val="98"/>
                    <w:widowControl w:val="0"/>
                    <w:kinsoku/>
                    <w:autoSpaceDE/>
                    <w:autoSpaceDN/>
                    <w:adjustRightInd/>
                    <w:snapToGrid/>
                    <w:ind w:firstLine="0" w:firstLineChars="0"/>
                    <w:jc w:val="center"/>
                    <w:textAlignment w:val="auto"/>
                    <w:rPr>
                      <w:rFonts w:hint="eastAsia" w:ascii="Times New Roman" w:hAnsi="Times New Roman" w:eastAsia="宋体" w:cs="Times New Roman"/>
                      <w:snapToGrid/>
                      <w:color w:val="auto"/>
                      <w:kern w:val="2"/>
                      <w:szCs w:val="24"/>
                      <w:highlight w:val="none"/>
                      <w:lang w:eastAsia="zh-CN"/>
                    </w:rPr>
                  </w:pPr>
                </w:p>
              </w:tc>
              <w:tc>
                <w:tcPr>
                  <w:tcW w:w="208" w:type="pct"/>
                  <w:vMerge w:val="continue"/>
                  <w:noWrap w:val="0"/>
                  <w:vAlign w:val="center"/>
                </w:tcPr>
                <w:p w14:paraId="026249EB">
                  <w:pPr>
                    <w:pStyle w:val="107"/>
                    <w:widowControl/>
                    <w:ind w:firstLine="0" w:firstLineChars="0"/>
                    <w:jc w:val="center"/>
                    <w:rPr>
                      <w:rFonts w:hint="eastAsia" w:ascii="Times New Roman" w:hAnsi="Times New Roman" w:eastAsia="宋体"/>
                      <w:color w:val="auto"/>
                      <w:sz w:val="21"/>
                      <w:szCs w:val="21"/>
                      <w:highlight w:val="none"/>
                    </w:rPr>
                  </w:pPr>
                </w:p>
              </w:tc>
              <w:tc>
                <w:tcPr>
                  <w:tcW w:w="265" w:type="pct"/>
                  <w:noWrap w:val="0"/>
                  <w:vAlign w:val="center"/>
                </w:tcPr>
                <w:p w14:paraId="31DDE0B5">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0.052</w:t>
                  </w:r>
                </w:p>
              </w:tc>
              <w:tc>
                <w:tcPr>
                  <w:tcW w:w="284" w:type="pct"/>
                  <w:noWrap w:val="0"/>
                  <w:vAlign w:val="center"/>
                </w:tcPr>
                <w:p w14:paraId="40E32408">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0.0135</w:t>
                  </w:r>
                </w:p>
              </w:tc>
              <w:tc>
                <w:tcPr>
                  <w:tcW w:w="260" w:type="pct"/>
                  <w:noWrap w:val="0"/>
                  <w:vAlign w:val="center"/>
                </w:tcPr>
                <w:p w14:paraId="09AF7DD7">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13.5</w:t>
                  </w:r>
                </w:p>
              </w:tc>
              <w:tc>
                <w:tcPr>
                  <w:tcW w:w="338" w:type="pct"/>
                  <w:vMerge w:val="continue"/>
                  <w:noWrap/>
                  <w:vAlign w:val="center"/>
                </w:tcPr>
                <w:p w14:paraId="2A4C3B29">
                  <w:pPr>
                    <w:pStyle w:val="107"/>
                    <w:widowControl/>
                    <w:ind w:firstLine="0" w:firstLineChars="0"/>
                    <w:jc w:val="center"/>
                    <w:rPr>
                      <w:rFonts w:hint="eastAsia" w:ascii="Times New Roman" w:hAnsi="Times New Roman" w:eastAsia="宋体"/>
                      <w:color w:val="auto"/>
                      <w:sz w:val="21"/>
                      <w:szCs w:val="21"/>
                      <w:highlight w:val="none"/>
                    </w:rPr>
                  </w:pPr>
                </w:p>
              </w:tc>
              <w:tc>
                <w:tcPr>
                  <w:tcW w:w="323" w:type="pct"/>
                  <w:noWrap w:val="0"/>
                  <w:vAlign w:val="center"/>
                </w:tcPr>
                <w:p w14:paraId="55720EA1">
                  <w:pPr>
                    <w:pStyle w:val="107"/>
                    <w:widowControl/>
                    <w:ind w:firstLine="0" w:firstLineChars="0"/>
                    <w:jc w:val="center"/>
                    <w:rPr>
                      <w:rFonts w:hint="eastAsia" w:ascii="Times New Roman" w:hAnsi="Times New Roman" w:eastAsia="宋体"/>
                      <w:color w:val="auto"/>
                      <w:sz w:val="21"/>
                      <w:szCs w:val="21"/>
                      <w:highlight w:val="none"/>
                      <w:lang w:eastAsia="zh-CN"/>
                    </w:rPr>
                  </w:pPr>
                  <w:r>
                    <w:rPr>
                      <w:rFonts w:hint="eastAsia" w:ascii="Times New Roman" w:hAnsi="Times New Roman" w:eastAsia="宋体"/>
                      <w:color w:val="auto"/>
                      <w:sz w:val="21"/>
                      <w:szCs w:val="21"/>
                      <w:highlight w:val="none"/>
                      <w:lang w:val="en-US" w:eastAsia="zh-CN"/>
                    </w:rPr>
                    <w:t>/</w:t>
                  </w:r>
                </w:p>
              </w:tc>
              <w:tc>
                <w:tcPr>
                  <w:tcW w:w="329" w:type="pct"/>
                  <w:vMerge w:val="continue"/>
                  <w:noWrap w:val="0"/>
                  <w:vAlign w:val="center"/>
                </w:tcPr>
                <w:p w14:paraId="31021FC7">
                  <w:pPr>
                    <w:pStyle w:val="107"/>
                    <w:widowControl/>
                    <w:ind w:firstLine="0" w:firstLineChars="0"/>
                    <w:jc w:val="center"/>
                    <w:rPr>
                      <w:rFonts w:ascii="Times New Roman" w:hAnsi="Times New Roman" w:eastAsia="宋体"/>
                      <w:color w:val="auto"/>
                      <w:sz w:val="21"/>
                      <w:szCs w:val="21"/>
                      <w:highlight w:val="none"/>
                    </w:rPr>
                  </w:pPr>
                </w:p>
              </w:tc>
              <w:tc>
                <w:tcPr>
                  <w:tcW w:w="266" w:type="pct"/>
                  <w:noWrap w:val="0"/>
                  <w:vAlign w:val="center"/>
                </w:tcPr>
                <w:p w14:paraId="4DF6AD6F">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0.052</w:t>
                  </w:r>
                </w:p>
              </w:tc>
              <w:tc>
                <w:tcPr>
                  <w:tcW w:w="328" w:type="pct"/>
                  <w:noWrap w:val="0"/>
                  <w:vAlign w:val="center"/>
                </w:tcPr>
                <w:p w14:paraId="2825F5B1">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0.0135</w:t>
                  </w:r>
                </w:p>
              </w:tc>
              <w:tc>
                <w:tcPr>
                  <w:tcW w:w="257" w:type="pct"/>
                  <w:noWrap w:val="0"/>
                  <w:vAlign w:val="center"/>
                </w:tcPr>
                <w:p w14:paraId="063FC8A4">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13.5</w:t>
                  </w:r>
                </w:p>
              </w:tc>
              <w:tc>
                <w:tcPr>
                  <w:tcW w:w="307" w:type="pct"/>
                  <w:vMerge w:val="continue"/>
                  <w:noWrap w:val="0"/>
                  <w:vAlign w:val="center"/>
                </w:tcPr>
                <w:p w14:paraId="0CF4CBCE">
                  <w:pPr>
                    <w:pStyle w:val="107"/>
                    <w:widowControl/>
                    <w:ind w:firstLine="0" w:firstLineChars="0"/>
                    <w:jc w:val="center"/>
                    <w:rPr>
                      <w:rFonts w:hint="eastAsia" w:ascii="Times New Roman" w:hAnsi="Times New Roman" w:eastAsia="宋体"/>
                      <w:color w:val="auto"/>
                      <w:sz w:val="21"/>
                      <w:szCs w:val="21"/>
                      <w:highlight w:val="none"/>
                    </w:rPr>
                  </w:pPr>
                </w:p>
              </w:tc>
              <w:tc>
                <w:tcPr>
                  <w:tcW w:w="237" w:type="pct"/>
                  <w:vMerge w:val="continue"/>
                  <w:noWrap w:val="0"/>
                  <w:vAlign w:val="center"/>
                </w:tcPr>
                <w:p w14:paraId="71CDF6FB">
                  <w:pPr>
                    <w:pStyle w:val="107"/>
                    <w:widowControl/>
                    <w:ind w:firstLine="0" w:firstLineChars="0"/>
                    <w:jc w:val="center"/>
                    <w:rPr>
                      <w:rFonts w:hint="eastAsia" w:ascii="Times New Roman" w:hAnsi="Times New Roman" w:eastAsia="宋体"/>
                      <w:color w:val="auto"/>
                      <w:sz w:val="21"/>
                      <w:szCs w:val="21"/>
                      <w:highlight w:val="none"/>
                    </w:rPr>
                  </w:pPr>
                </w:p>
              </w:tc>
              <w:tc>
                <w:tcPr>
                  <w:tcW w:w="394" w:type="pct"/>
                  <w:vMerge w:val="continue"/>
                  <w:noWrap w:val="0"/>
                  <w:vAlign w:val="center"/>
                </w:tcPr>
                <w:p w14:paraId="0443C50D">
                  <w:pPr>
                    <w:pStyle w:val="107"/>
                    <w:widowControl/>
                    <w:ind w:firstLine="0" w:firstLineChars="0"/>
                    <w:jc w:val="center"/>
                    <w:rPr>
                      <w:rFonts w:hint="eastAsia" w:ascii="Times New Roman" w:hAnsi="Times New Roman" w:eastAsia="宋体" w:cs="Times New Roman"/>
                      <w:color w:val="auto"/>
                      <w:sz w:val="21"/>
                      <w:szCs w:val="21"/>
                      <w:highlight w:val="none"/>
                      <w:lang w:val="en-US" w:eastAsia="zh-CN"/>
                    </w:rPr>
                  </w:pPr>
                </w:p>
              </w:tc>
              <w:tc>
                <w:tcPr>
                  <w:tcW w:w="189" w:type="pct"/>
                  <w:vMerge w:val="continue"/>
                  <w:noWrap w:val="0"/>
                  <w:vAlign w:val="center"/>
                </w:tcPr>
                <w:p w14:paraId="43B10748">
                  <w:pPr>
                    <w:pStyle w:val="107"/>
                    <w:widowControl/>
                    <w:ind w:firstLine="0" w:firstLineChars="0"/>
                    <w:jc w:val="center"/>
                    <w:rPr>
                      <w:rFonts w:hint="eastAsia" w:ascii="Times New Roman" w:hAnsi="Times New Roman" w:eastAsia="宋体"/>
                      <w:color w:val="auto"/>
                      <w:sz w:val="21"/>
                      <w:szCs w:val="21"/>
                      <w:highlight w:val="none"/>
                    </w:rPr>
                  </w:pPr>
                </w:p>
              </w:tc>
              <w:tc>
                <w:tcPr>
                  <w:tcW w:w="280" w:type="pct"/>
                  <w:noWrap w:val="0"/>
                  <w:vAlign w:val="center"/>
                </w:tcPr>
                <w:p w14:paraId="1BCA60BB">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150</w:t>
                  </w:r>
                </w:p>
              </w:tc>
              <w:tc>
                <w:tcPr>
                  <w:tcW w:w="180" w:type="pct"/>
                  <w:noWrap w:val="0"/>
                  <w:vAlign w:val="center"/>
                </w:tcPr>
                <w:p w14:paraId="6872F9C1">
                  <w:pPr>
                    <w:pStyle w:val="107"/>
                    <w:widowControl/>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w:t>
                  </w:r>
                </w:p>
              </w:tc>
            </w:tr>
            <w:tr w14:paraId="276954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54" w:type="pct"/>
                  <w:vMerge w:val="continue"/>
                  <w:noWrap w:val="0"/>
                  <w:vAlign w:val="center"/>
                </w:tcPr>
                <w:p w14:paraId="2D09B3CC">
                  <w:pPr>
                    <w:pStyle w:val="107"/>
                    <w:widowControl/>
                    <w:ind w:firstLine="0" w:firstLineChars="0"/>
                    <w:jc w:val="center"/>
                    <w:rPr>
                      <w:rFonts w:hint="eastAsia" w:ascii="Times New Roman" w:hAnsi="Times New Roman" w:eastAsia="宋体"/>
                      <w:color w:val="auto"/>
                      <w:sz w:val="21"/>
                      <w:szCs w:val="21"/>
                      <w:highlight w:val="none"/>
                    </w:rPr>
                  </w:pPr>
                </w:p>
              </w:tc>
              <w:tc>
                <w:tcPr>
                  <w:tcW w:w="196" w:type="pct"/>
                  <w:noWrap w:val="0"/>
                  <w:vAlign w:val="center"/>
                </w:tcPr>
                <w:p w14:paraId="3CF52924">
                  <w:pPr>
                    <w:pStyle w:val="98"/>
                    <w:widowControl w:val="0"/>
                    <w:kinsoku/>
                    <w:autoSpaceDE/>
                    <w:autoSpaceDN/>
                    <w:adjustRightInd/>
                    <w:snapToGrid/>
                    <w:ind w:firstLine="0" w:firstLineChars="0"/>
                    <w:jc w:val="center"/>
                    <w:textAlignment w:val="auto"/>
                    <w:rPr>
                      <w:rFonts w:hint="eastAsia" w:ascii="Times New Roman" w:hAnsi="Times New Roman" w:eastAsia="宋体" w:cs="Times New Roman"/>
                      <w:snapToGrid/>
                      <w:color w:val="auto"/>
                      <w:kern w:val="2"/>
                      <w:szCs w:val="24"/>
                      <w:highlight w:val="none"/>
                      <w:lang w:eastAsia="zh-CN"/>
                    </w:rPr>
                  </w:pPr>
                  <w:r>
                    <w:rPr>
                      <w:rFonts w:hint="eastAsia" w:ascii="Times New Roman" w:hAnsi="Times New Roman" w:eastAsia="宋体" w:cs="Times New Roman"/>
                      <w:snapToGrid/>
                      <w:color w:val="auto"/>
                      <w:kern w:val="2"/>
                      <w:szCs w:val="24"/>
                      <w:highlight w:val="none"/>
                      <w:lang w:eastAsia="zh-CN"/>
                    </w:rPr>
                    <w:t>颗粒物</w:t>
                  </w:r>
                </w:p>
              </w:tc>
              <w:tc>
                <w:tcPr>
                  <w:tcW w:w="197" w:type="pct"/>
                  <w:vMerge w:val="restart"/>
                  <w:noWrap w:val="0"/>
                  <w:vAlign w:val="center"/>
                </w:tcPr>
                <w:p w14:paraId="029CBB72">
                  <w:pPr>
                    <w:pStyle w:val="98"/>
                    <w:widowControl w:val="0"/>
                    <w:kinsoku/>
                    <w:autoSpaceDE/>
                    <w:autoSpaceDN/>
                    <w:adjustRightInd/>
                    <w:snapToGrid/>
                    <w:ind w:firstLine="0" w:firstLineChars="0"/>
                    <w:jc w:val="center"/>
                    <w:textAlignment w:val="auto"/>
                    <w:rPr>
                      <w:rFonts w:hint="eastAsia" w:ascii="Times New Roman" w:hAnsi="Times New Roman" w:eastAsia="宋体" w:cs="Times New Roman"/>
                      <w:snapToGrid/>
                      <w:color w:val="auto"/>
                      <w:kern w:val="2"/>
                      <w:szCs w:val="24"/>
                      <w:highlight w:val="none"/>
                      <w:lang w:eastAsia="zh-CN"/>
                    </w:rPr>
                  </w:pPr>
                  <w:r>
                    <w:rPr>
                      <w:rFonts w:hint="eastAsia" w:cs="Times New Roman"/>
                      <w:snapToGrid/>
                      <w:color w:val="auto"/>
                      <w:kern w:val="2"/>
                      <w:szCs w:val="24"/>
                      <w:highlight w:val="none"/>
                      <w:lang w:val="en-US" w:eastAsia="zh-CN"/>
                    </w:rPr>
                    <w:t>二期</w:t>
                  </w:r>
                </w:p>
              </w:tc>
              <w:tc>
                <w:tcPr>
                  <w:tcW w:w="208" w:type="pct"/>
                  <w:vMerge w:val="restart"/>
                  <w:noWrap w:val="0"/>
                  <w:vAlign w:val="center"/>
                </w:tcPr>
                <w:p w14:paraId="00A8F9BF">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1000</w:t>
                  </w:r>
                </w:p>
              </w:tc>
              <w:tc>
                <w:tcPr>
                  <w:tcW w:w="265" w:type="pct"/>
                  <w:noWrap w:val="0"/>
                  <w:vAlign w:val="center"/>
                </w:tcPr>
                <w:p w14:paraId="3002194A">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0.032</w:t>
                  </w:r>
                </w:p>
              </w:tc>
              <w:tc>
                <w:tcPr>
                  <w:tcW w:w="284" w:type="pct"/>
                  <w:noWrap w:val="0"/>
                  <w:vAlign w:val="center"/>
                </w:tcPr>
                <w:p w14:paraId="5623C418">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0.0083</w:t>
                  </w:r>
                </w:p>
              </w:tc>
              <w:tc>
                <w:tcPr>
                  <w:tcW w:w="260" w:type="pct"/>
                  <w:noWrap w:val="0"/>
                  <w:vAlign w:val="center"/>
                </w:tcPr>
                <w:p w14:paraId="7766DEF9">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8.3</w:t>
                  </w:r>
                </w:p>
              </w:tc>
              <w:tc>
                <w:tcPr>
                  <w:tcW w:w="338" w:type="pct"/>
                  <w:vMerge w:val="restart"/>
                  <w:noWrap/>
                  <w:vAlign w:val="center"/>
                </w:tcPr>
                <w:p w14:paraId="0C4D4428">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低氮燃烧</w:t>
                  </w:r>
                </w:p>
              </w:tc>
              <w:tc>
                <w:tcPr>
                  <w:tcW w:w="323" w:type="pct"/>
                  <w:noWrap w:val="0"/>
                  <w:vAlign w:val="center"/>
                </w:tcPr>
                <w:p w14:paraId="2A744350">
                  <w:pPr>
                    <w:pStyle w:val="107"/>
                    <w:widowControl/>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w:t>
                  </w:r>
                </w:p>
              </w:tc>
              <w:tc>
                <w:tcPr>
                  <w:tcW w:w="329" w:type="pct"/>
                  <w:vMerge w:val="restart"/>
                  <w:noWrap w:val="0"/>
                  <w:vAlign w:val="center"/>
                </w:tcPr>
                <w:p w14:paraId="02DD6C6E">
                  <w:pPr>
                    <w:pStyle w:val="107"/>
                    <w:widowControl/>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是</w:t>
                  </w:r>
                </w:p>
              </w:tc>
              <w:tc>
                <w:tcPr>
                  <w:tcW w:w="266" w:type="pct"/>
                  <w:noWrap w:val="0"/>
                  <w:vAlign w:val="center"/>
                </w:tcPr>
                <w:p w14:paraId="0F9A5BF9">
                  <w:pPr>
                    <w:pStyle w:val="107"/>
                    <w:widowControl/>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0.032</w:t>
                  </w:r>
                </w:p>
              </w:tc>
              <w:tc>
                <w:tcPr>
                  <w:tcW w:w="328" w:type="pct"/>
                  <w:noWrap w:val="0"/>
                  <w:vAlign w:val="center"/>
                </w:tcPr>
                <w:p w14:paraId="5DCA1F61">
                  <w:pPr>
                    <w:pStyle w:val="107"/>
                    <w:widowControl/>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0.0083</w:t>
                  </w:r>
                </w:p>
              </w:tc>
              <w:tc>
                <w:tcPr>
                  <w:tcW w:w="257" w:type="pct"/>
                  <w:noWrap w:val="0"/>
                  <w:vAlign w:val="center"/>
                </w:tcPr>
                <w:p w14:paraId="755B3159">
                  <w:pPr>
                    <w:pStyle w:val="107"/>
                    <w:widowControl/>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8.3</w:t>
                  </w:r>
                </w:p>
              </w:tc>
              <w:tc>
                <w:tcPr>
                  <w:tcW w:w="307" w:type="pct"/>
                  <w:vMerge w:val="restart"/>
                  <w:noWrap w:val="0"/>
                  <w:vAlign w:val="center"/>
                </w:tcPr>
                <w:p w14:paraId="6D904312">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H=</w:t>
                  </w:r>
                  <w:r>
                    <w:rPr>
                      <w:rFonts w:hint="eastAsia" w:ascii="Times New Roman" w:hAnsi="Times New Roman" w:eastAsia="宋体"/>
                      <w:color w:val="auto"/>
                      <w:sz w:val="21"/>
                      <w:szCs w:val="21"/>
                      <w:highlight w:val="none"/>
                      <w:lang w:val="en-US" w:eastAsia="zh-CN"/>
                    </w:rPr>
                    <w:t>8</w:t>
                  </w:r>
                  <w:r>
                    <w:rPr>
                      <w:rFonts w:hint="eastAsia" w:ascii="Times New Roman" w:hAnsi="Times New Roman" w:eastAsia="宋体"/>
                      <w:color w:val="auto"/>
                      <w:sz w:val="21"/>
                      <w:szCs w:val="21"/>
                      <w:highlight w:val="none"/>
                    </w:rPr>
                    <w:t>m、內径</w:t>
                  </w:r>
                  <w:r>
                    <w:rPr>
                      <w:rFonts w:hint="eastAsia" w:ascii="Times New Roman" w:hAnsi="Times New Roman" w:eastAsia="宋体"/>
                      <w:color w:val="auto"/>
                      <w:sz w:val="21"/>
                      <w:szCs w:val="21"/>
                      <w:highlight w:val="none"/>
                      <w:lang w:val="en-US" w:eastAsia="zh-CN"/>
                    </w:rPr>
                    <w:t>1.2</w:t>
                  </w:r>
                  <w:r>
                    <w:rPr>
                      <w:rFonts w:hint="eastAsia" w:ascii="Times New Roman" w:hAnsi="Times New Roman" w:eastAsia="宋体"/>
                      <w:color w:val="auto"/>
                      <w:sz w:val="21"/>
                      <w:szCs w:val="21"/>
                      <w:highlight w:val="none"/>
                    </w:rPr>
                    <w:t>m、温度</w:t>
                  </w:r>
                  <w:r>
                    <w:rPr>
                      <w:rFonts w:hint="eastAsia" w:ascii="Times New Roman" w:hAnsi="Times New Roman" w:eastAsia="宋体"/>
                      <w:color w:val="auto"/>
                      <w:sz w:val="21"/>
                      <w:szCs w:val="21"/>
                      <w:highlight w:val="none"/>
                      <w:lang w:val="en-US" w:eastAsia="zh-CN"/>
                    </w:rPr>
                    <w:t>30</w:t>
                  </w:r>
                  <w:r>
                    <w:rPr>
                      <w:rFonts w:hint="eastAsia" w:ascii="宋体" w:hAnsi="宋体" w:eastAsia="宋体" w:cs="宋体"/>
                      <w:color w:val="auto"/>
                      <w:sz w:val="21"/>
                      <w:szCs w:val="21"/>
                      <w:highlight w:val="none"/>
                    </w:rPr>
                    <w:t>℃</w:t>
                  </w:r>
                </w:p>
              </w:tc>
              <w:tc>
                <w:tcPr>
                  <w:tcW w:w="237" w:type="pct"/>
                  <w:vMerge w:val="restart"/>
                  <w:noWrap w:val="0"/>
                  <w:vAlign w:val="center"/>
                </w:tcPr>
                <w:p w14:paraId="5D79DA84">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DA00</w:t>
                  </w:r>
                  <w:r>
                    <w:rPr>
                      <w:rFonts w:hint="eastAsia" w:ascii="Times New Roman" w:hAnsi="Times New Roman" w:eastAsia="宋体"/>
                      <w:color w:val="auto"/>
                      <w:sz w:val="21"/>
                      <w:szCs w:val="21"/>
                      <w:highlight w:val="none"/>
                      <w:lang w:val="en-US" w:eastAsia="zh-CN"/>
                    </w:rPr>
                    <w:t>5</w:t>
                  </w:r>
                  <w:r>
                    <w:rPr>
                      <w:rFonts w:hint="eastAsia" w:ascii="Times New Roman" w:hAnsi="Times New Roman" w:eastAsia="宋体"/>
                      <w:color w:val="auto"/>
                      <w:sz w:val="21"/>
                      <w:szCs w:val="21"/>
                      <w:highlight w:val="none"/>
                    </w:rPr>
                    <w:t>一般排放口</w:t>
                  </w:r>
                </w:p>
              </w:tc>
              <w:tc>
                <w:tcPr>
                  <w:tcW w:w="394" w:type="pct"/>
                  <w:vMerge w:val="restart"/>
                  <w:noWrap w:val="0"/>
                  <w:vAlign w:val="center"/>
                </w:tcPr>
                <w:p w14:paraId="703FD839">
                  <w:pPr>
                    <w:pStyle w:val="107"/>
                    <w:widowControl/>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119.635056 </w:t>
                  </w:r>
                </w:p>
                <w:p w14:paraId="4A67FDC9">
                  <w:pPr>
                    <w:pStyle w:val="107"/>
                    <w:widowControl/>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26.495430 </w:t>
                  </w:r>
                </w:p>
              </w:tc>
              <w:tc>
                <w:tcPr>
                  <w:tcW w:w="189" w:type="pct"/>
                  <w:vMerge w:val="restart"/>
                  <w:noWrap w:val="0"/>
                  <w:vAlign w:val="center"/>
                </w:tcPr>
                <w:p w14:paraId="2BA04262">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3840</w:t>
                  </w:r>
                </w:p>
              </w:tc>
              <w:tc>
                <w:tcPr>
                  <w:tcW w:w="280" w:type="pct"/>
                  <w:noWrap w:val="0"/>
                  <w:vAlign w:val="center"/>
                </w:tcPr>
                <w:p w14:paraId="2746D953">
                  <w:pPr>
                    <w:pStyle w:val="107"/>
                    <w:widowControl/>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20</w:t>
                  </w:r>
                </w:p>
              </w:tc>
              <w:tc>
                <w:tcPr>
                  <w:tcW w:w="180" w:type="pct"/>
                  <w:noWrap w:val="0"/>
                  <w:vAlign w:val="center"/>
                </w:tcPr>
                <w:p w14:paraId="4E98AC2C">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w:t>
                  </w:r>
                </w:p>
              </w:tc>
            </w:tr>
            <w:tr w14:paraId="2A12EA1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54" w:type="pct"/>
                  <w:vMerge w:val="continue"/>
                  <w:noWrap w:val="0"/>
                  <w:vAlign w:val="center"/>
                </w:tcPr>
                <w:p w14:paraId="6D0A81AF">
                  <w:pPr>
                    <w:pStyle w:val="107"/>
                    <w:widowControl/>
                    <w:ind w:firstLine="0" w:firstLineChars="0"/>
                    <w:jc w:val="center"/>
                    <w:rPr>
                      <w:rFonts w:hint="eastAsia" w:ascii="Times New Roman" w:hAnsi="Times New Roman" w:eastAsia="宋体"/>
                      <w:color w:val="auto"/>
                      <w:sz w:val="21"/>
                      <w:szCs w:val="21"/>
                      <w:highlight w:val="none"/>
                    </w:rPr>
                  </w:pPr>
                </w:p>
              </w:tc>
              <w:tc>
                <w:tcPr>
                  <w:tcW w:w="196" w:type="pct"/>
                  <w:noWrap w:val="0"/>
                  <w:vAlign w:val="center"/>
                </w:tcPr>
                <w:p w14:paraId="2B121AC3">
                  <w:pPr>
                    <w:pStyle w:val="98"/>
                    <w:widowControl w:val="0"/>
                    <w:kinsoku/>
                    <w:autoSpaceDE/>
                    <w:autoSpaceDN/>
                    <w:adjustRightInd/>
                    <w:snapToGrid/>
                    <w:ind w:firstLine="0" w:firstLineChars="0"/>
                    <w:jc w:val="center"/>
                    <w:textAlignment w:val="auto"/>
                    <w:rPr>
                      <w:rFonts w:hint="eastAsia" w:ascii="Times New Roman" w:hAnsi="Times New Roman" w:eastAsia="宋体" w:cs="Times New Roman"/>
                      <w:snapToGrid/>
                      <w:color w:val="auto"/>
                      <w:kern w:val="2"/>
                      <w:szCs w:val="24"/>
                      <w:highlight w:val="none"/>
                      <w:lang w:eastAsia="zh-CN"/>
                    </w:rPr>
                  </w:pPr>
                  <w:r>
                    <w:rPr>
                      <w:rFonts w:hint="eastAsia" w:ascii="Times New Roman" w:hAnsi="Times New Roman" w:eastAsia="宋体" w:cs="Times New Roman"/>
                      <w:snapToGrid/>
                      <w:color w:val="auto"/>
                      <w:kern w:val="2"/>
                      <w:szCs w:val="24"/>
                      <w:highlight w:val="none"/>
                      <w:lang w:eastAsia="zh-CN"/>
                    </w:rPr>
                    <w:t>SO</w:t>
                  </w:r>
                  <w:r>
                    <w:rPr>
                      <w:rFonts w:hint="eastAsia" w:ascii="Times New Roman" w:hAnsi="Times New Roman" w:eastAsia="宋体" w:cs="Times New Roman"/>
                      <w:snapToGrid/>
                      <w:color w:val="auto"/>
                      <w:kern w:val="2"/>
                      <w:szCs w:val="24"/>
                      <w:highlight w:val="none"/>
                      <w:vertAlign w:val="subscript"/>
                      <w:lang w:eastAsia="zh-CN"/>
                    </w:rPr>
                    <w:t>2</w:t>
                  </w:r>
                </w:p>
              </w:tc>
              <w:tc>
                <w:tcPr>
                  <w:tcW w:w="197" w:type="pct"/>
                  <w:vMerge w:val="continue"/>
                  <w:noWrap w:val="0"/>
                  <w:vAlign w:val="center"/>
                </w:tcPr>
                <w:p w14:paraId="71DB6C9D">
                  <w:pPr>
                    <w:pStyle w:val="98"/>
                    <w:widowControl w:val="0"/>
                    <w:kinsoku/>
                    <w:autoSpaceDE/>
                    <w:autoSpaceDN/>
                    <w:adjustRightInd/>
                    <w:snapToGrid/>
                    <w:ind w:firstLine="0" w:firstLineChars="0"/>
                    <w:jc w:val="center"/>
                    <w:textAlignment w:val="auto"/>
                    <w:rPr>
                      <w:rFonts w:hint="eastAsia" w:ascii="Times New Roman" w:hAnsi="Times New Roman" w:eastAsia="宋体" w:cs="Times New Roman"/>
                      <w:snapToGrid/>
                      <w:color w:val="auto"/>
                      <w:kern w:val="2"/>
                      <w:szCs w:val="24"/>
                      <w:highlight w:val="none"/>
                      <w:lang w:eastAsia="zh-CN"/>
                    </w:rPr>
                  </w:pPr>
                </w:p>
              </w:tc>
              <w:tc>
                <w:tcPr>
                  <w:tcW w:w="208" w:type="pct"/>
                  <w:vMerge w:val="continue"/>
                  <w:noWrap w:val="0"/>
                  <w:vAlign w:val="center"/>
                </w:tcPr>
                <w:p w14:paraId="00EE15D0">
                  <w:pPr>
                    <w:pStyle w:val="107"/>
                    <w:widowControl/>
                    <w:ind w:firstLine="0" w:firstLineChars="0"/>
                    <w:jc w:val="center"/>
                    <w:rPr>
                      <w:rFonts w:hint="eastAsia" w:ascii="Times New Roman" w:hAnsi="Times New Roman" w:eastAsia="宋体"/>
                      <w:color w:val="auto"/>
                      <w:sz w:val="21"/>
                      <w:szCs w:val="21"/>
                      <w:highlight w:val="none"/>
                    </w:rPr>
                  </w:pPr>
                </w:p>
              </w:tc>
              <w:tc>
                <w:tcPr>
                  <w:tcW w:w="265" w:type="pct"/>
                  <w:noWrap w:val="0"/>
                  <w:vAlign w:val="center"/>
                </w:tcPr>
                <w:p w14:paraId="55AD98C3">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0.022</w:t>
                  </w:r>
                </w:p>
              </w:tc>
              <w:tc>
                <w:tcPr>
                  <w:tcW w:w="284" w:type="pct"/>
                  <w:noWrap w:val="0"/>
                  <w:vAlign w:val="center"/>
                </w:tcPr>
                <w:p w14:paraId="5E29067A">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0.0057</w:t>
                  </w:r>
                </w:p>
              </w:tc>
              <w:tc>
                <w:tcPr>
                  <w:tcW w:w="260" w:type="pct"/>
                  <w:noWrap w:val="0"/>
                  <w:vAlign w:val="center"/>
                </w:tcPr>
                <w:p w14:paraId="40D47B1C">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5.7</w:t>
                  </w:r>
                </w:p>
              </w:tc>
              <w:tc>
                <w:tcPr>
                  <w:tcW w:w="338" w:type="pct"/>
                  <w:vMerge w:val="continue"/>
                  <w:noWrap/>
                  <w:vAlign w:val="center"/>
                </w:tcPr>
                <w:p w14:paraId="6D52EC2F">
                  <w:pPr>
                    <w:pStyle w:val="107"/>
                    <w:widowControl/>
                    <w:ind w:firstLine="0" w:firstLineChars="0"/>
                    <w:jc w:val="center"/>
                    <w:rPr>
                      <w:rFonts w:hint="eastAsia" w:ascii="Times New Roman" w:hAnsi="Times New Roman" w:eastAsia="宋体"/>
                      <w:color w:val="auto"/>
                      <w:sz w:val="21"/>
                      <w:szCs w:val="21"/>
                      <w:highlight w:val="none"/>
                    </w:rPr>
                  </w:pPr>
                </w:p>
              </w:tc>
              <w:tc>
                <w:tcPr>
                  <w:tcW w:w="323" w:type="pct"/>
                  <w:noWrap w:val="0"/>
                  <w:vAlign w:val="center"/>
                </w:tcPr>
                <w:p w14:paraId="0CD11A79">
                  <w:pPr>
                    <w:pStyle w:val="107"/>
                    <w:widowControl/>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rPr>
                    <w:t>/</w:t>
                  </w:r>
                </w:p>
              </w:tc>
              <w:tc>
                <w:tcPr>
                  <w:tcW w:w="329" w:type="pct"/>
                  <w:vMerge w:val="continue"/>
                  <w:noWrap w:val="0"/>
                  <w:vAlign w:val="center"/>
                </w:tcPr>
                <w:p w14:paraId="46C7FDB6">
                  <w:pPr>
                    <w:pStyle w:val="107"/>
                    <w:widowControl/>
                    <w:ind w:firstLine="0" w:firstLineChars="0"/>
                    <w:jc w:val="center"/>
                    <w:rPr>
                      <w:rFonts w:ascii="Times New Roman" w:hAnsi="Times New Roman" w:eastAsia="宋体"/>
                      <w:color w:val="auto"/>
                      <w:sz w:val="21"/>
                      <w:szCs w:val="21"/>
                      <w:highlight w:val="none"/>
                    </w:rPr>
                  </w:pPr>
                </w:p>
              </w:tc>
              <w:tc>
                <w:tcPr>
                  <w:tcW w:w="266" w:type="pct"/>
                  <w:noWrap w:val="0"/>
                  <w:vAlign w:val="center"/>
                </w:tcPr>
                <w:p w14:paraId="40241A61">
                  <w:pPr>
                    <w:pStyle w:val="107"/>
                    <w:widowControl/>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0.022</w:t>
                  </w:r>
                </w:p>
              </w:tc>
              <w:tc>
                <w:tcPr>
                  <w:tcW w:w="328" w:type="pct"/>
                  <w:noWrap w:val="0"/>
                  <w:vAlign w:val="center"/>
                </w:tcPr>
                <w:p w14:paraId="10868C2D">
                  <w:pPr>
                    <w:pStyle w:val="107"/>
                    <w:widowControl/>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0.0057</w:t>
                  </w:r>
                </w:p>
              </w:tc>
              <w:tc>
                <w:tcPr>
                  <w:tcW w:w="257" w:type="pct"/>
                  <w:noWrap w:val="0"/>
                  <w:vAlign w:val="center"/>
                </w:tcPr>
                <w:p w14:paraId="0D78D450">
                  <w:pPr>
                    <w:pStyle w:val="107"/>
                    <w:widowControl/>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5.7</w:t>
                  </w:r>
                </w:p>
              </w:tc>
              <w:tc>
                <w:tcPr>
                  <w:tcW w:w="307" w:type="pct"/>
                  <w:vMerge w:val="continue"/>
                  <w:noWrap w:val="0"/>
                  <w:vAlign w:val="center"/>
                </w:tcPr>
                <w:p w14:paraId="6921B6C2">
                  <w:pPr>
                    <w:pStyle w:val="107"/>
                    <w:widowControl/>
                    <w:ind w:firstLine="0" w:firstLineChars="0"/>
                    <w:jc w:val="center"/>
                    <w:rPr>
                      <w:rFonts w:hint="eastAsia" w:ascii="Times New Roman" w:hAnsi="Times New Roman" w:eastAsia="宋体"/>
                      <w:color w:val="auto"/>
                      <w:sz w:val="21"/>
                      <w:szCs w:val="21"/>
                      <w:highlight w:val="none"/>
                    </w:rPr>
                  </w:pPr>
                </w:p>
              </w:tc>
              <w:tc>
                <w:tcPr>
                  <w:tcW w:w="237" w:type="pct"/>
                  <w:vMerge w:val="continue"/>
                  <w:noWrap w:val="0"/>
                  <w:vAlign w:val="center"/>
                </w:tcPr>
                <w:p w14:paraId="33A2A34F">
                  <w:pPr>
                    <w:pStyle w:val="107"/>
                    <w:widowControl/>
                    <w:ind w:firstLine="0" w:firstLineChars="0"/>
                    <w:jc w:val="center"/>
                    <w:rPr>
                      <w:rFonts w:hint="eastAsia" w:ascii="Times New Roman" w:hAnsi="Times New Roman" w:eastAsia="宋体"/>
                      <w:color w:val="auto"/>
                      <w:sz w:val="21"/>
                      <w:szCs w:val="21"/>
                      <w:highlight w:val="none"/>
                    </w:rPr>
                  </w:pPr>
                </w:p>
              </w:tc>
              <w:tc>
                <w:tcPr>
                  <w:tcW w:w="394" w:type="pct"/>
                  <w:vMerge w:val="continue"/>
                  <w:noWrap w:val="0"/>
                  <w:vAlign w:val="center"/>
                </w:tcPr>
                <w:p w14:paraId="7B234891">
                  <w:pPr>
                    <w:pStyle w:val="107"/>
                    <w:widowControl/>
                    <w:ind w:firstLine="0" w:firstLineChars="0"/>
                    <w:jc w:val="center"/>
                    <w:rPr>
                      <w:rFonts w:hint="eastAsia" w:ascii="Times New Roman" w:hAnsi="Times New Roman" w:eastAsia="宋体" w:cs="Times New Roman"/>
                      <w:color w:val="auto"/>
                      <w:sz w:val="21"/>
                      <w:szCs w:val="21"/>
                      <w:highlight w:val="none"/>
                      <w:lang w:val="en-US" w:eastAsia="zh-CN"/>
                    </w:rPr>
                  </w:pPr>
                </w:p>
              </w:tc>
              <w:tc>
                <w:tcPr>
                  <w:tcW w:w="189" w:type="pct"/>
                  <w:vMerge w:val="continue"/>
                  <w:noWrap w:val="0"/>
                  <w:vAlign w:val="center"/>
                </w:tcPr>
                <w:p w14:paraId="6A64C9E2">
                  <w:pPr>
                    <w:pStyle w:val="107"/>
                    <w:widowControl/>
                    <w:ind w:firstLine="0" w:firstLineChars="0"/>
                    <w:jc w:val="center"/>
                    <w:rPr>
                      <w:rFonts w:hint="eastAsia" w:ascii="Times New Roman" w:hAnsi="Times New Roman" w:eastAsia="宋体"/>
                      <w:color w:val="auto"/>
                      <w:sz w:val="21"/>
                      <w:szCs w:val="21"/>
                      <w:highlight w:val="none"/>
                    </w:rPr>
                  </w:pPr>
                </w:p>
              </w:tc>
              <w:tc>
                <w:tcPr>
                  <w:tcW w:w="280" w:type="pct"/>
                  <w:noWrap w:val="0"/>
                  <w:vAlign w:val="center"/>
                </w:tcPr>
                <w:p w14:paraId="3EB4DE59">
                  <w:pPr>
                    <w:pStyle w:val="107"/>
                    <w:widowControl/>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50</w:t>
                  </w:r>
                </w:p>
              </w:tc>
              <w:tc>
                <w:tcPr>
                  <w:tcW w:w="180" w:type="pct"/>
                  <w:noWrap w:val="0"/>
                  <w:vAlign w:val="center"/>
                </w:tcPr>
                <w:p w14:paraId="24FB00FE">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w:t>
                  </w:r>
                </w:p>
              </w:tc>
            </w:tr>
            <w:tr w14:paraId="2013E1A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54" w:type="pct"/>
                  <w:vMerge w:val="continue"/>
                  <w:noWrap w:val="0"/>
                  <w:vAlign w:val="center"/>
                </w:tcPr>
                <w:p w14:paraId="53157A61">
                  <w:pPr>
                    <w:pStyle w:val="107"/>
                    <w:widowControl/>
                    <w:ind w:firstLine="0" w:firstLineChars="0"/>
                    <w:jc w:val="center"/>
                    <w:rPr>
                      <w:rFonts w:hint="eastAsia" w:ascii="Times New Roman" w:hAnsi="Times New Roman" w:eastAsia="宋体"/>
                      <w:color w:val="auto"/>
                      <w:sz w:val="21"/>
                      <w:szCs w:val="21"/>
                      <w:highlight w:val="none"/>
                    </w:rPr>
                  </w:pPr>
                </w:p>
              </w:tc>
              <w:tc>
                <w:tcPr>
                  <w:tcW w:w="196" w:type="pct"/>
                  <w:noWrap w:val="0"/>
                  <w:vAlign w:val="center"/>
                </w:tcPr>
                <w:p w14:paraId="7F87A33B">
                  <w:pPr>
                    <w:pStyle w:val="98"/>
                    <w:widowControl w:val="0"/>
                    <w:kinsoku/>
                    <w:autoSpaceDE/>
                    <w:autoSpaceDN/>
                    <w:adjustRightInd/>
                    <w:snapToGrid/>
                    <w:ind w:firstLine="0" w:firstLineChars="0"/>
                    <w:jc w:val="center"/>
                    <w:textAlignment w:val="auto"/>
                    <w:rPr>
                      <w:rFonts w:hint="eastAsia" w:ascii="Times New Roman" w:hAnsi="Times New Roman" w:eastAsia="宋体" w:cs="Times New Roman"/>
                      <w:snapToGrid/>
                      <w:color w:val="auto"/>
                      <w:kern w:val="2"/>
                      <w:szCs w:val="24"/>
                      <w:highlight w:val="none"/>
                      <w:lang w:eastAsia="zh-CN"/>
                    </w:rPr>
                  </w:pPr>
                  <w:r>
                    <w:rPr>
                      <w:rFonts w:hint="eastAsia" w:ascii="Times New Roman" w:hAnsi="Times New Roman" w:eastAsia="宋体" w:cs="Times New Roman"/>
                      <w:snapToGrid/>
                      <w:color w:val="auto"/>
                      <w:kern w:val="2"/>
                      <w:szCs w:val="24"/>
                      <w:highlight w:val="none"/>
                      <w:lang w:eastAsia="zh-CN"/>
                    </w:rPr>
                    <w:t>NO</w:t>
                  </w:r>
                  <w:r>
                    <w:rPr>
                      <w:rFonts w:hint="eastAsia" w:ascii="Times New Roman" w:hAnsi="Times New Roman" w:eastAsia="宋体" w:cs="Times New Roman"/>
                      <w:snapToGrid/>
                      <w:color w:val="auto"/>
                      <w:kern w:val="2"/>
                      <w:szCs w:val="24"/>
                      <w:highlight w:val="none"/>
                      <w:vertAlign w:val="subscript"/>
                      <w:lang w:eastAsia="zh-CN"/>
                    </w:rPr>
                    <w:t>X</w:t>
                  </w:r>
                </w:p>
              </w:tc>
              <w:tc>
                <w:tcPr>
                  <w:tcW w:w="197" w:type="pct"/>
                  <w:vMerge w:val="continue"/>
                  <w:noWrap w:val="0"/>
                  <w:vAlign w:val="center"/>
                </w:tcPr>
                <w:p w14:paraId="5909B4FE">
                  <w:pPr>
                    <w:pStyle w:val="98"/>
                    <w:widowControl w:val="0"/>
                    <w:kinsoku/>
                    <w:autoSpaceDE/>
                    <w:autoSpaceDN/>
                    <w:adjustRightInd/>
                    <w:snapToGrid/>
                    <w:ind w:firstLine="0" w:firstLineChars="0"/>
                    <w:jc w:val="center"/>
                    <w:textAlignment w:val="auto"/>
                    <w:rPr>
                      <w:rFonts w:hint="eastAsia" w:ascii="Times New Roman" w:hAnsi="Times New Roman" w:eastAsia="宋体" w:cs="Times New Roman"/>
                      <w:snapToGrid/>
                      <w:color w:val="auto"/>
                      <w:kern w:val="2"/>
                      <w:szCs w:val="24"/>
                      <w:highlight w:val="none"/>
                      <w:lang w:eastAsia="zh-CN"/>
                    </w:rPr>
                  </w:pPr>
                </w:p>
              </w:tc>
              <w:tc>
                <w:tcPr>
                  <w:tcW w:w="208" w:type="pct"/>
                  <w:vMerge w:val="continue"/>
                  <w:noWrap w:val="0"/>
                  <w:vAlign w:val="center"/>
                </w:tcPr>
                <w:p w14:paraId="069A8CA3">
                  <w:pPr>
                    <w:pStyle w:val="107"/>
                    <w:widowControl/>
                    <w:ind w:firstLine="0" w:firstLineChars="0"/>
                    <w:jc w:val="center"/>
                    <w:rPr>
                      <w:rFonts w:hint="eastAsia" w:ascii="Times New Roman" w:hAnsi="Times New Roman" w:eastAsia="宋体"/>
                      <w:color w:val="auto"/>
                      <w:sz w:val="21"/>
                      <w:szCs w:val="21"/>
                      <w:highlight w:val="none"/>
                    </w:rPr>
                  </w:pPr>
                </w:p>
              </w:tc>
              <w:tc>
                <w:tcPr>
                  <w:tcW w:w="265" w:type="pct"/>
                  <w:noWrap w:val="0"/>
                  <w:vAlign w:val="center"/>
                </w:tcPr>
                <w:p w14:paraId="49031FF2">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0.104</w:t>
                  </w:r>
                </w:p>
              </w:tc>
              <w:tc>
                <w:tcPr>
                  <w:tcW w:w="284" w:type="pct"/>
                  <w:noWrap w:val="0"/>
                  <w:vAlign w:val="center"/>
                </w:tcPr>
                <w:p w14:paraId="2DEB3A23">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0.027</w:t>
                  </w:r>
                </w:p>
              </w:tc>
              <w:tc>
                <w:tcPr>
                  <w:tcW w:w="260" w:type="pct"/>
                  <w:noWrap w:val="0"/>
                  <w:vAlign w:val="center"/>
                </w:tcPr>
                <w:p w14:paraId="5D9F3404">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27</w:t>
                  </w:r>
                </w:p>
              </w:tc>
              <w:tc>
                <w:tcPr>
                  <w:tcW w:w="338" w:type="pct"/>
                  <w:vMerge w:val="continue"/>
                  <w:noWrap/>
                  <w:vAlign w:val="center"/>
                </w:tcPr>
                <w:p w14:paraId="25B912BB">
                  <w:pPr>
                    <w:pStyle w:val="107"/>
                    <w:widowControl/>
                    <w:ind w:firstLine="0" w:firstLineChars="0"/>
                    <w:jc w:val="center"/>
                    <w:rPr>
                      <w:rFonts w:hint="eastAsia" w:ascii="Times New Roman" w:hAnsi="Times New Roman" w:eastAsia="宋体"/>
                      <w:color w:val="auto"/>
                      <w:sz w:val="21"/>
                      <w:szCs w:val="21"/>
                      <w:highlight w:val="none"/>
                    </w:rPr>
                  </w:pPr>
                </w:p>
              </w:tc>
              <w:tc>
                <w:tcPr>
                  <w:tcW w:w="323" w:type="pct"/>
                  <w:noWrap w:val="0"/>
                  <w:vAlign w:val="center"/>
                </w:tcPr>
                <w:p w14:paraId="4C721280">
                  <w:pPr>
                    <w:pStyle w:val="107"/>
                    <w:widowControl/>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w:t>
                  </w:r>
                </w:p>
              </w:tc>
              <w:tc>
                <w:tcPr>
                  <w:tcW w:w="329" w:type="pct"/>
                  <w:vMerge w:val="continue"/>
                  <w:noWrap w:val="0"/>
                  <w:vAlign w:val="center"/>
                </w:tcPr>
                <w:p w14:paraId="4C2A6884">
                  <w:pPr>
                    <w:pStyle w:val="107"/>
                    <w:widowControl/>
                    <w:ind w:firstLine="0" w:firstLineChars="0"/>
                    <w:jc w:val="center"/>
                    <w:rPr>
                      <w:rFonts w:ascii="Times New Roman" w:hAnsi="Times New Roman" w:eastAsia="宋体"/>
                      <w:color w:val="auto"/>
                      <w:sz w:val="21"/>
                      <w:szCs w:val="21"/>
                      <w:highlight w:val="none"/>
                    </w:rPr>
                  </w:pPr>
                </w:p>
              </w:tc>
              <w:tc>
                <w:tcPr>
                  <w:tcW w:w="266" w:type="pct"/>
                  <w:noWrap w:val="0"/>
                  <w:vAlign w:val="center"/>
                </w:tcPr>
                <w:p w14:paraId="3F1FA3E2">
                  <w:pPr>
                    <w:pStyle w:val="107"/>
                    <w:widowControl/>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0.104</w:t>
                  </w:r>
                </w:p>
              </w:tc>
              <w:tc>
                <w:tcPr>
                  <w:tcW w:w="328" w:type="pct"/>
                  <w:noWrap w:val="0"/>
                  <w:vAlign w:val="center"/>
                </w:tcPr>
                <w:p w14:paraId="7C46D213">
                  <w:pPr>
                    <w:pStyle w:val="107"/>
                    <w:widowControl/>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0.027</w:t>
                  </w:r>
                </w:p>
              </w:tc>
              <w:tc>
                <w:tcPr>
                  <w:tcW w:w="257" w:type="pct"/>
                  <w:noWrap w:val="0"/>
                  <w:vAlign w:val="center"/>
                </w:tcPr>
                <w:p w14:paraId="6B881B6D">
                  <w:pPr>
                    <w:pStyle w:val="107"/>
                    <w:widowControl/>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27</w:t>
                  </w:r>
                </w:p>
              </w:tc>
              <w:tc>
                <w:tcPr>
                  <w:tcW w:w="307" w:type="pct"/>
                  <w:vMerge w:val="continue"/>
                  <w:noWrap w:val="0"/>
                  <w:vAlign w:val="center"/>
                </w:tcPr>
                <w:p w14:paraId="78C31D39">
                  <w:pPr>
                    <w:pStyle w:val="107"/>
                    <w:widowControl/>
                    <w:ind w:firstLine="0" w:firstLineChars="0"/>
                    <w:jc w:val="center"/>
                    <w:rPr>
                      <w:rFonts w:hint="eastAsia" w:ascii="Times New Roman" w:hAnsi="Times New Roman" w:eastAsia="宋体"/>
                      <w:color w:val="auto"/>
                      <w:sz w:val="21"/>
                      <w:szCs w:val="21"/>
                      <w:highlight w:val="none"/>
                    </w:rPr>
                  </w:pPr>
                </w:p>
              </w:tc>
              <w:tc>
                <w:tcPr>
                  <w:tcW w:w="237" w:type="pct"/>
                  <w:vMerge w:val="continue"/>
                  <w:noWrap w:val="0"/>
                  <w:vAlign w:val="center"/>
                </w:tcPr>
                <w:p w14:paraId="76063B44">
                  <w:pPr>
                    <w:pStyle w:val="107"/>
                    <w:widowControl/>
                    <w:ind w:firstLine="0" w:firstLineChars="0"/>
                    <w:jc w:val="center"/>
                    <w:rPr>
                      <w:rFonts w:hint="eastAsia" w:ascii="Times New Roman" w:hAnsi="Times New Roman" w:eastAsia="宋体"/>
                      <w:color w:val="auto"/>
                      <w:sz w:val="21"/>
                      <w:szCs w:val="21"/>
                      <w:highlight w:val="none"/>
                    </w:rPr>
                  </w:pPr>
                </w:p>
              </w:tc>
              <w:tc>
                <w:tcPr>
                  <w:tcW w:w="394" w:type="pct"/>
                  <w:vMerge w:val="continue"/>
                  <w:noWrap w:val="0"/>
                  <w:vAlign w:val="center"/>
                </w:tcPr>
                <w:p w14:paraId="554CF69F">
                  <w:pPr>
                    <w:pStyle w:val="107"/>
                    <w:widowControl/>
                    <w:ind w:firstLine="0" w:firstLineChars="0"/>
                    <w:jc w:val="center"/>
                    <w:rPr>
                      <w:rFonts w:hint="eastAsia" w:ascii="Times New Roman" w:hAnsi="Times New Roman" w:eastAsia="宋体" w:cs="Times New Roman"/>
                      <w:color w:val="auto"/>
                      <w:sz w:val="21"/>
                      <w:szCs w:val="21"/>
                      <w:highlight w:val="none"/>
                      <w:lang w:val="en-US" w:eastAsia="zh-CN"/>
                    </w:rPr>
                  </w:pPr>
                </w:p>
              </w:tc>
              <w:tc>
                <w:tcPr>
                  <w:tcW w:w="189" w:type="pct"/>
                  <w:vMerge w:val="continue"/>
                  <w:noWrap w:val="0"/>
                  <w:vAlign w:val="center"/>
                </w:tcPr>
                <w:p w14:paraId="765174D9">
                  <w:pPr>
                    <w:pStyle w:val="107"/>
                    <w:widowControl/>
                    <w:ind w:firstLine="0" w:firstLineChars="0"/>
                    <w:jc w:val="center"/>
                    <w:rPr>
                      <w:rFonts w:hint="eastAsia" w:ascii="Times New Roman" w:hAnsi="Times New Roman" w:eastAsia="宋体"/>
                      <w:color w:val="auto"/>
                      <w:sz w:val="21"/>
                      <w:szCs w:val="21"/>
                      <w:highlight w:val="none"/>
                    </w:rPr>
                  </w:pPr>
                </w:p>
              </w:tc>
              <w:tc>
                <w:tcPr>
                  <w:tcW w:w="280" w:type="pct"/>
                  <w:noWrap w:val="0"/>
                  <w:vAlign w:val="center"/>
                </w:tcPr>
                <w:p w14:paraId="7DECF8EF">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150</w:t>
                  </w:r>
                </w:p>
              </w:tc>
              <w:tc>
                <w:tcPr>
                  <w:tcW w:w="180" w:type="pct"/>
                  <w:noWrap w:val="0"/>
                  <w:vAlign w:val="center"/>
                </w:tcPr>
                <w:p w14:paraId="0DAC1D00">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w:t>
                  </w:r>
                </w:p>
              </w:tc>
            </w:tr>
            <w:tr w14:paraId="0DAD8AF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9" w:hRule="atLeast"/>
                <w:jc w:val="center"/>
              </w:trPr>
              <w:tc>
                <w:tcPr>
                  <w:tcW w:w="154" w:type="pct"/>
                  <w:vMerge w:val="restart"/>
                  <w:noWrap w:val="0"/>
                  <w:vAlign w:val="center"/>
                </w:tcPr>
                <w:p w14:paraId="28A8AC63">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沥青烟</w:t>
                  </w:r>
                  <w:r>
                    <w:rPr>
                      <w:rFonts w:hint="eastAsia" w:ascii="Times New Roman" w:hAnsi="Times New Roman" w:eastAsia="宋体"/>
                      <w:color w:val="auto"/>
                      <w:sz w:val="21"/>
                      <w:szCs w:val="21"/>
                      <w:highlight w:val="none"/>
                    </w:rPr>
                    <w:t>废气</w:t>
                  </w:r>
                </w:p>
              </w:tc>
              <w:tc>
                <w:tcPr>
                  <w:tcW w:w="196" w:type="pct"/>
                  <w:noWrap w:val="0"/>
                  <w:vAlign w:val="center"/>
                </w:tcPr>
                <w:p w14:paraId="1ECE5AC1">
                  <w:pPr>
                    <w:pStyle w:val="98"/>
                    <w:widowControl w:val="0"/>
                    <w:kinsoku/>
                    <w:autoSpaceDE/>
                    <w:autoSpaceDN/>
                    <w:adjustRightInd/>
                    <w:snapToGrid/>
                    <w:ind w:firstLine="0" w:firstLineChars="0"/>
                    <w:jc w:val="center"/>
                    <w:textAlignment w:val="auto"/>
                    <w:rPr>
                      <w:rFonts w:hint="eastAsia"/>
                      <w:color w:val="auto"/>
                      <w:szCs w:val="21"/>
                      <w:highlight w:val="none"/>
                    </w:rPr>
                  </w:pPr>
                  <w:r>
                    <w:rPr>
                      <w:rFonts w:hint="eastAsia" w:ascii="Times New Roman" w:hAnsi="Times New Roman" w:eastAsia="宋体" w:cs="Times New Roman"/>
                      <w:snapToGrid/>
                      <w:color w:val="auto"/>
                      <w:kern w:val="2"/>
                      <w:szCs w:val="24"/>
                      <w:highlight w:val="none"/>
                      <w:lang w:val="en-US" w:eastAsia="zh-CN"/>
                    </w:rPr>
                    <w:t>沥青烟</w:t>
                  </w:r>
                </w:p>
              </w:tc>
              <w:tc>
                <w:tcPr>
                  <w:tcW w:w="197" w:type="pct"/>
                  <w:vMerge w:val="restart"/>
                  <w:noWrap w:val="0"/>
                  <w:vAlign w:val="center"/>
                </w:tcPr>
                <w:p w14:paraId="1C591388">
                  <w:pPr>
                    <w:pStyle w:val="98"/>
                    <w:widowControl w:val="0"/>
                    <w:kinsoku/>
                    <w:autoSpaceDE/>
                    <w:autoSpaceDN/>
                    <w:adjustRightInd/>
                    <w:snapToGrid/>
                    <w:ind w:firstLine="0" w:firstLineChars="0"/>
                    <w:jc w:val="center"/>
                    <w:textAlignment w:val="auto"/>
                    <w:rPr>
                      <w:rFonts w:hint="eastAsia" w:ascii="Times New Roman" w:hAnsi="Times New Roman" w:eastAsia="宋体" w:cs="Times New Roman"/>
                      <w:snapToGrid/>
                      <w:color w:val="auto"/>
                      <w:kern w:val="2"/>
                      <w:szCs w:val="24"/>
                      <w:highlight w:val="none"/>
                      <w:lang w:val="en-US" w:eastAsia="zh-CN"/>
                    </w:rPr>
                  </w:pPr>
                  <w:r>
                    <w:rPr>
                      <w:rFonts w:hint="eastAsia" w:cs="Times New Roman"/>
                      <w:snapToGrid/>
                      <w:color w:val="auto"/>
                      <w:kern w:val="2"/>
                      <w:szCs w:val="24"/>
                      <w:highlight w:val="none"/>
                      <w:lang w:val="en-US" w:eastAsia="zh-CN"/>
                    </w:rPr>
                    <w:t>一期</w:t>
                  </w:r>
                </w:p>
              </w:tc>
              <w:tc>
                <w:tcPr>
                  <w:tcW w:w="208" w:type="pct"/>
                  <w:vMerge w:val="restart"/>
                  <w:noWrap w:val="0"/>
                  <w:vAlign w:val="center"/>
                </w:tcPr>
                <w:p w14:paraId="63DF0843">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8000</w:t>
                  </w:r>
                </w:p>
              </w:tc>
              <w:tc>
                <w:tcPr>
                  <w:tcW w:w="265" w:type="pct"/>
                  <w:noWrap w:val="0"/>
                  <w:vAlign w:val="center"/>
                </w:tcPr>
                <w:p w14:paraId="4DD3D069">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0.3386</w:t>
                  </w:r>
                </w:p>
              </w:tc>
              <w:tc>
                <w:tcPr>
                  <w:tcW w:w="284" w:type="pct"/>
                  <w:noWrap w:val="0"/>
                  <w:vAlign w:val="center"/>
                </w:tcPr>
                <w:p w14:paraId="1C5FC4AF">
                  <w:pPr>
                    <w:pStyle w:val="107"/>
                    <w:widowControl/>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0.088</w:t>
                  </w:r>
                </w:p>
              </w:tc>
              <w:tc>
                <w:tcPr>
                  <w:tcW w:w="260" w:type="pct"/>
                  <w:noWrap w:val="0"/>
                  <w:vAlign w:val="center"/>
                </w:tcPr>
                <w:p w14:paraId="1DB3B244">
                  <w:pPr>
                    <w:pStyle w:val="107"/>
                    <w:widowControl/>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w:t>
                  </w:r>
                </w:p>
              </w:tc>
              <w:tc>
                <w:tcPr>
                  <w:tcW w:w="338" w:type="pct"/>
                  <w:vMerge w:val="restart"/>
                  <w:noWrap/>
                  <w:vAlign w:val="center"/>
                </w:tcPr>
                <w:p w14:paraId="7AD487C8">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喷淋塔+除雾器+活性炭吸附装置</w:t>
                  </w:r>
                </w:p>
              </w:tc>
              <w:tc>
                <w:tcPr>
                  <w:tcW w:w="323" w:type="pct"/>
                  <w:vMerge w:val="restart"/>
                  <w:noWrap w:val="0"/>
                  <w:vAlign w:val="center"/>
                </w:tcPr>
                <w:p w14:paraId="0B021566">
                  <w:pPr>
                    <w:pStyle w:val="107"/>
                    <w:widowControl/>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80%</w:t>
                  </w:r>
                </w:p>
              </w:tc>
              <w:tc>
                <w:tcPr>
                  <w:tcW w:w="329" w:type="pct"/>
                  <w:vMerge w:val="restart"/>
                  <w:noWrap w:val="0"/>
                  <w:vAlign w:val="center"/>
                </w:tcPr>
                <w:p w14:paraId="14CB62B9">
                  <w:pPr>
                    <w:pStyle w:val="107"/>
                    <w:widowControl/>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是</w:t>
                  </w:r>
                </w:p>
              </w:tc>
              <w:tc>
                <w:tcPr>
                  <w:tcW w:w="266" w:type="pct"/>
                  <w:noWrap w:val="0"/>
                  <w:vAlign w:val="center"/>
                </w:tcPr>
                <w:p w14:paraId="16B53D2C">
                  <w:pPr>
                    <w:pStyle w:val="107"/>
                    <w:widowControl/>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0.068</w:t>
                  </w:r>
                </w:p>
              </w:tc>
              <w:tc>
                <w:tcPr>
                  <w:tcW w:w="328" w:type="pct"/>
                  <w:noWrap w:val="0"/>
                  <w:vAlign w:val="center"/>
                </w:tcPr>
                <w:p w14:paraId="4E880283">
                  <w:pPr>
                    <w:pStyle w:val="107"/>
                    <w:widowControl/>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0.018</w:t>
                  </w:r>
                </w:p>
              </w:tc>
              <w:tc>
                <w:tcPr>
                  <w:tcW w:w="257" w:type="pct"/>
                  <w:noWrap w:val="0"/>
                  <w:vAlign w:val="center"/>
                </w:tcPr>
                <w:p w14:paraId="08BF47E4">
                  <w:pPr>
                    <w:pStyle w:val="107"/>
                    <w:widowControl/>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2.25</w:t>
                  </w:r>
                </w:p>
              </w:tc>
              <w:tc>
                <w:tcPr>
                  <w:tcW w:w="307" w:type="pct"/>
                  <w:vMerge w:val="restart"/>
                  <w:noWrap w:val="0"/>
                  <w:vAlign w:val="center"/>
                </w:tcPr>
                <w:p w14:paraId="1704FEEC">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H=</w:t>
                  </w:r>
                  <w:r>
                    <w:rPr>
                      <w:rFonts w:hint="eastAsia" w:ascii="Times New Roman" w:hAnsi="Times New Roman" w:eastAsia="宋体"/>
                      <w:color w:val="auto"/>
                      <w:sz w:val="21"/>
                      <w:szCs w:val="21"/>
                      <w:highlight w:val="none"/>
                      <w:lang w:val="en-US" w:eastAsia="zh-CN"/>
                    </w:rPr>
                    <w:t>1</w:t>
                  </w:r>
                  <w:r>
                    <w:rPr>
                      <w:rFonts w:hint="eastAsia" w:ascii="Times New Roman" w:hAnsi="Times New Roman" w:eastAsia="宋体"/>
                      <w:color w:val="auto"/>
                      <w:sz w:val="21"/>
                      <w:szCs w:val="21"/>
                      <w:highlight w:val="none"/>
                    </w:rPr>
                    <w:t>5m、內径</w:t>
                  </w:r>
                  <w:r>
                    <w:rPr>
                      <w:rFonts w:hint="eastAsia" w:ascii="Times New Roman" w:hAnsi="Times New Roman" w:eastAsia="宋体"/>
                      <w:color w:val="auto"/>
                      <w:sz w:val="21"/>
                      <w:szCs w:val="21"/>
                      <w:highlight w:val="none"/>
                      <w:lang w:val="en-US" w:eastAsia="zh-CN"/>
                    </w:rPr>
                    <w:t>0.7</w:t>
                  </w:r>
                  <w:r>
                    <w:rPr>
                      <w:rFonts w:hint="eastAsia" w:ascii="Times New Roman" w:hAnsi="Times New Roman" w:eastAsia="宋体"/>
                      <w:color w:val="auto"/>
                      <w:sz w:val="21"/>
                      <w:szCs w:val="21"/>
                      <w:highlight w:val="none"/>
                    </w:rPr>
                    <w:t>m、温度25</w:t>
                  </w:r>
                  <w:r>
                    <w:rPr>
                      <w:rFonts w:hint="eastAsia" w:ascii="宋体" w:hAnsi="宋体" w:eastAsia="宋体" w:cs="宋体"/>
                      <w:color w:val="auto"/>
                      <w:sz w:val="21"/>
                      <w:szCs w:val="21"/>
                      <w:highlight w:val="none"/>
                    </w:rPr>
                    <w:t>℃</w:t>
                  </w:r>
                </w:p>
              </w:tc>
              <w:tc>
                <w:tcPr>
                  <w:tcW w:w="237" w:type="pct"/>
                  <w:vMerge w:val="restart"/>
                  <w:noWrap w:val="0"/>
                  <w:vAlign w:val="center"/>
                </w:tcPr>
                <w:p w14:paraId="6968DC6E">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DA00</w:t>
                  </w:r>
                  <w:r>
                    <w:rPr>
                      <w:rFonts w:hint="eastAsia" w:ascii="Times New Roman" w:hAnsi="Times New Roman" w:eastAsia="宋体"/>
                      <w:color w:val="auto"/>
                      <w:sz w:val="21"/>
                      <w:szCs w:val="21"/>
                      <w:highlight w:val="none"/>
                      <w:lang w:val="en-US" w:eastAsia="zh-CN"/>
                    </w:rPr>
                    <w:t>3</w:t>
                  </w:r>
                  <w:r>
                    <w:rPr>
                      <w:rFonts w:hint="eastAsia" w:ascii="Times New Roman" w:hAnsi="Times New Roman" w:eastAsia="宋体"/>
                      <w:color w:val="auto"/>
                      <w:sz w:val="21"/>
                      <w:szCs w:val="21"/>
                      <w:highlight w:val="none"/>
                    </w:rPr>
                    <w:t>一般排放口</w:t>
                  </w:r>
                </w:p>
              </w:tc>
              <w:tc>
                <w:tcPr>
                  <w:tcW w:w="394" w:type="pct"/>
                  <w:vMerge w:val="restart"/>
                  <w:noWrap w:val="0"/>
                  <w:vAlign w:val="center"/>
                </w:tcPr>
                <w:p w14:paraId="5C7B33DA">
                  <w:pPr>
                    <w:pStyle w:val="107"/>
                    <w:widowControl/>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119.635199 </w:t>
                  </w:r>
                </w:p>
                <w:p w14:paraId="549E489D">
                  <w:pPr>
                    <w:pStyle w:val="107"/>
                    <w:widowControl/>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26.495725  </w:t>
                  </w:r>
                </w:p>
              </w:tc>
              <w:tc>
                <w:tcPr>
                  <w:tcW w:w="189" w:type="pct"/>
                  <w:vMerge w:val="restart"/>
                  <w:noWrap w:val="0"/>
                  <w:vAlign w:val="center"/>
                </w:tcPr>
                <w:p w14:paraId="1B3B81EA">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3840</w:t>
                  </w:r>
                </w:p>
              </w:tc>
              <w:tc>
                <w:tcPr>
                  <w:tcW w:w="280" w:type="pct"/>
                  <w:noWrap w:val="0"/>
                  <w:vAlign w:val="center"/>
                </w:tcPr>
                <w:p w14:paraId="0BA8209D">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78</w:t>
                  </w:r>
                </w:p>
              </w:tc>
              <w:tc>
                <w:tcPr>
                  <w:tcW w:w="180" w:type="pct"/>
                  <w:noWrap w:val="0"/>
                  <w:vAlign w:val="center"/>
                </w:tcPr>
                <w:p w14:paraId="42D6C279">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0.18</w:t>
                  </w:r>
                </w:p>
              </w:tc>
            </w:tr>
            <w:tr w14:paraId="334AD33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9" w:hRule="atLeast"/>
                <w:jc w:val="center"/>
              </w:trPr>
              <w:tc>
                <w:tcPr>
                  <w:tcW w:w="154" w:type="pct"/>
                  <w:vMerge w:val="continue"/>
                  <w:noWrap w:val="0"/>
                  <w:vAlign w:val="center"/>
                </w:tcPr>
                <w:p w14:paraId="275962A0">
                  <w:pPr>
                    <w:pStyle w:val="107"/>
                    <w:widowControl/>
                    <w:ind w:firstLine="0" w:firstLineChars="0"/>
                    <w:jc w:val="center"/>
                    <w:rPr>
                      <w:rFonts w:hint="eastAsia" w:ascii="Times New Roman" w:hAnsi="Times New Roman" w:eastAsia="宋体"/>
                      <w:color w:val="auto"/>
                      <w:sz w:val="21"/>
                      <w:szCs w:val="21"/>
                      <w:highlight w:val="none"/>
                    </w:rPr>
                  </w:pPr>
                </w:p>
              </w:tc>
              <w:tc>
                <w:tcPr>
                  <w:tcW w:w="196" w:type="pct"/>
                  <w:noWrap w:val="0"/>
                  <w:vAlign w:val="center"/>
                </w:tcPr>
                <w:p w14:paraId="6669ED53">
                  <w:pPr>
                    <w:pStyle w:val="98"/>
                    <w:adjustRightInd/>
                    <w:snapToGrid/>
                    <w:rPr>
                      <w:rFonts w:hint="eastAsia"/>
                      <w:color w:val="auto"/>
                      <w:szCs w:val="21"/>
                      <w:highlight w:val="none"/>
                    </w:rPr>
                  </w:pPr>
                  <w:r>
                    <w:rPr>
                      <w:rFonts w:hint="eastAsia" w:ascii="Times New Roman" w:hAnsi="Times New Roman" w:eastAsia="宋体" w:cs="Times New Roman"/>
                      <w:color w:val="auto"/>
                      <w:highlight w:val="none"/>
                      <w:lang w:val="en-US" w:eastAsia="zh-CN"/>
                    </w:rPr>
                    <w:t>苯并[a]芘</w:t>
                  </w:r>
                </w:p>
              </w:tc>
              <w:tc>
                <w:tcPr>
                  <w:tcW w:w="197" w:type="pct"/>
                  <w:vMerge w:val="continue"/>
                  <w:noWrap w:val="0"/>
                  <w:vAlign w:val="center"/>
                </w:tcPr>
                <w:p w14:paraId="4B310EB3">
                  <w:pPr>
                    <w:pStyle w:val="98"/>
                    <w:adjustRightInd/>
                    <w:snapToGrid/>
                    <w:rPr>
                      <w:rFonts w:hint="eastAsia" w:ascii="Times New Roman" w:hAnsi="Times New Roman" w:eastAsia="宋体" w:cs="Times New Roman"/>
                      <w:color w:val="auto"/>
                      <w:highlight w:val="none"/>
                      <w:lang w:val="en-US" w:eastAsia="zh-CN"/>
                    </w:rPr>
                  </w:pPr>
                </w:p>
              </w:tc>
              <w:tc>
                <w:tcPr>
                  <w:tcW w:w="208" w:type="pct"/>
                  <w:vMerge w:val="continue"/>
                  <w:noWrap w:val="0"/>
                  <w:vAlign w:val="center"/>
                </w:tcPr>
                <w:p w14:paraId="77FFCB70">
                  <w:pPr>
                    <w:pStyle w:val="107"/>
                    <w:widowControl/>
                    <w:ind w:firstLine="0" w:firstLineChars="0"/>
                    <w:jc w:val="center"/>
                    <w:rPr>
                      <w:rFonts w:hint="eastAsia" w:ascii="Times New Roman" w:hAnsi="Times New Roman" w:eastAsia="宋体"/>
                      <w:color w:val="auto"/>
                      <w:sz w:val="21"/>
                      <w:szCs w:val="21"/>
                      <w:highlight w:val="none"/>
                    </w:rPr>
                  </w:pPr>
                </w:p>
              </w:tc>
              <w:tc>
                <w:tcPr>
                  <w:tcW w:w="265" w:type="pct"/>
                  <w:noWrap w:val="0"/>
                  <w:vAlign w:val="center"/>
                </w:tcPr>
                <w:p w14:paraId="4A19B769">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0.00045</w:t>
                  </w:r>
                </w:p>
              </w:tc>
              <w:tc>
                <w:tcPr>
                  <w:tcW w:w="284" w:type="pct"/>
                  <w:noWrap w:val="0"/>
                  <w:vAlign w:val="center"/>
                </w:tcPr>
                <w:p w14:paraId="5BCF6630">
                  <w:pPr>
                    <w:pStyle w:val="107"/>
                    <w:widowControl/>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0.0001</w:t>
                  </w:r>
                </w:p>
              </w:tc>
              <w:tc>
                <w:tcPr>
                  <w:tcW w:w="260" w:type="pct"/>
                  <w:noWrap w:val="0"/>
                  <w:vAlign w:val="center"/>
                </w:tcPr>
                <w:p w14:paraId="3132FD94">
                  <w:pPr>
                    <w:pStyle w:val="107"/>
                    <w:widowControl/>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0.0125</w:t>
                  </w:r>
                </w:p>
              </w:tc>
              <w:tc>
                <w:tcPr>
                  <w:tcW w:w="338" w:type="pct"/>
                  <w:vMerge w:val="continue"/>
                  <w:noWrap/>
                  <w:vAlign w:val="center"/>
                </w:tcPr>
                <w:p w14:paraId="31700EA0">
                  <w:pPr>
                    <w:pStyle w:val="107"/>
                    <w:widowControl/>
                    <w:ind w:firstLine="0" w:firstLineChars="0"/>
                    <w:jc w:val="center"/>
                    <w:rPr>
                      <w:rFonts w:hint="eastAsia" w:ascii="Times New Roman" w:hAnsi="Times New Roman" w:eastAsia="宋体"/>
                      <w:color w:val="auto"/>
                      <w:sz w:val="21"/>
                      <w:szCs w:val="21"/>
                      <w:highlight w:val="none"/>
                    </w:rPr>
                  </w:pPr>
                </w:p>
              </w:tc>
              <w:tc>
                <w:tcPr>
                  <w:tcW w:w="323" w:type="pct"/>
                  <w:vMerge w:val="continue"/>
                  <w:noWrap w:val="0"/>
                  <w:vAlign w:val="center"/>
                </w:tcPr>
                <w:p w14:paraId="51B28056">
                  <w:pPr>
                    <w:pStyle w:val="107"/>
                    <w:widowControl/>
                    <w:ind w:firstLine="0" w:firstLineChars="0"/>
                    <w:jc w:val="center"/>
                    <w:rPr>
                      <w:rFonts w:hint="eastAsia" w:ascii="Times New Roman" w:hAnsi="Times New Roman" w:eastAsia="宋体"/>
                      <w:color w:val="auto"/>
                      <w:sz w:val="21"/>
                      <w:szCs w:val="21"/>
                      <w:highlight w:val="none"/>
                    </w:rPr>
                  </w:pPr>
                </w:p>
              </w:tc>
              <w:tc>
                <w:tcPr>
                  <w:tcW w:w="329" w:type="pct"/>
                  <w:vMerge w:val="continue"/>
                  <w:noWrap w:val="0"/>
                  <w:vAlign w:val="center"/>
                </w:tcPr>
                <w:p w14:paraId="51B0CA46">
                  <w:pPr>
                    <w:pStyle w:val="107"/>
                    <w:widowControl/>
                    <w:ind w:firstLine="0" w:firstLineChars="0"/>
                    <w:jc w:val="center"/>
                    <w:rPr>
                      <w:rFonts w:hint="eastAsia" w:ascii="Times New Roman" w:hAnsi="Times New Roman" w:eastAsia="宋体"/>
                      <w:color w:val="auto"/>
                      <w:sz w:val="21"/>
                      <w:szCs w:val="21"/>
                      <w:highlight w:val="none"/>
                    </w:rPr>
                  </w:pPr>
                </w:p>
              </w:tc>
              <w:tc>
                <w:tcPr>
                  <w:tcW w:w="266" w:type="pct"/>
                  <w:noWrap w:val="0"/>
                  <w:vAlign w:val="center"/>
                </w:tcPr>
                <w:p w14:paraId="5339EE06">
                  <w:pPr>
                    <w:pStyle w:val="107"/>
                    <w:widowControl/>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0.0001</w:t>
                  </w:r>
                </w:p>
              </w:tc>
              <w:tc>
                <w:tcPr>
                  <w:tcW w:w="328" w:type="pct"/>
                  <w:noWrap w:val="0"/>
                  <w:vAlign w:val="center"/>
                </w:tcPr>
                <w:p w14:paraId="2620D744">
                  <w:pPr>
                    <w:pStyle w:val="107"/>
                    <w:widowControl/>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0.00003</w:t>
                  </w:r>
                </w:p>
              </w:tc>
              <w:tc>
                <w:tcPr>
                  <w:tcW w:w="257" w:type="pct"/>
                  <w:noWrap w:val="0"/>
                  <w:vAlign w:val="center"/>
                </w:tcPr>
                <w:p w14:paraId="7488A4E9">
                  <w:pPr>
                    <w:pStyle w:val="107"/>
                    <w:widowControl/>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0.004</w:t>
                  </w:r>
                </w:p>
              </w:tc>
              <w:tc>
                <w:tcPr>
                  <w:tcW w:w="307" w:type="pct"/>
                  <w:vMerge w:val="continue"/>
                  <w:noWrap w:val="0"/>
                  <w:vAlign w:val="center"/>
                </w:tcPr>
                <w:p w14:paraId="345D7158">
                  <w:pPr>
                    <w:pStyle w:val="107"/>
                    <w:widowControl/>
                    <w:ind w:firstLine="0" w:firstLineChars="0"/>
                    <w:jc w:val="center"/>
                    <w:rPr>
                      <w:rFonts w:hint="eastAsia" w:ascii="Times New Roman" w:hAnsi="Times New Roman" w:eastAsia="宋体"/>
                      <w:color w:val="auto"/>
                      <w:sz w:val="21"/>
                      <w:szCs w:val="21"/>
                      <w:highlight w:val="none"/>
                    </w:rPr>
                  </w:pPr>
                </w:p>
              </w:tc>
              <w:tc>
                <w:tcPr>
                  <w:tcW w:w="237" w:type="pct"/>
                  <w:vMerge w:val="continue"/>
                  <w:noWrap w:val="0"/>
                  <w:vAlign w:val="center"/>
                </w:tcPr>
                <w:p w14:paraId="147C71C8">
                  <w:pPr>
                    <w:pStyle w:val="107"/>
                    <w:widowControl/>
                    <w:ind w:firstLine="0" w:firstLineChars="0"/>
                    <w:jc w:val="center"/>
                    <w:rPr>
                      <w:rFonts w:hint="eastAsia" w:ascii="Times New Roman" w:hAnsi="Times New Roman" w:eastAsia="宋体"/>
                      <w:color w:val="auto"/>
                      <w:sz w:val="21"/>
                      <w:szCs w:val="21"/>
                      <w:highlight w:val="none"/>
                    </w:rPr>
                  </w:pPr>
                </w:p>
              </w:tc>
              <w:tc>
                <w:tcPr>
                  <w:tcW w:w="394" w:type="pct"/>
                  <w:vMerge w:val="continue"/>
                  <w:noWrap w:val="0"/>
                  <w:vAlign w:val="center"/>
                </w:tcPr>
                <w:p w14:paraId="14AC9184">
                  <w:pPr>
                    <w:pStyle w:val="107"/>
                    <w:widowControl/>
                    <w:ind w:firstLine="0" w:firstLineChars="0"/>
                    <w:jc w:val="center"/>
                    <w:rPr>
                      <w:rFonts w:hint="eastAsia" w:ascii="Times New Roman" w:hAnsi="Times New Roman" w:eastAsia="宋体" w:cs="Times New Roman"/>
                      <w:color w:val="auto"/>
                      <w:sz w:val="21"/>
                      <w:szCs w:val="21"/>
                      <w:highlight w:val="none"/>
                      <w:lang w:val="en-US" w:eastAsia="zh-CN"/>
                    </w:rPr>
                  </w:pPr>
                </w:p>
              </w:tc>
              <w:tc>
                <w:tcPr>
                  <w:tcW w:w="189" w:type="pct"/>
                  <w:vMerge w:val="continue"/>
                  <w:noWrap w:val="0"/>
                  <w:vAlign w:val="center"/>
                </w:tcPr>
                <w:p w14:paraId="0859EA76">
                  <w:pPr>
                    <w:pStyle w:val="107"/>
                    <w:widowControl/>
                    <w:ind w:firstLine="0" w:firstLineChars="0"/>
                    <w:jc w:val="center"/>
                    <w:rPr>
                      <w:rFonts w:hint="eastAsia" w:ascii="Times New Roman" w:hAnsi="Times New Roman" w:eastAsia="宋体"/>
                      <w:color w:val="auto"/>
                      <w:sz w:val="21"/>
                      <w:szCs w:val="21"/>
                      <w:highlight w:val="none"/>
                    </w:rPr>
                  </w:pPr>
                </w:p>
              </w:tc>
              <w:tc>
                <w:tcPr>
                  <w:tcW w:w="280" w:type="pct"/>
                  <w:noWrap w:val="0"/>
                  <w:vAlign w:val="center"/>
                </w:tcPr>
                <w:p w14:paraId="1964DE39">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0.3</w:t>
                  </w:r>
                  <w:r>
                    <w:rPr>
                      <w:rFonts w:hint="default" w:ascii="Arial" w:hAnsi="Arial" w:eastAsia="宋体" w:cs="Arial"/>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10</w:t>
                  </w:r>
                  <w:r>
                    <w:rPr>
                      <w:rFonts w:hint="eastAsia" w:ascii="Times New Roman" w:hAnsi="Times New Roman" w:eastAsia="宋体"/>
                      <w:color w:val="auto"/>
                      <w:sz w:val="21"/>
                      <w:szCs w:val="21"/>
                      <w:highlight w:val="none"/>
                      <w:vertAlign w:val="superscript"/>
                      <w:lang w:val="en-US" w:eastAsia="zh-CN"/>
                    </w:rPr>
                    <w:t>-3</w:t>
                  </w:r>
                </w:p>
              </w:tc>
              <w:tc>
                <w:tcPr>
                  <w:tcW w:w="180" w:type="pct"/>
                  <w:noWrap w:val="0"/>
                  <w:vAlign w:val="center"/>
                </w:tcPr>
                <w:p w14:paraId="79DC0BB3">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0.05</w:t>
                  </w:r>
                  <w:r>
                    <w:rPr>
                      <w:rFonts w:hint="default" w:ascii="Arial" w:hAnsi="Arial" w:eastAsia="宋体" w:cs="Arial"/>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10</w:t>
                  </w:r>
                  <w:r>
                    <w:rPr>
                      <w:rFonts w:hint="eastAsia" w:ascii="Times New Roman" w:hAnsi="Times New Roman" w:eastAsia="宋体"/>
                      <w:color w:val="auto"/>
                      <w:sz w:val="21"/>
                      <w:szCs w:val="21"/>
                      <w:highlight w:val="none"/>
                      <w:vertAlign w:val="superscript"/>
                      <w:lang w:val="en-US" w:eastAsia="zh-CN"/>
                    </w:rPr>
                    <w:t>-3</w:t>
                  </w:r>
                </w:p>
              </w:tc>
            </w:tr>
            <w:tr w14:paraId="1A593CE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9" w:hRule="atLeast"/>
                <w:jc w:val="center"/>
              </w:trPr>
              <w:tc>
                <w:tcPr>
                  <w:tcW w:w="154" w:type="pct"/>
                  <w:vMerge w:val="continue"/>
                  <w:noWrap w:val="0"/>
                  <w:vAlign w:val="center"/>
                </w:tcPr>
                <w:p w14:paraId="3227EFD6">
                  <w:pPr>
                    <w:pStyle w:val="107"/>
                    <w:widowControl/>
                    <w:ind w:firstLine="0" w:firstLineChars="0"/>
                    <w:jc w:val="center"/>
                    <w:rPr>
                      <w:rFonts w:hint="eastAsia" w:ascii="Times New Roman" w:hAnsi="Times New Roman" w:eastAsia="宋体"/>
                      <w:color w:val="auto"/>
                      <w:sz w:val="21"/>
                      <w:szCs w:val="21"/>
                      <w:highlight w:val="none"/>
                    </w:rPr>
                  </w:pPr>
                </w:p>
              </w:tc>
              <w:tc>
                <w:tcPr>
                  <w:tcW w:w="196" w:type="pct"/>
                  <w:noWrap w:val="0"/>
                  <w:vAlign w:val="center"/>
                </w:tcPr>
                <w:p w14:paraId="09276875">
                  <w:pPr>
                    <w:pStyle w:val="98"/>
                    <w:adjustRightInd/>
                    <w:snapToGrid/>
                    <w:rPr>
                      <w:rFonts w:hint="eastAsia" w:eastAsia="宋体"/>
                      <w:color w:val="auto"/>
                      <w:szCs w:val="21"/>
                      <w:highlight w:val="none"/>
                      <w:lang w:eastAsia="zh-CN"/>
                    </w:rPr>
                  </w:pPr>
                  <w:r>
                    <w:rPr>
                      <w:rFonts w:hint="eastAsia"/>
                      <w:color w:val="auto"/>
                      <w:szCs w:val="21"/>
                      <w:highlight w:val="none"/>
                      <w:lang w:val="en-US" w:eastAsia="zh-CN"/>
                    </w:rPr>
                    <w:t>非甲烷总烃</w:t>
                  </w:r>
                </w:p>
              </w:tc>
              <w:tc>
                <w:tcPr>
                  <w:tcW w:w="197" w:type="pct"/>
                  <w:vMerge w:val="continue"/>
                  <w:noWrap w:val="0"/>
                  <w:vAlign w:val="center"/>
                </w:tcPr>
                <w:p w14:paraId="32CD3D5B">
                  <w:pPr>
                    <w:pStyle w:val="98"/>
                    <w:adjustRightInd/>
                    <w:snapToGrid/>
                    <w:rPr>
                      <w:rFonts w:hint="eastAsia"/>
                      <w:color w:val="auto"/>
                      <w:szCs w:val="21"/>
                      <w:highlight w:val="none"/>
                      <w:lang w:val="en-US" w:eastAsia="zh-CN"/>
                    </w:rPr>
                  </w:pPr>
                </w:p>
              </w:tc>
              <w:tc>
                <w:tcPr>
                  <w:tcW w:w="208" w:type="pct"/>
                  <w:vMerge w:val="continue"/>
                  <w:noWrap w:val="0"/>
                  <w:vAlign w:val="center"/>
                </w:tcPr>
                <w:p w14:paraId="12F554E2">
                  <w:pPr>
                    <w:pStyle w:val="107"/>
                    <w:widowControl/>
                    <w:ind w:firstLine="0" w:firstLineChars="0"/>
                    <w:jc w:val="center"/>
                    <w:rPr>
                      <w:rFonts w:hint="eastAsia" w:ascii="Times New Roman" w:hAnsi="Times New Roman" w:eastAsia="宋体"/>
                      <w:color w:val="auto"/>
                      <w:sz w:val="21"/>
                      <w:szCs w:val="21"/>
                      <w:highlight w:val="none"/>
                    </w:rPr>
                  </w:pPr>
                </w:p>
              </w:tc>
              <w:tc>
                <w:tcPr>
                  <w:tcW w:w="265" w:type="pct"/>
                  <w:noWrap w:val="0"/>
                  <w:vAlign w:val="center"/>
                </w:tcPr>
                <w:p w14:paraId="0E6D9C1B">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0.0112</w:t>
                  </w:r>
                </w:p>
              </w:tc>
              <w:tc>
                <w:tcPr>
                  <w:tcW w:w="284" w:type="pct"/>
                  <w:noWrap w:val="0"/>
                  <w:vAlign w:val="center"/>
                </w:tcPr>
                <w:p w14:paraId="0B437333">
                  <w:pPr>
                    <w:pStyle w:val="107"/>
                    <w:widowControl/>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0.0029</w:t>
                  </w:r>
                </w:p>
              </w:tc>
              <w:tc>
                <w:tcPr>
                  <w:tcW w:w="260" w:type="pct"/>
                  <w:noWrap w:val="0"/>
                  <w:vAlign w:val="center"/>
                </w:tcPr>
                <w:p w14:paraId="13F17FE1">
                  <w:pPr>
                    <w:pStyle w:val="107"/>
                    <w:widowControl/>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0.3625</w:t>
                  </w:r>
                </w:p>
              </w:tc>
              <w:tc>
                <w:tcPr>
                  <w:tcW w:w="338" w:type="pct"/>
                  <w:vMerge w:val="continue"/>
                  <w:noWrap/>
                  <w:vAlign w:val="center"/>
                </w:tcPr>
                <w:p w14:paraId="0D3530C1">
                  <w:pPr>
                    <w:pStyle w:val="107"/>
                    <w:widowControl/>
                    <w:ind w:firstLine="0" w:firstLineChars="0"/>
                    <w:jc w:val="center"/>
                    <w:rPr>
                      <w:rFonts w:hint="eastAsia" w:ascii="Times New Roman" w:hAnsi="Times New Roman" w:eastAsia="宋体"/>
                      <w:color w:val="auto"/>
                      <w:sz w:val="21"/>
                      <w:szCs w:val="21"/>
                      <w:highlight w:val="none"/>
                    </w:rPr>
                  </w:pPr>
                </w:p>
              </w:tc>
              <w:tc>
                <w:tcPr>
                  <w:tcW w:w="323" w:type="pct"/>
                  <w:vMerge w:val="continue"/>
                  <w:noWrap w:val="0"/>
                  <w:vAlign w:val="center"/>
                </w:tcPr>
                <w:p w14:paraId="756607A9">
                  <w:pPr>
                    <w:pStyle w:val="107"/>
                    <w:widowControl/>
                    <w:ind w:firstLine="0" w:firstLineChars="0"/>
                    <w:jc w:val="center"/>
                    <w:rPr>
                      <w:rFonts w:hint="eastAsia" w:ascii="Times New Roman" w:hAnsi="Times New Roman" w:eastAsia="宋体"/>
                      <w:color w:val="auto"/>
                      <w:sz w:val="21"/>
                      <w:szCs w:val="21"/>
                      <w:highlight w:val="none"/>
                    </w:rPr>
                  </w:pPr>
                </w:p>
              </w:tc>
              <w:tc>
                <w:tcPr>
                  <w:tcW w:w="329" w:type="pct"/>
                  <w:vMerge w:val="continue"/>
                  <w:noWrap w:val="0"/>
                  <w:vAlign w:val="center"/>
                </w:tcPr>
                <w:p w14:paraId="0BD2F29D">
                  <w:pPr>
                    <w:pStyle w:val="107"/>
                    <w:widowControl/>
                    <w:ind w:firstLine="0" w:firstLineChars="0"/>
                    <w:jc w:val="center"/>
                    <w:rPr>
                      <w:rFonts w:hint="eastAsia" w:ascii="Times New Roman" w:hAnsi="Times New Roman" w:eastAsia="宋体"/>
                      <w:color w:val="auto"/>
                      <w:sz w:val="21"/>
                      <w:szCs w:val="21"/>
                      <w:highlight w:val="none"/>
                    </w:rPr>
                  </w:pPr>
                </w:p>
              </w:tc>
              <w:tc>
                <w:tcPr>
                  <w:tcW w:w="266" w:type="pct"/>
                  <w:noWrap w:val="0"/>
                  <w:vAlign w:val="center"/>
                </w:tcPr>
                <w:p w14:paraId="7F76E336">
                  <w:pPr>
                    <w:pStyle w:val="107"/>
                    <w:widowControl/>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0.0022</w:t>
                  </w:r>
                </w:p>
              </w:tc>
              <w:tc>
                <w:tcPr>
                  <w:tcW w:w="328" w:type="pct"/>
                  <w:noWrap w:val="0"/>
                  <w:vAlign w:val="center"/>
                </w:tcPr>
                <w:p w14:paraId="422B2DC1">
                  <w:pPr>
                    <w:pStyle w:val="107"/>
                    <w:widowControl/>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0.0006</w:t>
                  </w:r>
                </w:p>
              </w:tc>
              <w:tc>
                <w:tcPr>
                  <w:tcW w:w="257" w:type="pct"/>
                  <w:noWrap w:val="0"/>
                  <w:vAlign w:val="center"/>
                </w:tcPr>
                <w:p w14:paraId="62561231">
                  <w:pPr>
                    <w:pStyle w:val="107"/>
                    <w:widowControl/>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0.075</w:t>
                  </w:r>
                </w:p>
              </w:tc>
              <w:tc>
                <w:tcPr>
                  <w:tcW w:w="307" w:type="pct"/>
                  <w:vMerge w:val="continue"/>
                  <w:noWrap w:val="0"/>
                  <w:vAlign w:val="center"/>
                </w:tcPr>
                <w:p w14:paraId="6DD3D852">
                  <w:pPr>
                    <w:pStyle w:val="107"/>
                    <w:widowControl/>
                    <w:ind w:firstLine="0" w:firstLineChars="0"/>
                    <w:jc w:val="center"/>
                    <w:rPr>
                      <w:rFonts w:hint="eastAsia" w:ascii="Times New Roman" w:hAnsi="Times New Roman" w:eastAsia="宋体"/>
                      <w:color w:val="auto"/>
                      <w:sz w:val="21"/>
                      <w:szCs w:val="21"/>
                      <w:highlight w:val="none"/>
                    </w:rPr>
                  </w:pPr>
                </w:p>
              </w:tc>
              <w:tc>
                <w:tcPr>
                  <w:tcW w:w="237" w:type="pct"/>
                  <w:vMerge w:val="continue"/>
                  <w:noWrap w:val="0"/>
                  <w:vAlign w:val="center"/>
                </w:tcPr>
                <w:p w14:paraId="5EFED0D6">
                  <w:pPr>
                    <w:pStyle w:val="107"/>
                    <w:widowControl/>
                    <w:ind w:firstLine="0" w:firstLineChars="0"/>
                    <w:jc w:val="center"/>
                    <w:rPr>
                      <w:rFonts w:hint="eastAsia" w:ascii="Times New Roman" w:hAnsi="Times New Roman" w:eastAsia="宋体"/>
                      <w:color w:val="auto"/>
                      <w:sz w:val="21"/>
                      <w:szCs w:val="21"/>
                      <w:highlight w:val="none"/>
                    </w:rPr>
                  </w:pPr>
                </w:p>
              </w:tc>
              <w:tc>
                <w:tcPr>
                  <w:tcW w:w="394" w:type="pct"/>
                  <w:vMerge w:val="continue"/>
                  <w:noWrap w:val="0"/>
                  <w:vAlign w:val="center"/>
                </w:tcPr>
                <w:p w14:paraId="5C2B59F2">
                  <w:pPr>
                    <w:pStyle w:val="107"/>
                    <w:widowControl/>
                    <w:ind w:firstLine="0" w:firstLineChars="0"/>
                    <w:jc w:val="center"/>
                    <w:rPr>
                      <w:rFonts w:hint="eastAsia" w:ascii="Times New Roman" w:hAnsi="Times New Roman" w:eastAsia="宋体" w:cs="Times New Roman"/>
                      <w:color w:val="auto"/>
                      <w:sz w:val="21"/>
                      <w:szCs w:val="21"/>
                      <w:highlight w:val="none"/>
                      <w:lang w:val="en-US" w:eastAsia="zh-CN"/>
                    </w:rPr>
                  </w:pPr>
                </w:p>
              </w:tc>
              <w:tc>
                <w:tcPr>
                  <w:tcW w:w="189" w:type="pct"/>
                  <w:vMerge w:val="continue"/>
                  <w:noWrap w:val="0"/>
                  <w:vAlign w:val="center"/>
                </w:tcPr>
                <w:p w14:paraId="60C6F581">
                  <w:pPr>
                    <w:pStyle w:val="107"/>
                    <w:widowControl/>
                    <w:ind w:firstLine="0" w:firstLineChars="0"/>
                    <w:jc w:val="center"/>
                    <w:rPr>
                      <w:rFonts w:hint="eastAsia" w:ascii="Times New Roman" w:hAnsi="Times New Roman" w:eastAsia="宋体"/>
                      <w:color w:val="auto"/>
                      <w:sz w:val="21"/>
                      <w:szCs w:val="21"/>
                      <w:highlight w:val="none"/>
                    </w:rPr>
                  </w:pPr>
                </w:p>
              </w:tc>
              <w:tc>
                <w:tcPr>
                  <w:tcW w:w="280" w:type="pct"/>
                  <w:noWrap w:val="0"/>
                  <w:vAlign w:val="center"/>
                </w:tcPr>
                <w:p w14:paraId="24B6A9B0">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120</w:t>
                  </w:r>
                </w:p>
              </w:tc>
              <w:tc>
                <w:tcPr>
                  <w:tcW w:w="180" w:type="pct"/>
                  <w:noWrap w:val="0"/>
                  <w:vAlign w:val="center"/>
                </w:tcPr>
                <w:p w14:paraId="0251BBF3">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10</w:t>
                  </w:r>
                </w:p>
              </w:tc>
            </w:tr>
            <w:tr w14:paraId="3E5363E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9" w:hRule="atLeast"/>
                <w:jc w:val="center"/>
              </w:trPr>
              <w:tc>
                <w:tcPr>
                  <w:tcW w:w="154" w:type="pct"/>
                  <w:vMerge w:val="continue"/>
                  <w:noWrap w:val="0"/>
                  <w:vAlign w:val="center"/>
                </w:tcPr>
                <w:p w14:paraId="732A011B">
                  <w:pPr>
                    <w:pStyle w:val="107"/>
                    <w:widowControl/>
                    <w:ind w:firstLine="0" w:firstLineChars="0"/>
                    <w:jc w:val="center"/>
                    <w:rPr>
                      <w:rFonts w:hint="eastAsia" w:ascii="Times New Roman" w:hAnsi="Times New Roman" w:eastAsia="宋体"/>
                      <w:color w:val="auto"/>
                      <w:sz w:val="21"/>
                      <w:szCs w:val="21"/>
                      <w:highlight w:val="none"/>
                    </w:rPr>
                  </w:pPr>
                </w:p>
              </w:tc>
              <w:tc>
                <w:tcPr>
                  <w:tcW w:w="196" w:type="pct"/>
                  <w:noWrap w:val="0"/>
                  <w:vAlign w:val="center"/>
                </w:tcPr>
                <w:p w14:paraId="434A7C23">
                  <w:pPr>
                    <w:pStyle w:val="98"/>
                    <w:widowControl w:val="0"/>
                    <w:kinsoku/>
                    <w:autoSpaceDE/>
                    <w:autoSpaceDN/>
                    <w:adjustRightInd/>
                    <w:snapToGrid/>
                    <w:ind w:firstLine="0" w:firstLineChars="0"/>
                    <w:jc w:val="center"/>
                    <w:textAlignment w:val="auto"/>
                    <w:rPr>
                      <w:rFonts w:hint="eastAsia"/>
                      <w:color w:val="auto"/>
                      <w:szCs w:val="21"/>
                      <w:highlight w:val="none"/>
                      <w:lang w:val="en-US" w:eastAsia="zh-CN"/>
                    </w:rPr>
                  </w:pPr>
                  <w:r>
                    <w:rPr>
                      <w:rFonts w:hint="eastAsia" w:ascii="Times New Roman" w:hAnsi="Times New Roman" w:eastAsia="宋体" w:cs="Times New Roman"/>
                      <w:snapToGrid/>
                      <w:color w:val="auto"/>
                      <w:kern w:val="2"/>
                      <w:szCs w:val="24"/>
                      <w:highlight w:val="none"/>
                      <w:lang w:val="en-US" w:eastAsia="zh-CN"/>
                    </w:rPr>
                    <w:t>沥青烟</w:t>
                  </w:r>
                </w:p>
              </w:tc>
              <w:tc>
                <w:tcPr>
                  <w:tcW w:w="197" w:type="pct"/>
                  <w:vMerge w:val="restart"/>
                  <w:noWrap w:val="0"/>
                  <w:vAlign w:val="center"/>
                </w:tcPr>
                <w:p w14:paraId="79F12FC8">
                  <w:pPr>
                    <w:pStyle w:val="98"/>
                    <w:widowControl w:val="0"/>
                    <w:kinsoku/>
                    <w:autoSpaceDE/>
                    <w:autoSpaceDN/>
                    <w:adjustRightInd/>
                    <w:snapToGrid/>
                    <w:ind w:firstLine="0" w:firstLineChars="0"/>
                    <w:jc w:val="center"/>
                    <w:textAlignment w:val="auto"/>
                    <w:rPr>
                      <w:rFonts w:hint="eastAsia"/>
                      <w:color w:val="auto"/>
                      <w:szCs w:val="21"/>
                      <w:highlight w:val="none"/>
                      <w:lang w:val="en-US" w:eastAsia="zh-CN"/>
                    </w:rPr>
                  </w:pPr>
                  <w:r>
                    <w:rPr>
                      <w:rFonts w:hint="eastAsia" w:cs="Times New Roman"/>
                      <w:snapToGrid/>
                      <w:color w:val="auto"/>
                      <w:kern w:val="2"/>
                      <w:szCs w:val="24"/>
                      <w:highlight w:val="none"/>
                      <w:lang w:val="en-US" w:eastAsia="zh-CN"/>
                    </w:rPr>
                    <w:t>二期</w:t>
                  </w:r>
                </w:p>
              </w:tc>
              <w:tc>
                <w:tcPr>
                  <w:tcW w:w="208" w:type="pct"/>
                  <w:vMerge w:val="restart"/>
                  <w:noWrap w:val="0"/>
                  <w:vAlign w:val="center"/>
                </w:tcPr>
                <w:p w14:paraId="6B2C0D3E">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10000</w:t>
                  </w:r>
                </w:p>
              </w:tc>
              <w:tc>
                <w:tcPr>
                  <w:tcW w:w="265" w:type="pct"/>
                  <w:noWrap w:val="0"/>
                  <w:vAlign w:val="center"/>
                </w:tcPr>
                <w:p w14:paraId="60DF41E5">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0.6772</w:t>
                  </w:r>
                </w:p>
              </w:tc>
              <w:tc>
                <w:tcPr>
                  <w:tcW w:w="284" w:type="pct"/>
                  <w:noWrap w:val="0"/>
                  <w:vAlign w:val="center"/>
                </w:tcPr>
                <w:p w14:paraId="6D884914">
                  <w:pPr>
                    <w:pStyle w:val="107"/>
                    <w:widowControl/>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0.176</w:t>
                  </w:r>
                </w:p>
              </w:tc>
              <w:tc>
                <w:tcPr>
                  <w:tcW w:w="260" w:type="pct"/>
                  <w:noWrap w:val="0"/>
                  <w:vAlign w:val="center"/>
                </w:tcPr>
                <w:p w14:paraId="13F2F11B">
                  <w:pPr>
                    <w:pStyle w:val="107"/>
                    <w:widowControl/>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17.6</w:t>
                  </w:r>
                </w:p>
              </w:tc>
              <w:tc>
                <w:tcPr>
                  <w:tcW w:w="338" w:type="pct"/>
                  <w:vMerge w:val="restart"/>
                  <w:noWrap/>
                  <w:vAlign w:val="center"/>
                </w:tcPr>
                <w:p w14:paraId="0B0EF06E">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喷淋塔+除雾器+</w:t>
                  </w:r>
                  <w:r>
                    <w:rPr>
                      <w:rFonts w:hint="eastAsia" w:ascii="Times New Roman" w:hAnsi="Times New Roman" w:eastAsia="宋体"/>
                      <w:color w:val="auto"/>
                      <w:sz w:val="21"/>
                      <w:szCs w:val="21"/>
                      <w:highlight w:val="none"/>
                    </w:rPr>
                    <w:t>活性炭吸附</w:t>
                  </w:r>
                  <w:r>
                    <w:rPr>
                      <w:rFonts w:hint="eastAsia" w:ascii="Times New Roman" w:hAnsi="Times New Roman" w:eastAsia="宋体"/>
                      <w:color w:val="auto"/>
                      <w:sz w:val="21"/>
                      <w:szCs w:val="21"/>
                      <w:highlight w:val="none"/>
                      <w:lang w:val="en-US" w:eastAsia="zh-CN"/>
                    </w:rPr>
                    <w:t>装置</w:t>
                  </w:r>
                </w:p>
              </w:tc>
              <w:tc>
                <w:tcPr>
                  <w:tcW w:w="323" w:type="pct"/>
                  <w:vMerge w:val="restart"/>
                  <w:noWrap w:val="0"/>
                  <w:vAlign w:val="center"/>
                </w:tcPr>
                <w:p w14:paraId="73FA4C9F">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80%</w:t>
                  </w:r>
                </w:p>
              </w:tc>
              <w:tc>
                <w:tcPr>
                  <w:tcW w:w="329" w:type="pct"/>
                  <w:vMerge w:val="restart"/>
                  <w:noWrap w:val="0"/>
                  <w:vAlign w:val="center"/>
                </w:tcPr>
                <w:p w14:paraId="718D730D">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是</w:t>
                  </w:r>
                </w:p>
              </w:tc>
              <w:tc>
                <w:tcPr>
                  <w:tcW w:w="266" w:type="pct"/>
                  <w:noWrap w:val="0"/>
                  <w:vAlign w:val="center"/>
                </w:tcPr>
                <w:p w14:paraId="4F0D7623">
                  <w:pPr>
                    <w:pStyle w:val="107"/>
                    <w:widowControl/>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0.135</w:t>
                  </w:r>
                </w:p>
              </w:tc>
              <w:tc>
                <w:tcPr>
                  <w:tcW w:w="328" w:type="pct"/>
                  <w:noWrap w:val="0"/>
                  <w:vAlign w:val="center"/>
                </w:tcPr>
                <w:p w14:paraId="1414D495">
                  <w:pPr>
                    <w:pStyle w:val="107"/>
                    <w:widowControl/>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0.035</w:t>
                  </w:r>
                </w:p>
              </w:tc>
              <w:tc>
                <w:tcPr>
                  <w:tcW w:w="257" w:type="pct"/>
                  <w:noWrap w:val="0"/>
                  <w:vAlign w:val="center"/>
                </w:tcPr>
                <w:p w14:paraId="11DABF6B">
                  <w:pPr>
                    <w:pStyle w:val="107"/>
                    <w:widowControl/>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3.5</w:t>
                  </w:r>
                </w:p>
              </w:tc>
              <w:tc>
                <w:tcPr>
                  <w:tcW w:w="307" w:type="pct"/>
                  <w:vMerge w:val="restart"/>
                  <w:noWrap w:val="0"/>
                  <w:vAlign w:val="center"/>
                </w:tcPr>
                <w:p w14:paraId="51ABA6C8">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H=</w:t>
                  </w:r>
                  <w:r>
                    <w:rPr>
                      <w:rFonts w:hint="eastAsia" w:ascii="Times New Roman" w:hAnsi="Times New Roman" w:eastAsia="宋体"/>
                      <w:color w:val="auto"/>
                      <w:sz w:val="21"/>
                      <w:szCs w:val="21"/>
                      <w:highlight w:val="none"/>
                      <w:lang w:val="en-US" w:eastAsia="zh-CN"/>
                    </w:rPr>
                    <w:t>1</w:t>
                  </w:r>
                  <w:r>
                    <w:rPr>
                      <w:rFonts w:hint="eastAsia" w:ascii="Times New Roman" w:hAnsi="Times New Roman" w:eastAsia="宋体"/>
                      <w:color w:val="auto"/>
                      <w:sz w:val="21"/>
                      <w:szCs w:val="21"/>
                      <w:highlight w:val="none"/>
                    </w:rPr>
                    <w:t>5m、內径</w:t>
                  </w:r>
                  <w:r>
                    <w:rPr>
                      <w:rFonts w:hint="eastAsia" w:ascii="Times New Roman" w:hAnsi="Times New Roman" w:eastAsia="宋体"/>
                      <w:color w:val="auto"/>
                      <w:sz w:val="21"/>
                      <w:szCs w:val="21"/>
                      <w:highlight w:val="none"/>
                      <w:lang w:val="en-US" w:eastAsia="zh-CN"/>
                    </w:rPr>
                    <w:t>0.7</w:t>
                  </w:r>
                  <w:r>
                    <w:rPr>
                      <w:rFonts w:hint="eastAsia" w:ascii="Times New Roman" w:hAnsi="Times New Roman" w:eastAsia="宋体"/>
                      <w:color w:val="auto"/>
                      <w:sz w:val="21"/>
                      <w:szCs w:val="21"/>
                      <w:highlight w:val="none"/>
                    </w:rPr>
                    <w:t>m、温度25</w:t>
                  </w:r>
                  <w:r>
                    <w:rPr>
                      <w:rFonts w:hint="eastAsia" w:ascii="宋体" w:hAnsi="宋体" w:eastAsia="宋体" w:cs="宋体"/>
                      <w:color w:val="auto"/>
                      <w:sz w:val="21"/>
                      <w:szCs w:val="21"/>
                      <w:highlight w:val="none"/>
                    </w:rPr>
                    <w:t>℃</w:t>
                  </w:r>
                </w:p>
              </w:tc>
              <w:tc>
                <w:tcPr>
                  <w:tcW w:w="237" w:type="pct"/>
                  <w:vMerge w:val="restart"/>
                  <w:noWrap w:val="0"/>
                  <w:vAlign w:val="center"/>
                </w:tcPr>
                <w:p w14:paraId="2A58EF0D">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DA00</w:t>
                  </w:r>
                  <w:r>
                    <w:rPr>
                      <w:rFonts w:hint="eastAsia" w:ascii="Times New Roman" w:hAnsi="Times New Roman" w:eastAsia="宋体"/>
                      <w:color w:val="auto"/>
                      <w:sz w:val="21"/>
                      <w:szCs w:val="21"/>
                      <w:highlight w:val="none"/>
                      <w:lang w:val="en-US" w:eastAsia="zh-CN"/>
                    </w:rPr>
                    <w:t>6</w:t>
                  </w:r>
                  <w:r>
                    <w:rPr>
                      <w:rFonts w:hint="eastAsia" w:ascii="Times New Roman" w:hAnsi="Times New Roman" w:eastAsia="宋体"/>
                      <w:color w:val="auto"/>
                      <w:sz w:val="21"/>
                      <w:szCs w:val="21"/>
                      <w:highlight w:val="none"/>
                    </w:rPr>
                    <w:t>一般排放口</w:t>
                  </w:r>
                </w:p>
              </w:tc>
              <w:tc>
                <w:tcPr>
                  <w:tcW w:w="394" w:type="pct"/>
                  <w:vMerge w:val="restart"/>
                  <w:noWrap w:val="0"/>
                  <w:vAlign w:val="center"/>
                </w:tcPr>
                <w:p w14:paraId="1A14E512">
                  <w:pPr>
                    <w:pStyle w:val="107"/>
                    <w:widowControl/>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119.634928 </w:t>
                  </w:r>
                </w:p>
                <w:p w14:paraId="45670A91">
                  <w:pPr>
                    <w:pStyle w:val="107"/>
                    <w:widowControl/>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26.495511 </w:t>
                  </w:r>
                </w:p>
              </w:tc>
              <w:tc>
                <w:tcPr>
                  <w:tcW w:w="189" w:type="pct"/>
                  <w:vMerge w:val="restart"/>
                  <w:noWrap w:val="0"/>
                  <w:vAlign w:val="center"/>
                </w:tcPr>
                <w:p w14:paraId="66992C6A">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3840</w:t>
                  </w:r>
                </w:p>
              </w:tc>
              <w:tc>
                <w:tcPr>
                  <w:tcW w:w="280" w:type="pct"/>
                  <w:noWrap w:val="0"/>
                  <w:vAlign w:val="center"/>
                </w:tcPr>
                <w:p w14:paraId="0F99ED7C">
                  <w:pPr>
                    <w:pStyle w:val="107"/>
                    <w:widowControl/>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78</w:t>
                  </w:r>
                </w:p>
              </w:tc>
              <w:tc>
                <w:tcPr>
                  <w:tcW w:w="180" w:type="pct"/>
                  <w:noWrap w:val="0"/>
                  <w:vAlign w:val="center"/>
                </w:tcPr>
                <w:p w14:paraId="1627CE44">
                  <w:pPr>
                    <w:pStyle w:val="107"/>
                    <w:widowControl/>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0.18</w:t>
                  </w:r>
                </w:p>
              </w:tc>
            </w:tr>
            <w:tr w14:paraId="35837ED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9" w:hRule="atLeast"/>
                <w:jc w:val="center"/>
              </w:trPr>
              <w:tc>
                <w:tcPr>
                  <w:tcW w:w="154" w:type="pct"/>
                  <w:vMerge w:val="continue"/>
                  <w:noWrap w:val="0"/>
                  <w:vAlign w:val="center"/>
                </w:tcPr>
                <w:p w14:paraId="2F911C88">
                  <w:pPr>
                    <w:pStyle w:val="107"/>
                    <w:widowControl/>
                    <w:ind w:firstLine="0" w:firstLineChars="0"/>
                    <w:jc w:val="center"/>
                    <w:rPr>
                      <w:rFonts w:hint="eastAsia" w:ascii="Times New Roman" w:hAnsi="Times New Roman" w:eastAsia="宋体"/>
                      <w:color w:val="auto"/>
                      <w:sz w:val="21"/>
                      <w:szCs w:val="21"/>
                      <w:highlight w:val="none"/>
                    </w:rPr>
                  </w:pPr>
                </w:p>
              </w:tc>
              <w:tc>
                <w:tcPr>
                  <w:tcW w:w="196" w:type="pct"/>
                  <w:noWrap w:val="0"/>
                  <w:vAlign w:val="center"/>
                </w:tcPr>
                <w:p w14:paraId="040BE2C4">
                  <w:pPr>
                    <w:pStyle w:val="98"/>
                    <w:adjustRightInd/>
                    <w:snapToGrid/>
                    <w:ind w:firstLine="0" w:firstLineChars="0"/>
                    <w:rPr>
                      <w:rFonts w:hint="eastAsia"/>
                      <w:color w:val="auto"/>
                      <w:szCs w:val="21"/>
                      <w:highlight w:val="none"/>
                      <w:lang w:val="en-US" w:eastAsia="zh-CN"/>
                    </w:rPr>
                  </w:pPr>
                  <w:r>
                    <w:rPr>
                      <w:rFonts w:hint="eastAsia" w:ascii="Times New Roman" w:hAnsi="Times New Roman" w:eastAsia="宋体" w:cs="Times New Roman"/>
                      <w:color w:val="auto"/>
                      <w:highlight w:val="none"/>
                      <w:lang w:val="en-US" w:eastAsia="zh-CN"/>
                    </w:rPr>
                    <w:t>苯并[a]芘</w:t>
                  </w:r>
                </w:p>
              </w:tc>
              <w:tc>
                <w:tcPr>
                  <w:tcW w:w="197" w:type="pct"/>
                  <w:vMerge w:val="continue"/>
                  <w:noWrap w:val="0"/>
                  <w:vAlign w:val="center"/>
                </w:tcPr>
                <w:p w14:paraId="48F061D1">
                  <w:pPr>
                    <w:pStyle w:val="98"/>
                    <w:adjustRightInd/>
                    <w:snapToGrid/>
                    <w:rPr>
                      <w:rFonts w:hint="eastAsia"/>
                      <w:color w:val="auto"/>
                      <w:szCs w:val="21"/>
                      <w:highlight w:val="none"/>
                      <w:lang w:val="en-US" w:eastAsia="zh-CN"/>
                    </w:rPr>
                  </w:pPr>
                </w:p>
              </w:tc>
              <w:tc>
                <w:tcPr>
                  <w:tcW w:w="208" w:type="pct"/>
                  <w:vMerge w:val="continue"/>
                  <w:noWrap w:val="0"/>
                  <w:vAlign w:val="center"/>
                </w:tcPr>
                <w:p w14:paraId="491C4267">
                  <w:pPr>
                    <w:pStyle w:val="107"/>
                    <w:widowControl/>
                    <w:ind w:firstLine="0" w:firstLineChars="0"/>
                    <w:jc w:val="center"/>
                    <w:rPr>
                      <w:rFonts w:hint="eastAsia" w:ascii="Times New Roman" w:hAnsi="Times New Roman" w:eastAsia="宋体"/>
                      <w:color w:val="auto"/>
                      <w:sz w:val="21"/>
                      <w:szCs w:val="21"/>
                      <w:highlight w:val="none"/>
                    </w:rPr>
                  </w:pPr>
                </w:p>
              </w:tc>
              <w:tc>
                <w:tcPr>
                  <w:tcW w:w="265" w:type="pct"/>
                  <w:noWrap w:val="0"/>
                  <w:vAlign w:val="center"/>
                </w:tcPr>
                <w:p w14:paraId="5DE7F05A">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0.0009</w:t>
                  </w:r>
                </w:p>
              </w:tc>
              <w:tc>
                <w:tcPr>
                  <w:tcW w:w="284" w:type="pct"/>
                  <w:noWrap w:val="0"/>
                  <w:vAlign w:val="center"/>
                </w:tcPr>
                <w:p w14:paraId="08136A8B">
                  <w:pPr>
                    <w:pStyle w:val="107"/>
                    <w:widowControl/>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0.0002</w:t>
                  </w:r>
                </w:p>
              </w:tc>
              <w:tc>
                <w:tcPr>
                  <w:tcW w:w="260" w:type="pct"/>
                  <w:noWrap w:val="0"/>
                  <w:vAlign w:val="center"/>
                </w:tcPr>
                <w:p w14:paraId="48A61FAF">
                  <w:pPr>
                    <w:pStyle w:val="107"/>
                    <w:widowControl/>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0.02</w:t>
                  </w:r>
                </w:p>
              </w:tc>
              <w:tc>
                <w:tcPr>
                  <w:tcW w:w="338" w:type="pct"/>
                  <w:vMerge w:val="continue"/>
                  <w:noWrap/>
                  <w:vAlign w:val="center"/>
                </w:tcPr>
                <w:p w14:paraId="477E81ED">
                  <w:pPr>
                    <w:pStyle w:val="107"/>
                    <w:widowControl/>
                    <w:ind w:firstLine="0" w:firstLineChars="0"/>
                    <w:jc w:val="center"/>
                    <w:rPr>
                      <w:rFonts w:hint="eastAsia" w:ascii="Times New Roman" w:hAnsi="Times New Roman" w:eastAsia="宋体"/>
                      <w:color w:val="auto"/>
                      <w:sz w:val="21"/>
                      <w:szCs w:val="21"/>
                      <w:highlight w:val="none"/>
                    </w:rPr>
                  </w:pPr>
                </w:p>
              </w:tc>
              <w:tc>
                <w:tcPr>
                  <w:tcW w:w="323" w:type="pct"/>
                  <w:vMerge w:val="continue"/>
                  <w:noWrap w:val="0"/>
                  <w:vAlign w:val="center"/>
                </w:tcPr>
                <w:p w14:paraId="11B360E3">
                  <w:pPr>
                    <w:pStyle w:val="107"/>
                    <w:widowControl/>
                    <w:ind w:firstLine="0" w:firstLineChars="0"/>
                    <w:jc w:val="center"/>
                    <w:rPr>
                      <w:rFonts w:hint="eastAsia" w:ascii="Times New Roman" w:hAnsi="Times New Roman" w:eastAsia="宋体"/>
                      <w:color w:val="auto"/>
                      <w:sz w:val="21"/>
                      <w:szCs w:val="21"/>
                      <w:highlight w:val="none"/>
                    </w:rPr>
                  </w:pPr>
                </w:p>
              </w:tc>
              <w:tc>
                <w:tcPr>
                  <w:tcW w:w="329" w:type="pct"/>
                  <w:vMerge w:val="continue"/>
                  <w:noWrap w:val="0"/>
                  <w:vAlign w:val="center"/>
                </w:tcPr>
                <w:p w14:paraId="7B37EFDF">
                  <w:pPr>
                    <w:pStyle w:val="107"/>
                    <w:widowControl/>
                    <w:ind w:firstLine="0" w:firstLineChars="0"/>
                    <w:jc w:val="center"/>
                    <w:rPr>
                      <w:rFonts w:hint="eastAsia" w:ascii="Times New Roman" w:hAnsi="Times New Roman" w:eastAsia="宋体"/>
                      <w:color w:val="auto"/>
                      <w:sz w:val="21"/>
                      <w:szCs w:val="21"/>
                      <w:highlight w:val="none"/>
                    </w:rPr>
                  </w:pPr>
                </w:p>
              </w:tc>
              <w:tc>
                <w:tcPr>
                  <w:tcW w:w="266" w:type="pct"/>
                  <w:noWrap w:val="0"/>
                  <w:vAlign w:val="center"/>
                </w:tcPr>
                <w:p w14:paraId="7CEB4A25">
                  <w:pPr>
                    <w:pStyle w:val="107"/>
                    <w:widowControl/>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0.0002</w:t>
                  </w:r>
                </w:p>
              </w:tc>
              <w:tc>
                <w:tcPr>
                  <w:tcW w:w="328" w:type="pct"/>
                  <w:noWrap w:val="0"/>
                  <w:vAlign w:val="center"/>
                </w:tcPr>
                <w:p w14:paraId="2649D8B6">
                  <w:pPr>
                    <w:pStyle w:val="107"/>
                    <w:widowControl/>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0.00005</w:t>
                  </w:r>
                </w:p>
              </w:tc>
              <w:tc>
                <w:tcPr>
                  <w:tcW w:w="257" w:type="pct"/>
                  <w:noWrap w:val="0"/>
                  <w:vAlign w:val="center"/>
                </w:tcPr>
                <w:p w14:paraId="44828A2C">
                  <w:pPr>
                    <w:pStyle w:val="107"/>
                    <w:widowControl/>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0.005</w:t>
                  </w:r>
                </w:p>
              </w:tc>
              <w:tc>
                <w:tcPr>
                  <w:tcW w:w="307" w:type="pct"/>
                  <w:vMerge w:val="continue"/>
                  <w:noWrap w:val="0"/>
                  <w:vAlign w:val="center"/>
                </w:tcPr>
                <w:p w14:paraId="41EF651E">
                  <w:pPr>
                    <w:pStyle w:val="107"/>
                    <w:widowControl/>
                    <w:ind w:firstLine="0" w:firstLineChars="0"/>
                    <w:jc w:val="center"/>
                    <w:rPr>
                      <w:rFonts w:hint="eastAsia" w:ascii="Times New Roman" w:hAnsi="Times New Roman" w:eastAsia="宋体"/>
                      <w:color w:val="auto"/>
                      <w:sz w:val="21"/>
                      <w:szCs w:val="21"/>
                      <w:highlight w:val="none"/>
                    </w:rPr>
                  </w:pPr>
                </w:p>
              </w:tc>
              <w:tc>
                <w:tcPr>
                  <w:tcW w:w="237" w:type="pct"/>
                  <w:vMerge w:val="continue"/>
                  <w:noWrap w:val="0"/>
                  <w:vAlign w:val="center"/>
                </w:tcPr>
                <w:p w14:paraId="025EA8A2">
                  <w:pPr>
                    <w:pStyle w:val="107"/>
                    <w:widowControl/>
                    <w:ind w:firstLine="0" w:firstLineChars="0"/>
                    <w:jc w:val="center"/>
                    <w:rPr>
                      <w:rFonts w:hint="eastAsia" w:ascii="Times New Roman" w:hAnsi="Times New Roman" w:eastAsia="宋体"/>
                      <w:color w:val="auto"/>
                      <w:sz w:val="21"/>
                      <w:szCs w:val="21"/>
                      <w:highlight w:val="none"/>
                    </w:rPr>
                  </w:pPr>
                </w:p>
              </w:tc>
              <w:tc>
                <w:tcPr>
                  <w:tcW w:w="394" w:type="pct"/>
                  <w:vMerge w:val="continue"/>
                  <w:noWrap w:val="0"/>
                  <w:vAlign w:val="center"/>
                </w:tcPr>
                <w:p w14:paraId="5FAEE884">
                  <w:pPr>
                    <w:pStyle w:val="107"/>
                    <w:widowControl/>
                    <w:ind w:firstLine="0" w:firstLineChars="0"/>
                    <w:jc w:val="center"/>
                    <w:rPr>
                      <w:rFonts w:hint="eastAsia" w:ascii="Times New Roman" w:hAnsi="Times New Roman" w:eastAsia="宋体" w:cs="Times New Roman"/>
                      <w:color w:val="auto"/>
                      <w:sz w:val="21"/>
                      <w:szCs w:val="21"/>
                      <w:highlight w:val="none"/>
                      <w:lang w:val="en-US" w:eastAsia="zh-CN"/>
                    </w:rPr>
                  </w:pPr>
                </w:p>
              </w:tc>
              <w:tc>
                <w:tcPr>
                  <w:tcW w:w="189" w:type="pct"/>
                  <w:vMerge w:val="continue"/>
                  <w:noWrap w:val="0"/>
                  <w:vAlign w:val="center"/>
                </w:tcPr>
                <w:p w14:paraId="03B8DB2E">
                  <w:pPr>
                    <w:pStyle w:val="107"/>
                    <w:widowControl/>
                    <w:ind w:firstLine="0" w:firstLineChars="0"/>
                    <w:jc w:val="center"/>
                    <w:rPr>
                      <w:rFonts w:hint="eastAsia" w:ascii="Times New Roman" w:hAnsi="Times New Roman" w:eastAsia="宋体"/>
                      <w:color w:val="auto"/>
                      <w:sz w:val="21"/>
                      <w:szCs w:val="21"/>
                      <w:highlight w:val="none"/>
                    </w:rPr>
                  </w:pPr>
                </w:p>
              </w:tc>
              <w:tc>
                <w:tcPr>
                  <w:tcW w:w="280" w:type="pct"/>
                  <w:noWrap w:val="0"/>
                  <w:vAlign w:val="center"/>
                </w:tcPr>
                <w:p w14:paraId="44B37838">
                  <w:pPr>
                    <w:pStyle w:val="107"/>
                    <w:widowControl/>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0.3</w:t>
                  </w:r>
                  <w:r>
                    <w:rPr>
                      <w:rFonts w:hint="default" w:ascii="Arial" w:hAnsi="Arial" w:eastAsia="宋体" w:cs="Arial"/>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10</w:t>
                  </w:r>
                  <w:r>
                    <w:rPr>
                      <w:rFonts w:hint="eastAsia" w:ascii="Times New Roman" w:hAnsi="Times New Roman" w:eastAsia="宋体"/>
                      <w:color w:val="auto"/>
                      <w:sz w:val="21"/>
                      <w:szCs w:val="21"/>
                      <w:highlight w:val="none"/>
                      <w:vertAlign w:val="superscript"/>
                      <w:lang w:val="en-US" w:eastAsia="zh-CN"/>
                    </w:rPr>
                    <w:t>-3</w:t>
                  </w:r>
                </w:p>
              </w:tc>
              <w:tc>
                <w:tcPr>
                  <w:tcW w:w="180" w:type="pct"/>
                  <w:noWrap w:val="0"/>
                  <w:vAlign w:val="center"/>
                </w:tcPr>
                <w:p w14:paraId="7DD2C163">
                  <w:pPr>
                    <w:pStyle w:val="107"/>
                    <w:widowControl/>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0.05</w:t>
                  </w:r>
                  <w:r>
                    <w:rPr>
                      <w:rFonts w:hint="default" w:ascii="Arial" w:hAnsi="Arial" w:eastAsia="宋体" w:cs="Arial"/>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10</w:t>
                  </w:r>
                  <w:r>
                    <w:rPr>
                      <w:rFonts w:hint="eastAsia" w:ascii="Times New Roman" w:hAnsi="Times New Roman" w:eastAsia="宋体"/>
                      <w:color w:val="auto"/>
                      <w:sz w:val="21"/>
                      <w:szCs w:val="21"/>
                      <w:highlight w:val="none"/>
                      <w:vertAlign w:val="superscript"/>
                      <w:lang w:val="en-US" w:eastAsia="zh-CN"/>
                    </w:rPr>
                    <w:t>-3</w:t>
                  </w:r>
                </w:p>
              </w:tc>
            </w:tr>
            <w:tr w14:paraId="6DB493E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9" w:hRule="atLeast"/>
                <w:jc w:val="center"/>
              </w:trPr>
              <w:tc>
                <w:tcPr>
                  <w:tcW w:w="154" w:type="pct"/>
                  <w:vMerge w:val="continue"/>
                  <w:noWrap w:val="0"/>
                  <w:vAlign w:val="center"/>
                </w:tcPr>
                <w:p w14:paraId="76B02A91">
                  <w:pPr>
                    <w:pStyle w:val="107"/>
                    <w:widowControl/>
                    <w:ind w:firstLine="0" w:firstLineChars="0"/>
                    <w:jc w:val="center"/>
                    <w:rPr>
                      <w:rFonts w:hint="eastAsia" w:ascii="Times New Roman" w:hAnsi="Times New Roman" w:eastAsia="宋体"/>
                      <w:color w:val="auto"/>
                      <w:sz w:val="21"/>
                      <w:szCs w:val="21"/>
                      <w:highlight w:val="none"/>
                    </w:rPr>
                  </w:pPr>
                </w:p>
              </w:tc>
              <w:tc>
                <w:tcPr>
                  <w:tcW w:w="196" w:type="pct"/>
                  <w:noWrap w:val="0"/>
                  <w:vAlign w:val="center"/>
                </w:tcPr>
                <w:p w14:paraId="143F0D14">
                  <w:pPr>
                    <w:pStyle w:val="98"/>
                    <w:adjustRightInd/>
                    <w:snapToGrid/>
                    <w:ind w:firstLine="0" w:firstLineChars="0"/>
                    <w:rPr>
                      <w:rFonts w:hint="eastAsia"/>
                      <w:color w:val="auto"/>
                      <w:szCs w:val="21"/>
                      <w:highlight w:val="none"/>
                      <w:lang w:val="en-US" w:eastAsia="zh-CN"/>
                    </w:rPr>
                  </w:pPr>
                  <w:r>
                    <w:rPr>
                      <w:rFonts w:hint="eastAsia"/>
                      <w:color w:val="auto"/>
                      <w:szCs w:val="21"/>
                      <w:highlight w:val="none"/>
                      <w:lang w:val="en-US" w:eastAsia="zh-CN"/>
                    </w:rPr>
                    <w:t>非甲烷总烃</w:t>
                  </w:r>
                </w:p>
              </w:tc>
              <w:tc>
                <w:tcPr>
                  <w:tcW w:w="197" w:type="pct"/>
                  <w:vMerge w:val="continue"/>
                  <w:noWrap w:val="0"/>
                  <w:vAlign w:val="center"/>
                </w:tcPr>
                <w:p w14:paraId="2D4505BD">
                  <w:pPr>
                    <w:pStyle w:val="98"/>
                    <w:adjustRightInd/>
                    <w:snapToGrid/>
                    <w:rPr>
                      <w:rFonts w:hint="eastAsia"/>
                      <w:color w:val="auto"/>
                      <w:szCs w:val="21"/>
                      <w:highlight w:val="none"/>
                      <w:lang w:val="en-US" w:eastAsia="zh-CN"/>
                    </w:rPr>
                  </w:pPr>
                </w:p>
              </w:tc>
              <w:tc>
                <w:tcPr>
                  <w:tcW w:w="208" w:type="pct"/>
                  <w:vMerge w:val="continue"/>
                  <w:noWrap w:val="0"/>
                  <w:vAlign w:val="center"/>
                </w:tcPr>
                <w:p w14:paraId="5AB8F7B6">
                  <w:pPr>
                    <w:pStyle w:val="107"/>
                    <w:widowControl/>
                    <w:ind w:firstLine="0" w:firstLineChars="0"/>
                    <w:jc w:val="center"/>
                    <w:rPr>
                      <w:rFonts w:hint="eastAsia" w:ascii="Times New Roman" w:hAnsi="Times New Roman" w:eastAsia="宋体"/>
                      <w:color w:val="auto"/>
                      <w:sz w:val="21"/>
                      <w:szCs w:val="21"/>
                      <w:highlight w:val="none"/>
                    </w:rPr>
                  </w:pPr>
                </w:p>
              </w:tc>
              <w:tc>
                <w:tcPr>
                  <w:tcW w:w="265" w:type="pct"/>
                  <w:noWrap w:val="0"/>
                  <w:vAlign w:val="center"/>
                </w:tcPr>
                <w:p w14:paraId="242BBE32">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0.0224</w:t>
                  </w:r>
                </w:p>
              </w:tc>
              <w:tc>
                <w:tcPr>
                  <w:tcW w:w="284" w:type="pct"/>
                  <w:noWrap w:val="0"/>
                  <w:vAlign w:val="center"/>
                </w:tcPr>
                <w:p w14:paraId="38E97648">
                  <w:pPr>
                    <w:pStyle w:val="107"/>
                    <w:widowControl/>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0.0058</w:t>
                  </w:r>
                </w:p>
              </w:tc>
              <w:tc>
                <w:tcPr>
                  <w:tcW w:w="260" w:type="pct"/>
                  <w:noWrap w:val="0"/>
                  <w:vAlign w:val="center"/>
                </w:tcPr>
                <w:p w14:paraId="167152B5">
                  <w:pPr>
                    <w:pStyle w:val="107"/>
                    <w:widowControl/>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0.58</w:t>
                  </w:r>
                </w:p>
              </w:tc>
              <w:tc>
                <w:tcPr>
                  <w:tcW w:w="338" w:type="pct"/>
                  <w:vMerge w:val="continue"/>
                  <w:noWrap/>
                  <w:vAlign w:val="center"/>
                </w:tcPr>
                <w:p w14:paraId="65E39A36">
                  <w:pPr>
                    <w:pStyle w:val="107"/>
                    <w:widowControl/>
                    <w:ind w:firstLine="0" w:firstLineChars="0"/>
                    <w:jc w:val="center"/>
                    <w:rPr>
                      <w:rFonts w:hint="eastAsia" w:ascii="Times New Roman" w:hAnsi="Times New Roman" w:eastAsia="宋体"/>
                      <w:color w:val="auto"/>
                      <w:sz w:val="21"/>
                      <w:szCs w:val="21"/>
                      <w:highlight w:val="none"/>
                    </w:rPr>
                  </w:pPr>
                </w:p>
              </w:tc>
              <w:tc>
                <w:tcPr>
                  <w:tcW w:w="323" w:type="pct"/>
                  <w:vMerge w:val="continue"/>
                  <w:noWrap w:val="0"/>
                  <w:vAlign w:val="center"/>
                </w:tcPr>
                <w:p w14:paraId="7C3E7711">
                  <w:pPr>
                    <w:pStyle w:val="107"/>
                    <w:widowControl/>
                    <w:ind w:firstLine="0" w:firstLineChars="0"/>
                    <w:jc w:val="center"/>
                    <w:rPr>
                      <w:rFonts w:hint="eastAsia" w:ascii="Times New Roman" w:hAnsi="Times New Roman" w:eastAsia="宋体"/>
                      <w:color w:val="auto"/>
                      <w:sz w:val="21"/>
                      <w:szCs w:val="21"/>
                      <w:highlight w:val="none"/>
                    </w:rPr>
                  </w:pPr>
                </w:p>
              </w:tc>
              <w:tc>
                <w:tcPr>
                  <w:tcW w:w="329" w:type="pct"/>
                  <w:vMerge w:val="continue"/>
                  <w:noWrap w:val="0"/>
                  <w:vAlign w:val="center"/>
                </w:tcPr>
                <w:p w14:paraId="75BD4CF6">
                  <w:pPr>
                    <w:pStyle w:val="107"/>
                    <w:widowControl/>
                    <w:ind w:firstLine="0" w:firstLineChars="0"/>
                    <w:jc w:val="center"/>
                    <w:rPr>
                      <w:rFonts w:hint="eastAsia" w:ascii="Times New Roman" w:hAnsi="Times New Roman" w:eastAsia="宋体"/>
                      <w:color w:val="auto"/>
                      <w:sz w:val="21"/>
                      <w:szCs w:val="21"/>
                      <w:highlight w:val="none"/>
                    </w:rPr>
                  </w:pPr>
                </w:p>
              </w:tc>
              <w:tc>
                <w:tcPr>
                  <w:tcW w:w="266" w:type="pct"/>
                  <w:noWrap w:val="0"/>
                  <w:vAlign w:val="center"/>
                </w:tcPr>
                <w:p w14:paraId="61ABD258">
                  <w:pPr>
                    <w:pStyle w:val="107"/>
                    <w:widowControl/>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0.0045</w:t>
                  </w:r>
                </w:p>
              </w:tc>
              <w:tc>
                <w:tcPr>
                  <w:tcW w:w="328" w:type="pct"/>
                  <w:noWrap w:val="0"/>
                  <w:vAlign w:val="center"/>
                </w:tcPr>
                <w:p w14:paraId="42529A27">
                  <w:pPr>
                    <w:pStyle w:val="107"/>
                    <w:widowControl/>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0.0012</w:t>
                  </w:r>
                </w:p>
              </w:tc>
              <w:tc>
                <w:tcPr>
                  <w:tcW w:w="257" w:type="pct"/>
                  <w:noWrap w:val="0"/>
                  <w:vAlign w:val="center"/>
                </w:tcPr>
                <w:p w14:paraId="28957072">
                  <w:pPr>
                    <w:pStyle w:val="107"/>
                    <w:widowControl/>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0.12</w:t>
                  </w:r>
                </w:p>
              </w:tc>
              <w:tc>
                <w:tcPr>
                  <w:tcW w:w="307" w:type="pct"/>
                  <w:vMerge w:val="continue"/>
                  <w:noWrap w:val="0"/>
                  <w:vAlign w:val="center"/>
                </w:tcPr>
                <w:p w14:paraId="0FFB5103">
                  <w:pPr>
                    <w:pStyle w:val="107"/>
                    <w:widowControl/>
                    <w:ind w:firstLine="0" w:firstLineChars="0"/>
                    <w:jc w:val="center"/>
                    <w:rPr>
                      <w:rFonts w:hint="eastAsia" w:ascii="Times New Roman" w:hAnsi="Times New Roman" w:eastAsia="宋体"/>
                      <w:color w:val="auto"/>
                      <w:sz w:val="21"/>
                      <w:szCs w:val="21"/>
                      <w:highlight w:val="none"/>
                    </w:rPr>
                  </w:pPr>
                </w:p>
              </w:tc>
              <w:tc>
                <w:tcPr>
                  <w:tcW w:w="237" w:type="pct"/>
                  <w:vMerge w:val="continue"/>
                  <w:noWrap w:val="0"/>
                  <w:vAlign w:val="center"/>
                </w:tcPr>
                <w:p w14:paraId="7A15B771">
                  <w:pPr>
                    <w:pStyle w:val="107"/>
                    <w:widowControl/>
                    <w:ind w:firstLine="0" w:firstLineChars="0"/>
                    <w:jc w:val="center"/>
                    <w:rPr>
                      <w:rFonts w:hint="eastAsia" w:ascii="Times New Roman" w:hAnsi="Times New Roman" w:eastAsia="宋体"/>
                      <w:color w:val="auto"/>
                      <w:sz w:val="21"/>
                      <w:szCs w:val="21"/>
                      <w:highlight w:val="none"/>
                    </w:rPr>
                  </w:pPr>
                </w:p>
              </w:tc>
              <w:tc>
                <w:tcPr>
                  <w:tcW w:w="394" w:type="pct"/>
                  <w:vMerge w:val="continue"/>
                  <w:noWrap w:val="0"/>
                  <w:vAlign w:val="center"/>
                </w:tcPr>
                <w:p w14:paraId="7B582666">
                  <w:pPr>
                    <w:pStyle w:val="107"/>
                    <w:widowControl/>
                    <w:ind w:firstLine="0" w:firstLineChars="0"/>
                    <w:jc w:val="center"/>
                    <w:rPr>
                      <w:rFonts w:hint="eastAsia" w:ascii="Times New Roman" w:hAnsi="Times New Roman" w:eastAsia="宋体" w:cs="Times New Roman"/>
                      <w:color w:val="auto"/>
                      <w:sz w:val="21"/>
                      <w:szCs w:val="21"/>
                      <w:highlight w:val="none"/>
                      <w:lang w:val="en-US" w:eastAsia="zh-CN"/>
                    </w:rPr>
                  </w:pPr>
                </w:p>
              </w:tc>
              <w:tc>
                <w:tcPr>
                  <w:tcW w:w="189" w:type="pct"/>
                  <w:vMerge w:val="continue"/>
                  <w:noWrap w:val="0"/>
                  <w:vAlign w:val="center"/>
                </w:tcPr>
                <w:p w14:paraId="7B443073">
                  <w:pPr>
                    <w:pStyle w:val="107"/>
                    <w:widowControl/>
                    <w:ind w:firstLine="0" w:firstLineChars="0"/>
                    <w:jc w:val="center"/>
                    <w:rPr>
                      <w:rFonts w:hint="eastAsia" w:ascii="Times New Roman" w:hAnsi="Times New Roman" w:eastAsia="宋体"/>
                      <w:color w:val="auto"/>
                      <w:sz w:val="21"/>
                      <w:szCs w:val="21"/>
                      <w:highlight w:val="none"/>
                    </w:rPr>
                  </w:pPr>
                </w:p>
              </w:tc>
              <w:tc>
                <w:tcPr>
                  <w:tcW w:w="280" w:type="pct"/>
                  <w:noWrap w:val="0"/>
                  <w:vAlign w:val="center"/>
                </w:tcPr>
                <w:p w14:paraId="7C57A384">
                  <w:pPr>
                    <w:pStyle w:val="107"/>
                    <w:widowControl/>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120</w:t>
                  </w:r>
                </w:p>
              </w:tc>
              <w:tc>
                <w:tcPr>
                  <w:tcW w:w="180" w:type="pct"/>
                  <w:noWrap w:val="0"/>
                  <w:vAlign w:val="center"/>
                </w:tcPr>
                <w:p w14:paraId="0AB76B97">
                  <w:pPr>
                    <w:pStyle w:val="107"/>
                    <w:widowControl/>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10</w:t>
                  </w:r>
                </w:p>
              </w:tc>
            </w:tr>
            <w:tr w14:paraId="0F4E2E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631" w:hRule="atLeast"/>
                <w:jc w:val="center"/>
              </w:trPr>
              <w:tc>
                <w:tcPr>
                  <w:tcW w:w="154" w:type="pct"/>
                  <w:noWrap w:val="0"/>
                  <w:vAlign w:val="center"/>
                </w:tcPr>
                <w:p w14:paraId="43DC8215">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食堂油烟</w:t>
                  </w:r>
                </w:p>
              </w:tc>
              <w:tc>
                <w:tcPr>
                  <w:tcW w:w="394" w:type="pct"/>
                  <w:gridSpan w:val="2"/>
                  <w:noWrap w:val="0"/>
                  <w:vAlign w:val="center"/>
                </w:tcPr>
                <w:p w14:paraId="3820A2C8">
                  <w:pPr>
                    <w:pStyle w:val="107"/>
                    <w:widowControl/>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油烟</w:t>
                  </w:r>
                </w:p>
              </w:tc>
              <w:tc>
                <w:tcPr>
                  <w:tcW w:w="208" w:type="pct"/>
                  <w:noWrap w:val="0"/>
                  <w:vAlign w:val="center"/>
                </w:tcPr>
                <w:p w14:paraId="6850514F">
                  <w:pPr>
                    <w:pStyle w:val="107"/>
                    <w:widowControl/>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1</w:t>
                  </w:r>
                  <w:r>
                    <w:rPr>
                      <w:rFonts w:hint="eastAsia" w:ascii="Times New Roman" w:hAnsi="Times New Roman" w:eastAsia="宋体"/>
                      <w:color w:val="auto"/>
                      <w:sz w:val="21"/>
                      <w:szCs w:val="21"/>
                      <w:highlight w:val="none"/>
                    </w:rPr>
                    <w:t>000</w:t>
                  </w:r>
                </w:p>
              </w:tc>
              <w:tc>
                <w:tcPr>
                  <w:tcW w:w="265" w:type="pct"/>
                  <w:noWrap w:val="0"/>
                  <w:vAlign w:val="center"/>
                </w:tcPr>
                <w:p w14:paraId="62A3173E">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1.2</w:t>
                  </w:r>
                  <w:r>
                    <w:rPr>
                      <w:rFonts w:hint="default" w:ascii="Arial" w:hAnsi="Arial" w:eastAsia="宋体" w:cs="Arial"/>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10</w:t>
                  </w:r>
                  <w:r>
                    <w:rPr>
                      <w:rFonts w:hint="eastAsia" w:ascii="Times New Roman" w:hAnsi="Times New Roman" w:eastAsia="宋体"/>
                      <w:color w:val="auto"/>
                      <w:sz w:val="21"/>
                      <w:szCs w:val="21"/>
                      <w:highlight w:val="none"/>
                      <w:vertAlign w:val="superscript"/>
                      <w:lang w:val="en-US" w:eastAsia="zh-CN"/>
                    </w:rPr>
                    <w:t>-3</w:t>
                  </w:r>
                </w:p>
              </w:tc>
              <w:tc>
                <w:tcPr>
                  <w:tcW w:w="284" w:type="pct"/>
                  <w:noWrap w:val="0"/>
                  <w:vAlign w:val="center"/>
                </w:tcPr>
                <w:p w14:paraId="39B2FE9D">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2.5</w:t>
                  </w:r>
                  <w:r>
                    <w:rPr>
                      <w:rFonts w:hint="default" w:ascii="Arial" w:hAnsi="Arial" w:eastAsia="宋体" w:cs="Arial"/>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10</w:t>
                  </w:r>
                  <w:r>
                    <w:rPr>
                      <w:rFonts w:hint="eastAsia" w:ascii="Times New Roman" w:hAnsi="Times New Roman" w:eastAsia="宋体"/>
                      <w:color w:val="auto"/>
                      <w:sz w:val="21"/>
                      <w:szCs w:val="21"/>
                      <w:highlight w:val="none"/>
                      <w:vertAlign w:val="superscript"/>
                      <w:lang w:val="en-US" w:eastAsia="zh-CN"/>
                    </w:rPr>
                    <w:t>-3</w:t>
                  </w:r>
                </w:p>
              </w:tc>
              <w:tc>
                <w:tcPr>
                  <w:tcW w:w="260" w:type="pct"/>
                  <w:noWrap w:val="0"/>
                  <w:vAlign w:val="center"/>
                </w:tcPr>
                <w:p w14:paraId="35EA148E">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2.5</w:t>
                  </w:r>
                </w:p>
              </w:tc>
              <w:tc>
                <w:tcPr>
                  <w:tcW w:w="338" w:type="pct"/>
                  <w:noWrap/>
                  <w:vAlign w:val="center"/>
                </w:tcPr>
                <w:p w14:paraId="1A6798B3">
                  <w:pPr>
                    <w:pStyle w:val="107"/>
                    <w:widowControl/>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油烟净化器</w:t>
                  </w:r>
                </w:p>
              </w:tc>
              <w:tc>
                <w:tcPr>
                  <w:tcW w:w="323" w:type="pct"/>
                  <w:noWrap w:val="0"/>
                  <w:vAlign w:val="center"/>
                </w:tcPr>
                <w:p w14:paraId="3D1B8B56">
                  <w:pPr>
                    <w:pStyle w:val="107"/>
                    <w:widowControl/>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85%</w:t>
                  </w:r>
                </w:p>
              </w:tc>
              <w:tc>
                <w:tcPr>
                  <w:tcW w:w="329" w:type="pct"/>
                  <w:noWrap w:val="0"/>
                  <w:vAlign w:val="center"/>
                </w:tcPr>
                <w:p w14:paraId="40239CEE">
                  <w:pPr>
                    <w:pStyle w:val="107"/>
                    <w:widowControl/>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是</w:t>
                  </w:r>
                </w:p>
              </w:tc>
              <w:tc>
                <w:tcPr>
                  <w:tcW w:w="266" w:type="pct"/>
                  <w:noWrap w:val="0"/>
                  <w:vAlign w:val="center"/>
                </w:tcPr>
                <w:p w14:paraId="48FD2FFC">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1.8</w:t>
                  </w:r>
                  <w:r>
                    <w:rPr>
                      <w:rFonts w:hint="default" w:ascii="Arial" w:hAnsi="Arial" w:eastAsia="宋体" w:cs="Arial"/>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10</w:t>
                  </w:r>
                  <w:r>
                    <w:rPr>
                      <w:rFonts w:hint="eastAsia" w:ascii="Times New Roman" w:hAnsi="Times New Roman" w:eastAsia="宋体"/>
                      <w:color w:val="auto"/>
                      <w:sz w:val="21"/>
                      <w:szCs w:val="21"/>
                      <w:highlight w:val="none"/>
                      <w:vertAlign w:val="superscript"/>
                      <w:lang w:val="en-US" w:eastAsia="zh-CN"/>
                    </w:rPr>
                    <w:t>-4</w:t>
                  </w:r>
                </w:p>
              </w:tc>
              <w:tc>
                <w:tcPr>
                  <w:tcW w:w="328" w:type="pct"/>
                  <w:shd w:val="clear" w:color="auto" w:fill="auto"/>
                  <w:noWrap w:val="0"/>
                  <w:vAlign w:val="center"/>
                </w:tcPr>
                <w:p w14:paraId="0C630E74">
                  <w:pPr>
                    <w:pStyle w:val="107"/>
                    <w:widowControl/>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3.75</w:t>
                  </w:r>
                  <w:r>
                    <w:rPr>
                      <w:rFonts w:hint="default" w:ascii="Arial" w:hAnsi="Arial" w:eastAsia="宋体" w:cs="Arial"/>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10</w:t>
                  </w:r>
                  <w:r>
                    <w:rPr>
                      <w:rFonts w:hint="eastAsia" w:ascii="Times New Roman" w:hAnsi="Times New Roman" w:eastAsia="宋体"/>
                      <w:color w:val="auto"/>
                      <w:sz w:val="21"/>
                      <w:szCs w:val="21"/>
                      <w:highlight w:val="none"/>
                      <w:vertAlign w:val="superscript"/>
                      <w:lang w:val="en-US" w:eastAsia="zh-CN"/>
                    </w:rPr>
                    <w:t>-4</w:t>
                  </w:r>
                </w:p>
              </w:tc>
              <w:tc>
                <w:tcPr>
                  <w:tcW w:w="257" w:type="pct"/>
                  <w:noWrap w:val="0"/>
                  <w:vAlign w:val="center"/>
                </w:tcPr>
                <w:p w14:paraId="2BD1EBDC">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0.375</w:t>
                  </w:r>
                </w:p>
              </w:tc>
              <w:tc>
                <w:tcPr>
                  <w:tcW w:w="307" w:type="pct"/>
                  <w:noWrap w:val="0"/>
                  <w:vAlign w:val="center"/>
                </w:tcPr>
                <w:p w14:paraId="6C2A59AD">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H=</w:t>
                  </w:r>
                  <w:r>
                    <w:rPr>
                      <w:rFonts w:hint="eastAsia" w:ascii="Times New Roman" w:hAnsi="Times New Roman" w:eastAsia="宋体"/>
                      <w:color w:val="auto"/>
                      <w:sz w:val="21"/>
                      <w:szCs w:val="21"/>
                      <w:highlight w:val="none"/>
                      <w:lang w:val="en-US" w:eastAsia="zh-CN"/>
                    </w:rPr>
                    <w:t>5</w:t>
                  </w:r>
                  <w:r>
                    <w:rPr>
                      <w:rFonts w:hint="eastAsia" w:ascii="Times New Roman" w:hAnsi="Times New Roman" w:eastAsia="宋体"/>
                      <w:color w:val="auto"/>
                      <w:sz w:val="21"/>
                      <w:szCs w:val="21"/>
                      <w:highlight w:val="none"/>
                    </w:rPr>
                    <w:t>m、內径0.5m、温度25</w:t>
                  </w:r>
                  <w:r>
                    <w:rPr>
                      <w:rFonts w:hint="eastAsia" w:ascii="宋体" w:hAnsi="宋体" w:eastAsia="宋体" w:cs="宋体"/>
                      <w:color w:val="auto"/>
                      <w:sz w:val="21"/>
                      <w:szCs w:val="21"/>
                      <w:highlight w:val="none"/>
                    </w:rPr>
                    <w:t>℃</w:t>
                  </w:r>
                </w:p>
              </w:tc>
              <w:tc>
                <w:tcPr>
                  <w:tcW w:w="237" w:type="pct"/>
                  <w:noWrap w:val="0"/>
                  <w:vAlign w:val="center"/>
                </w:tcPr>
                <w:p w14:paraId="43FF73E1">
                  <w:pPr>
                    <w:pStyle w:val="107"/>
                    <w:widowControl/>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DA00</w:t>
                  </w:r>
                  <w:r>
                    <w:rPr>
                      <w:rFonts w:hint="eastAsia" w:ascii="Times New Roman" w:hAnsi="Times New Roman" w:eastAsia="宋体"/>
                      <w:color w:val="auto"/>
                      <w:sz w:val="21"/>
                      <w:szCs w:val="21"/>
                      <w:highlight w:val="none"/>
                      <w:lang w:val="en-US" w:eastAsia="zh-CN"/>
                    </w:rPr>
                    <w:t>7</w:t>
                  </w:r>
                  <w:r>
                    <w:rPr>
                      <w:rFonts w:hint="eastAsia" w:ascii="Times New Roman" w:hAnsi="Times New Roman" w:eastAsia="宋体"/>
                      <w:color w:val="auto"/>
                      <w:sz w:val="21"/>
                      <w:szCs w:val="21"/>
                      <w:highlight w:val="none"/>
                    </w:rPr>
                    <w:t>一般排放口</w:t>
                  </w:r>
                </w:p>
              </w:tc>
              <w:tc>
                <w:tcPr>
                  <w:tcW w:w="394" w:type="pct"/>
                  <w:noWrap w:val="0"/>
                  <w:vAlign w:val="center"/>
                </w:tcPr>
                <w:p w14:paraId="7A7999C4">
                  <w:pPr>
                    <w:pStyle w:val="107"/>
                    <w:widowControl/>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119.635203 </w:t>
                  </w:r>
                  <w:r>
                    <w:rPr>
                      <w:rFonts w:hint="eastAsia" w:ascii="Times New Roman" w:hAnsi="Times New Roman" w:eastAsia="宋体" w:cs="Times New Roman"/>
                      <w:color w:val="auto"/>
                      <w:sz w:val="21"/>
                      <w:szCs w:val="21"/>
                      <w:highlight w:val="none"/>
                      <w:lang w:val="en-US" w:eastAsia="zh-CN"/>
                    </w:rPr>
                    <w:br w:type="textWrapping"/>
                  </w:r>
                  <w:r>
                    <w:rPr>
                      <w:rFonts w:hint="eastAsia" w:ascii="Times New Roman" w:hAnsi="Times New Roman" w:eastAsia="宋体" w:cs="Times New Roman"/>
                      <w:color w:val="auto"/>
                      <w:sz w:val="21"/>
                      <w:szCs w:val="21"/>
                      <w:highlight w:val="none"/>
                      <w:lang w:val="en-US" w:eastAsia="zh-CN"/>
                    </w:rPr>
                    <w:t xml:space="preserve">26.495978 </w:t>
                  </w:r>
                </w:p>
              </w:tc>
              <w:tc>
                <w:tcPr>
                  <w:tcW w:w="189" w:type="pct"/>
                  <w:noWrap w:val="0"/>
                  <w:vAlign w:val="center"/>
                </w:tcPr>
                <w:p w14:paraId="176485DD">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480</w:t>
                  </w:r>
                </w:p>
              </w:tc>
              <w:tc>
                <w:tcPr>
                  <w:tcW w:w="280" w:type="pct"/>
                  <w:noWrap w:val="0"/>
                  <w:vAlign w:val="center"/>
                </w:tcPr>
                <w:p w14:paraId="73342467">
                  <w:pPr>
                    <w:pStyle w:val="107"/>
                    <w:widowControl/>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2</w:t>
                  </w:r>
                </w:p>
              </w:tc>
              <w:tc>
                <w:tcPr>
                  <w:tcW w:w="180" w:type="pct"/>
                  <w:noWrap w:val="0"/>
                  <w:vAlign w:val="center"/>
                </w:tcPr>
                <w:p w14:paraId="1D76BAEF">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w:t>
                  </w:r>
                </w:p>
              </w:tc>
            </w:tr>
            <w:tr w14:paraId="06C5BA6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50" w:hRule="atLeast"/>
                <w:jc w:val="center"/>
              </w:trPr>
              <w:tc>
                <w:tcPr>
                  <w:tcW w:w="154" w:type="pct"/>
                  <w:vMerge w:val="restart"/>
                  <w:noWrap w:val="0"/>
                  <w:vAlign w:val="center"/>
                </w:tcPr>
                <w:p w14:paraId="6AADBF5B">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合计</w:t>
                  </w:r>
                </w:p>
              </w:tc>
              <w:tc>
                <w:tcPr>
                  <w:tcW w:w="394" w:type="pct"/>
                  <w:gridSpan w:val="2"/>
                  <w:noWrap w:val="0"/>
                  <w:vAlign w:val="center"/>
                </w:tcPr>
                <w:p w14:paraId="563F6E68">
                  <w:pPr>
                    <w:pStyle w:val="98"/>
                    <w:widowControl w:val="0"/>
                    <w:kinsoku/>
                    <w:autoSpaceDE/>
                    <w:autoSpaceDN/>
                    <w:adjustRightInd/>
                    <w:snapToGrid/>
                    <w:ind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s="Times New Roman"/>
                      <w:snapToGrid/>
                      <w:color w:val="auto"/>
                      <w:kern w:val="2"/>
                      <w:szCs w:val="24"/>
                      <w:highlight w:val="none"/>
                      <w:lang w:eastAsia="zh-CN"/>
                    </w:rPr>
                    <w:t>颗粒物</w:t>
                  </w:r>
                </w:p>
              </w:tc>
              <w:tc>
                <w:tcPr>
                  <w:tcW w:w="208" w:type="pct"/>
                  <w:vMerge w:val="restart"/>
                  <w:noWrap w:val="0"/>
                  <w:vAlign w:val="center"/>
                </w:tcPr>
                <w:p w14:paraId="7956A3CF">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c>
                <w:tcPr>
                  <w:tcW w:w="265" w:type="pct"/>
                  <w:noWrap w:val="0"/>
                  <w:vAlign w:val="center"/>
                </w:tcPr>
                <w:p w14:paraId="3D40A537">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13.184</w:t>
                  </w:r>
                </w:p>
              </w:tc>
              <w:tc>
                <w:tcPr>
                  <w:tcW w:w="284" w:type="pct"/>
                  <w:noWrap w:val="0"/>
                  <w:vAlign w:val="center"/>
                </w:tcPr>
                <w:p w14:paraId="7264A953">
                  <w:pPr>
                    <w:pStyle w:val="107"/>
                    <w:widowControl/>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c>
                <w:tcPr>
                  <w:tcW w:w="260" w:type="pct"/>
                  <w:noWrap w:val="0"/>
                  <w:vAlign w:val="center"/>
                </w:tcPr>
                <w:p w14:paraId="468AF34D">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rPr>
                    <w:t>/</w:t>
                  </w:r>
                </w:p>
              </w:tc>
              <w:tc>
                <w:tcPr>
                  <w:tcW w:w="338" w:type="pct"/>
                  <w:noWrap/>
                  <w:vAlign w:val="center"/>
                </w:tcPr>
                <w:p w14:paraId="51442209">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c>
                <w:tcPr>
                  <w:tcW w:w="323" w:type="pct"/>
                  <w:noWrap w:val="0"/>
                  <w:vAlign w:val="center"/>
                </w:tcPr>
                <w:p w14:paraId="33F08520">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c>
                <w:tcPr>
                  <w:tcW w:w="329" w:type="pct"/>
                  <w:noWrap w:val="0"/>
                  <w:vAlign w:val="center"/>
                </w:tcPr>
                <w:p w14:paraId="19D2C209">
                  <w:pPr>
                    <w:pStyle w:val="107"/>
                    <w:widowControl/>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c>
                <w:tcPr>
                  <w:tcW w:w="266" w:type="pct"/>
                  <w:noWrap w:val="0"/>
                  <w:vAlign w:val="center"/>
                </w:tcPr>
                <w:p w14:paraId="33537FD8">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0.087</w:t>
                  </w:r>
                </w:p>
              </w:tc>
              <w:tc>
                <w:tcPr>
                  <w:tcW w:w="328" w:type="pct"/>
                  <w:noWrap w:val="0"/>
                  <w:vAlign w:val="center"/>
                </w:tcPr>
                <w:p w14:paraId="3670C044">
                  <w:pPr>
                    <w:pStyle w:val="107"/>
                    <w:widowControl/>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c>
                <w:tcPr>
                  <w:tcW w:w="257" w:type="pct"/>
                  <w:noWrap w:val="0"/>
                  <w:vAlign w:val="center"/>
                </w:tcPr>
                <w:p w14:paraId="174574E5">
                  <w:pPr>
                    <w:pStyle w:val="107"/>
                    <w:widowControl/>
                    <w:ind w:firstLine="0" w:firstLineChars="0"/>
                    <w:jc w:val="center"/>
                    <w:rPr>
                      <w:rFonts w:hint="default" w:ascii="Times New Roman" w:hAnsi="Times New Roman" w:eastAsia="宋体"/>
                      <w:b/>
                      <w:bCs/>
                      <w:color w:val="auto"/>
                      <w:sz w:val="21"/>
                      <w:szCs w:val="21"/>
                      <w:highlight w:val="none"/>
                      <w:lang w:val="en-US" w:eastAsia="zh-CN"/>
                    </w:rPr>
                  </w:pPr>
                  <w:r>
                    <w:rPr>
                      <w:rFonts w:hint="eastAsia" w:ascii="Times New Roman" w:hAnsi="Times New Roman" w:eastAsia="宋体"/>
                      <w:color w:val="auto"/>
                      <w:sz w:val="21"/>
                      <w:szCs w:val="21"/>
                      <w:highlight w:val="none"/>
                    </w:rPr>
                    <w:t>/</w:t>
                  </w:r>
                </w:p>
              </w:tc>
              <w:tc>
                <w:tcPr>
                  <w:tcW w:w="307" w:type="pct"/>
                  <w:noWrap w:val="0"/>
                  <w:vAlign w:val="center"/>
                </w:tcPr>
                <w:p w14:paraId="039471C0">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c>
                <w:tcPr>
                  <w:tcW w:w="237" w:type="pct"/>
                  <w:noWrap w:val="0"/>
                  <w:vAlign w:val="center"/>
                </w:tcPr>
                <w:p w14:paraId="62F2ACD6">
                  <w:pPr>
                    <w:pStyle w:val="107"/>
                    <w:widowControl/>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c>
                <w:tcPr>
                  <w:tcW w:w="394" w:type="pct"/>
                  <w:noWrap w:val="0"/>
                  <w:vAlign w:val="center"/>
                </w:tcPr>
                <w:p w14:paraId="37C59072">
                  <w:pPr>
                    <w:pStyle w:val="107"/>
                    <w:widowControl/>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c>
                <w:tcPr>
                  <w:tcW w:w="189" w:type="pct"/>
                  <w:noWrap w:val="0"/>
                  <w:vAlign w:val="center"/>
                </w:tcPr>
                <w:p w14:paraId="736F6889">
                  <w:pPr>
                    <w:pStyle w:val="107"/>
                    <w:widowControl/>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c>
                <w:tcPr>
                  <w:tcW w:w="280" w:type="pct"/>
                  <w:noWrap w:val="0"/>
                  <w:vAlign w:val="center"/>
                </w:tcPr>
                <w:p w14:paraId="424DAA8F">
                  <w:pPr>
                    <w:pStyle w:val="107"/>
                    <w:widowControl/>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c>
                <w:tcPr>
                  <w:tcW w:w="180" w:type="pct"/>
                  <w:noWrap w:val="0"/>
                  <w:vAlign w:val="center"/>
                </w:tcPr>
                <w:p w14:paraId="544CFB16">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w:t>
                  </w:r>
                </w:p>
              </w:tc>
            </w:tr>
            <w:tr w14:paraId="3C18042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9" w:hRule="atLeast"/>
                <w:jc w:val="center"/>
              </w:trPr>
              <w:tc>
                <w:tcPr>
                  <w:tcW w:w="154" w:type="pct"/>
                  <w:vMerge w:val="continue"/>
                  <w:noWrap w:val="0"/>
                  <w:vAlign w:val="center"/>
                </w:tcPr>
                <w:p w14:paraId="07B7C64F">
                  <w:pPr>
                    <w:pStyle w:val="107"/>
                    <w:widowControl/>
                    <w:ind w:firstLine="0" w:firstLineChars="0"/>
                    <w:jc w:val="center"/>
                    <w:rPr>
                      <w:rFonts w:hint="eastAsia" w:ascii="Times New Roman" w:hAnsi="Times New Roman" w:eastAsia="宋体"/>
                      <w:color w:val="auto"/>
                      <w:sz w:val="21"/>
                      <w:szCs w:val="21"/>
                      <w:highlight w:val="none"/>
                    </w:rPr>
                  </w:pPr>
                </w:p>
              </w:tc>
              <w:tc>
                <w:tcPr>
                  <w:tcW w:w="394" w:type="pct"/>
                  <w:gridSpan w:val="2"/>
                  <w:noWrap w:val="0"/>
                  <w:vAlign w:val="center"/>
                </w:tcPr>
                <w:p w14:paraId="1A3F616F">
                  <w:pPr>
                    <w:pStyle w:val="98"/>
                    <w:widowControl w:val="0"/>
                    <w:kinsoku/>
                    <w:autoSpaceDE/>
                    <w:autoSpaceDN/>
                    <w:adjustRightInd/>
                    <w:snapToGrid/>
                    <w:ind w:firstLine="0" w:firstLineChars="0"/>
                    <w:jc w:val="center"/>
                    <w:textAlignment w:val="auto"/>
                    <w:rPr>
                      <w:rFonts w:hint="eastAsia"/>
                      <w:color w:val="auto"/>
                      <w:szCs w:val="21"/>
                      <w:highlight w:val="none"/>
                    </w:rPr>
                  </w:pPr>
                  <w:r>
                    <w:rPr>
                      <w:rFonts w:hint="eastAsia" w:ascii="Times New Roman" w:hAnsi="Times New Roman" w:eastAsia="宋体" w:cs="Times New Roman"/>
                      <w:snapToGrid/>
                      <w:color w:val="auto"/>
                      <w:kern w:val="2"/>
                      <w:szCs w:val="24"/>
                      <w:highlight w:val="none"/>
                      <w:lang w:eastAsia="zh-CN"/>
                    </w:rPr>
                    <w:t>SO</w:t>
                  </w:r>
                  <w:r>
                    <w:rPr>
                      <w:rFonts w:hint="eastAsia" w:ascii="Times New Roman" w:hAnsi="Times New Roman" w:eastAsia="宋体" w:cs="Times New Roman"/>
                      <w:snapToGrid/>
                      <w:color w:val="auto"/>
                      <w:kern w:val="2"/>
                      <w:szCs w:val="24"/>
                      <w:highlight w:val="none"/>
                      <w:vertAlign w:val="subscript"/>
                      <w:lang w:eastAsia="zh-CN"/>
                    </w:rPr>
                    <w:t>2</w:t>
                  </w:r>
                </w:p>
              </w:tc>
              <w:tc>
                <w:tcPr>
                  <w:tcW w:w="208" w:type="pct"/>
                  <w:vMerge w:val="continue"/>
                  <w:noWrap w:val="0"/>
                  <w:vAlign w:val="center"/>
                </w:tcPr>
                <w:p w14:paraId="120DC588">
                  <w:pPr>
                    <w:pStyle w:val="107"/>
                    <w:widowControl/>
                    <w:ind w:firstLine="0" w:firstLineChars="0"/>
                    <w:jc w:val="center"/>
                    <w:rPr>
                      <w:rFonts w:hint="eastAsia" w:ascii="Times New Roman" w:hAnsi="Times New Roman" w:eastAsia="宋体"/>
                      <w:color w:val="auto"/>
                      <w:sz w:val="21"/>
                      <w:szCs w:val="21"/>
                      <w:highlight w:val="none"/>
                    </w:rPr>
                  </w:pPr>
                </w:p>
              </w:tc>
              <w:tc>
                <w:tcPr>
                  <w:tcW w:w="265" w:type="pct"/>
                  <w:noWrap w:val="0"/>
                  <w:vAlign w:val="center"/>
                </w:tcPr>
                <w:p w14:paraId="0299C825">
                  <w:pPr>
                    <w:pStyle w:val="98"/>
                    <w:adjustRightInd/>
                    <w:snapToGrid/>
                    <w:ind w:firstLine="0" w:firstLineChars="0"/>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0.213</w:t>
                  </w:r>
                </w:p>
              </w:tc>
              <w:tc>
                <w:tcPr>
                  <w:tcW w:w="284" w:type="pct"/>
                  <w:noWrap w:val="0"/>
                  <w:vAlign w:val="center"/>
                </w:tcPr>
                <w:p w14:paraId="57ACD408">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c>
                <w:tcPr>
                  <w:tcW w:w="260" w:type="pct"/>
                  <w:noWrap w:val="0"/>
                  <w:vAlign w:val="center"/>
                </w:tcPr>
                <w:p w14:paraId="31535A4C">
                  <w:pPr>
                    <w:pStyle w:val="107"/>
                    <w:widowControl/>
                    <w:ind w:firstLine="0" w:firstLineChars="0"/>
                    <w:jc w:val="center"/>
                    <w:rPr>
                      <w:color w:val="auto"/>
                      <w:szCs w:val="21"/>
                      <w:highlight w:val="none"/>
                    </w:rPr>
                  </w:pPr>
                  <w:r>
                    <w:rPr>
                      <w:rFonts w:hint="eastAsia" w:ascii="Times New Roman" w:hAnsi="Times New Roman" w:eastAsia="宋体"/>
                      <w:color w:val="auto"/>
                      <w:sz w:val="21"/>
                      <w:szCs w:val="21"/>
                      <w:highlight w:val="none"/>
                    </w:rPr>
                    <w:t>/</w:t>
                  </w:r>
                </w:p>
              </w:tc>
              <w:tc>
                <w:tcPr>
                  <w:tcW w:w="338" w:type="pct"/>
                  <w:noWrap/>
                  <w:vAlign w:val="center"/>
                </w:tcPr>
                <w:p w14:paraId="19D99215">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c>
                <w:tcPr>
                  <w:tcW w:w="323" w:type="pct"/>
                  <w:noWrap w:val="0"/>
                  <w:vAlign w:val="center"/>
                </w:tcPr>
                <w:p w14:paraId="30E03211">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c>
                <w:tcPr>
                  <w:tcW w:w="329" w:type="pct"/>
                  <w:noWrap w:val="0"/>
                  <w:vAlign w:val="center"/>
                </w:tcPr>
                <w:p w14:paraId="41645D03">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c>
                <w:tcPr>
                  <w:tcW w:w="266" w:type="pct"/>
                  <w:noWrap w:val="0"/>
                  <w:vAlign w:val="center"/>
                </w:tcPr>
                <w:p w14:paraId="3977FBF5">
                  <w:pPr>
                    <w:pStyle w:val="98"/>
                    <w:adjustRightInd/>
                    <w:snapToGrid/>
                    <w:ind w:firstLine="0" w:firstLineChars="0"/>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0.213</w:t>
                  </w:r>
                </w:p>
              </w:tc>
              <w:tc>
                <w:tcPr>
                  <w:tcW w:w="328" w:type="pct"/>
                  <w:noWrap w:val="0"/>
                  <w:vAlign w:val="center"/>
                </w:tcPr>
                <w:p w14:paraId="7AA65125">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c>
                <w:tcPr>
                  <w:tcW w:w="257" w:type="pct"/>
                  <w:noWrap w:val="0"/>
                  <w:vAlign w:val="center"/>
                </w:tcPr>
                <w:p w14:paraId="0511B8D5">
                  <w:pPr>
                    <w:pStyle w:val="107"/>
                    <w:widowControl/>
                    <w:ind w:firstLine="0" w:firstLineChars="0"/>
                    <w:jc w:val="center"/>
                    <w:rPr>
                      <w:b/>
                      <w:bCs/>
                      <w:color w:val="auto"/>
                      <w:szCs w:val="21"/>
                      <w:highlight w:val="none"/>
                    </w:rPr>
                  </w:pPr>
                  <w:r>
                    <w:rPr>
                      <w:rFonts w:hint="eastAsia" w:ascii="Times New Roman" w:hAnsi="Times New Roman" w:eastAsia="宋体"/>
                      <w:color w:val="auto"/>
                      <w:sz w:val="21"/>
                      <w:szCs w:val="21"/>
                      <w:highlight w:val="none"/>
                    </w:rPr>
                    <w:t>/</w:t>
                  </w:r>
                </w:p>
              </w:tc>
              <w:tc>
                <w:tcPr>
                  <w:tcW w:w="307" w:type="pct"/>
                  <w:noWrap w:val="0"/>
                  <w:vAlign w:val="center"/>
                </w:tcPr>
                <w:p w14:paraId="45348908">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c>
                <w:tcPr>
                  <w:tcW w:w="237" w:type="pct"/>
                  <w:noWrap w:val="0"/>
                  <w:vAlign w:val="center"/>
                </w:tcPr>
                <w:p w14:paraId="5D2D64BD">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c>
                <w:tcPr>
                  <w:tcW w:w="394" w:type="pct"/>
                  <w:noWrap w:val="0"/>
                  <w:vAlign w:val="center"/>
                </w:tcPr>
                <w:p w14:paraId="4A80678F">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c>
                <w:tcPr>
                  <w:tcW w:w="189" w:type="pct"/>
                  <w:noWrap w:val="0"/>
                  <w:vAlign w:val="center"/>
                </w:tcPr>
                <w:p w14:paraId="57E02B96">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c>
                <w:tcPr>
                  <w:tcW w:w="280" w:type="pct"/>
                  <w:noWrap w:val="0"/>
                  <w:vAlign w:val="center"/>
                </w:tcPr>
                <w:p w14:paraId="3C09684D">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c>
                <w:tcPr>
                  <w:tcW w:w="180" w:type="pct"/>
                  <w:noWrap w:val="0"/>
                  <w:vAlign w:val="center"/>
                </w:tcPr>
                <w:p w14:paraId="3EC00827">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w:t>
                  </w:r>
                </w:p>
              </w:tc>
            </w:tr>
            <w:tr w14:paraId="11C6045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9" w:hRule="atLeast"/>
                <w:jc w:val="center"/>
              </w:trPr>
              <w:tc>
                <w:tcPr>
                  <w:tcW w:w="154" w:type="pct"/>
                  <w:vMerge w:val="continue"/>
                  <w:noWrap w:val="0"/>
                  <w:vAlign w:val="center"/>
                </w:tcPr>
                <w:p w14:paraId="5AF2A249">
                  <w:pPr>
                    <w:pStyle w:val="107"/>
                    <w:widowControl/>
                    <w:ind w:firstLine="0" w:firstLineChars="0"/>
                    <w:jc w:val="center"/>
                    <w:rPr>
                      <w:rFonts w:hint="eastAsia" w:ascii="Times New Roman" w:hAnsi="Times New Roman" w:eastAsia="宋体"/>
                      <w:color w:val="auto"/>
                      <w:sz w:val="21"/>
                      <w:szCs w:val="21"/>
                      <w:highlight w:val="none"/>
                    </w:rPr>
                  </w:pPr>
                </w:p>
              </w:tc>
              <w:tc>
                <w:tcPr>
                  <w:tcW w:w="394" w:type="pct"/>
                  <w:gridSpan w:val="2"/>
                  <w:noWrap w:val="0"/>
                  <w:vAlign w:val="center"/>
                </w:tcPr>
                <w:p w14:paraId="119599B6">
                  <w:pPr>
                    <w:pStyle w:val="98"/>
                    <w:widowControl w:val="0"/>
                    <w:kinsoku/>
                    <w:autoSpaceDE/>
                    <w:autoSpaceDN/>
                    <w:adjustRightInd/>
                    <w:snapToGrid/>
                    <w:ind w:firstLine="0" w:firstLineChars="0"/>
                    <w:jc w:val="center"/>
                    <w:textAlignment w:val="auto"/>
                    <w:rPr>
                      <w:rFonts w:hint="eastAsia"/>
                      <w:color w:val="auto"/>
                      <w:szCs w:val="21"/>
                      <w:highlight w:val="none"/>
                    </w:rPr>
                  </w:pPr>
                  <w:r>
                    <w:rPr>
                      <w:rFonts w:hint="eastAsia" w:ascii="Times New Roman" w:hAnsi="Times New Roman" w:eastAsia="宋体" w:cs="Times New Roman"/>
                      <w:snapToGrid/>
                      <w:color w:val="auto"/>
                      <w:kern w:val="2"/>
                      <w:szCs w:val="24"/>
                      <w:highlight w:val="none"/>
                      <w:lang w:eastAsia="zh-CN"/>
                    </w:rPr>
                    <w:t>NO</w:t>
                  </w:r>
                  <w:r>
                    <w:rPr>
                      <w:rFonts w:hint="eastAsia" w:ascii="Times New Roman" w:hAnsi="Times New Roman" w:eastAsia="宋体" w:cs="Times New Roman"/>
                      <w:snapToGrid/>
                      <w:color w:val="auto"/>
                      <w:kern w:val="2"/>
                      <w:szCs w:val="24"/>
                      <w:highlight w:val="none"/>
                      <w:vertAlign w:val="subscript"/>
                      <w:lang w:eastAsia="zh-CN"/>
                    </w:rPr>
                    <w:t>X</w:t>
                  </w:r>
                </w:p>
              </w:tc>
              <w:tc>
                <w:tcPr>
                  <w:tcW w:w="208" w:type="pct"/>
                  <w:vMerge w:val="continue"/>
                  <w:noWrap w:val="0"/>
                  <w:vAlign w:val="center"/>
                </w:tcPr>
                <w:p w14:paraId="41AB64F1">
                  <w:pPr>
                    <w:pStyle w:val="107"/>
                    <w:widowControl/>
                    <w:ind w:firstLine="0" w:firstLineChars="0"/>
                    <w:jc w:val="center"/>
                    <w:rPr>
                      <w:rFonts w:hint="eastAsia" w:ascii="Times New Roman" w:hAnsi="Times New Roman" w:eastAsia="宋体"/>
                      <w:color w:val="auto"/>
                      <w:sz w:val="21"/>
                      <w:szCs w:val="21"/>
                      <w:highlight w:val="none"/>
                    </w:rPr>
                  </w:pPr>
                </w:p>
              </w:tc>
              <w:tc>
                <w:tcPr>
                  <w:tcW w:w="265" w:type="pct"/>
                  <w:noWrap w:val="0"/>
                  <w:vAlign w:val="center"/>
                </w:tcPr>
                <w:p w14:paraId="04B82347">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2.826</w:t>
                  </w:r>
                </w:p>
              </w:tc>
              <w:tc>
                <w:tcPr>
                  <w:tcW w:w="284" w:type="pct"/>
                  <w:noWrap w:val="0"/>
                  <w:vAlign w:val="center"/>
                </w:tcPr>
                <w:p w14:paraId="47B47168">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c>
                <w:tcPr>
                  <w:tcW w:w="260" w:type="pct"/>
                  <w:noWrap w:val="0"/>
                  <w:vAlign w:val="center"/>
                </w:tcPr>
                <w:p w14:paraId="33ABDBCA">
                  <w:pPr>
                    <w:pStyle w:val="107"/>
                    <w:widowControl/>
                    <w:ind w:firstLine="0" w:firstLineChars="0"/>
                    <w:jc w:val="center"/>
                    <w:rPr>
                      <w:color w:val="auto"/>
                      <w:szCs w:val="21"/>
                      <w:highlight w:val="none"/>
                    </w:rPr>
                  </w:pPr>
                  <w:r>
                    <w:rPr>
                      <w:rFonts w:hint="eastAsia" w:ascii="Times New Roman" w:hAnsi="Times New Roman" w:eastAsia="宋体"/>
                      <w:color w:val="auto"/>
                      <w:sz w:val="21"/>
                      <w:szCs w:val="21"/>
                      <w:highlight w:val="none"/>
                    </w:rPr>
                    <w:t>/</w:t>
                  </w:r>
                </w:p>
              </w:tc>
              <w:tc>
                <w:tcPr>
                  <w:tcW w:w="338" w:type="pct"/>
                  <w:noWrap/>
                  <w:vAlign w:val="center"/>
                </w:tcPr>
                <w:p w14:paraId="025155EC">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c>
                <w:tcPr>
                  <w:tcW w:w="323" w:type="pct"/>
                  <w:noWrap w:val="0"/>
                  <w:vAlign w:val="center"/>
                </w:tcPr>
                <w:p w14:paraId="30CEC9B7">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c>
                <w:tcPr>
                  <w:tcW w:w="329" w:type="pct"/>
                  <w:noWrap w:val="0"/>
                  <w:vAlign w:val="center"/>
                </w:tcPr>
                <w:p w14:paraId="632FE3C8">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c>
                <w:tcPr>
                  <w:tcW w:w="266" w:type="pct"/>
                  <w:noWrap w:val="0"/>
                  <w:vAlign w:val="center"/>
                </w:tcPr>
                <w:p w14:paraId="44D07356">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2.826</w:t>
                  </w:r>
                </w:p>
              </w:tc>
              <w:tc>
                <w:tcPr>
                  <w:tcW w:w="328" w:type="pct"/>
                  <w:noWrap w:val="0"/>
                  <w:vAlign w:val="center"/>
                </w:tcPr>
                <w:p w14:paraId="6BCCB29A">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c>
                <w:tcPr>
                  <w:tcW w:w="257" w:type="pct"/>
                  <w:noWrap w:val="0"/>
                  <w:vAlign w:val="center"/>
                </w:tcPr>
                <w:p w14:paraId="35069E1B">
                  <w:pPr>
                    <w:pStyle w:val="107"/>
                    <w:widowControl/>
                    <w:ind w:firstLine="0" w:firstLineChars="0"/>
                    <w:jc w:val="center"/>
                    <w:rPr>
                      <w:b/>
                      <w:bCs/>
                      <w:color w:val="auto"/>
                      <w:szCs w:val="21"/>
                      <w:highlight w:val="none"/>
                    </w:rPr>
                  </w:pPr>
                  <w:r>
                    <w:rPr>
                      <w:rFonts w:hint="eastAsia" w:ascii="Times New Roman" w:hAnsi="Times New Roman" w:eastAsia="宋体"/>
                      <w:color w:val="auto"/>
                      <w:sz w:val="21"/>
                      <w:szCs w:val="21"/>
                      <w:highlight w:val="none"/>
                    </w:rPr>
                    <w:t>/</w:t>
                  </w:r>
                </w:p>
              </w:tc>
              <w:tc>
                <w:tcPr>
                  <w:tcW w:w="307" w:type="pct"/>
                  <w:noWrap w:val="0"/>
                  <w:vAlign w:val="center"/>
                </w:tcPr>
                <w:p w14:paraId="231A26D3">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c>
                <w:tcPr>
                  <w:tcW w:w="237" w:type="pct"/>
                  <w:noWrap w:val="0"/>
                  <w:vAlign w:val="center"/>
                </w:tcPr>
                <w:p w14:paraId="0918DFAC">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c>
                <w:tcPr>
                  <w:tcW w:w="394" w:type="pct"/>
                  <w:noWrap w:val="0"/>
                  <w:vAlign w:val="center"/>
                </w:tcPr>
                <w:p w14:paraId="57490DB8">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c>
                <w:tcPr>
                  <w:tcW w:w="189" w:type="pct"/>
                  <w:noWrap w:val="0"/>
                  <w:vAlign w:val="center"/>
                </w:tcPr>
                <w:p w14:paraId="77C5DC26">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c>
                <w:tcPr>
                  <w:tcW w:w="280" w:type="pct"/>
                  <w:noWrap w:val="0"/>
                  <w:vAlign w:val="center"/>
                </w:tcPr>
                <w:p w14:paraId="0EFC21B8">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c>
                <w:tcPr>
                  <w:tcW w:w="180" w:type="pct"/>
                  <w:noWrap w:val="0"/>
                  <w:vAlign w:val="center"/>
                </w:tcPr>
                <w:p w14:paraId="002DDF15">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w:t>
                  </w:r>
                </w:p>
              </w:tc>
            </w:tr>
            <w:tr w14:paraId="651D505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5" w:hRule="atLeast"/>
                <w:jc w:val="center"/>
              </w:trPr>
              <w:tc>
                <w:tcPr>
                  <w:tcW w:w="154" w:type="pct"/>
                  <w:vMerge w:val="continue"/>
                  <w:noWrap w:val="0"/>
                  <w:vAlign w:val="center"/>
                </w:tcPr>
                <w:p w14:paraId="4ED0D255">
                  <w:pPr>
                    <w:pStyle w:val="107"/>
                    <w:widowControl/>
                    <w:ind w:firstLine="0" w:firstLineChars="0"/>
                    <w:jc w:val="center"/>
                    <w:rPr>
                      <w:rFonts w:hint="eastAsia" w:ascii="Times New Roman" w:hAnsi="Times New Roman" w:eastAsia="宋体"/>
                      <w:color w:val="auto"/>
                      <w:sz w:val="21"/>
                      <w:szCs w:val="21"/>
                      <w:highlight w:val="none"/>
                    </w:rPr>
                  </w:pPr>
                </w:p>
              </w:tc>
              <w:tc>
                <w:tcPr>
                  <w:tcW w:w="394" w:type="pct"/>
                  <w:gridSpan w:val="2"/>
                  <w:noWrap w:val="0"/>
                  <w:vAlign w:val="center"/>
                </w:tcPr>
                <w:p w14:paraId="6D398B1B">
                  <w:pPr>
                    <w:pStyle w:val="98"/>
                    <w:widowControl w:val="0"/>
                    <w:kinsoku/>
                    <w:autoSpaceDE/>
                    <w:autoSpaceDN/>
                    <w:adjustRightInd/>
                    <w:snapToGrid/>
                    <w:ind w:firstLine="0" w:firstLineChars="0"/>
                    <w:jc w:val="center"/>
                    <w:textAlignment w:val="auto"/>
                    <w:rPr>
                      <w:rFonts w:hint="eastAsia"/>
                      <w:color w:val="auto"/>
                      <w:szCs w:val="21"/>
                      <w:highlight w:val="none"/>
                    </w:rPr>
                  </w:pPr>
                  <w:r>
                    <w:rPr>
                      <w:rFonts w:hint="eastAsia" w:ascii="Times New Roman" w:hAnsi="Times New Roman" w:eastAsia="宋体" w:cs="Times New Roman"/>
                      <w:snapToGrid/>
                      <w:color w:val="auto"/>
                      <w:kern w:val="2"/>
                      <w:szCs w:val="24"/>
                      <w:highlight w:val="none"/>
                      <w:lang w:val="en-US" w:eastAsia="zh-CN"/>
                    </w:rPr>
                    <w:t>沥青烟</w:t>
                  </w:r>
                </w:p>
              </w:tc>
              <w:tc>
                <w:tcPr>
                  <w:tcW w:w="208" w:type="pct"/>
                  <w:vMerge w:val="continue"/>
                  <w:noWrap w:val="0"/>
                  <w:vAlign w:val="center"/>
                </w:tcPr>
                <w:p w14:paraId="33743528">
                  <w:pPr>
                    <w:pStyle w:val="107"/>
                    <w:widowControl/>
                    <w:ind w:firstLine="0" w:firstLineChars="0"/>
                    <w:jc w:val="center"/>
                    <w:rPr>
                      <w:rFonts w:hint="eastAsia" w:ascii="Times New Roman" w:hAnsi="Times New Roman" w:eastAsia="宋体"/>
                      <w:color w:val="auto"/>
                      <w:sz w:val="21"/>
                      <w:szCs w:val="21"/>
                      <w:highlight w:val="none"/>
                    </w:rPr>
                  </w:pPr>
                </w:p>
              </w:tc>
              <w:tc>
                <w:tcPr>
                  <w:tcW w:w="265" w:type="pct"/>
                  <w:noWrap w:val="0"/>
                  <w:vAlign w:val="center"/>
                </w:tcPr>
                <w:p w14:paraId="4F733FFE">
                  <w:pPr>
                    <w:pStyle w:val="107"/>
                    <w:widowControl/>
                    <w:ind w:firstLine="0" w:firstLineChars="0"/>
                    <w:jc w:val="center"/>
                    <w:rPr>
                      <w:rFonts w:hint="default" w:ascii="Times New Roman" w:hAnsi="Times New Roman" w:eastAsia="宋体"/>
                      <w:color w:val="auto"/>
                      <w:sz w:val="21"/>
                      <w:szCs w:val="21"/>
                      <w:highlight w:val="none"/>
                      <w:lang w:val="en-US"/>
                    </w:rPr>
                  </w:pPr>
                  <w:r>
                    <w:rPr>
                      <w:rFonts w:hint="eastAsia" w:ascii="Times New Roman" w:hAnsi="Times New Roman" w:eastAsia="宋体"/>
                      <w:color w:val="auto"/>
                      <w:sz w:val="21"/>
                      <w:szCs w:val="21"/>
                      <w:highlight w:val="none"/>
                      <w:lang w:val="en-US" w:eastAsia="zh-CN"/>
                    </w:rPr>
                    <w:t>1.0158</w:t>
                  </w:r>
                </w:p>
              </w:tc>
              <w:tc>
                <w:tcPr>
                  <w:tcW w:w="284" w:type="pct"/>
                  <w:noWrap w:val="0"/>
                  <w:vAlign w:val="center"/>
                </w:tcPr>
                <w:p w14:paraId="4CC1D6E8">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c>
                <w:tcPr>
                  <w:tcW w:w="260" w:type="pct"/>
                  <w:noWrap w:val="0"/>
                  <w:vAlign w:val="center"/>
                </w:tcPr>
                <w:p w14:paraId="1B671B2C">
                  <w:pPr>
                    <w:pStyle w:val="107"/>
                    <w:widowControl/>
                    <w:ind w:firstLine="0" w:firstLineChars="0"/>
                    <w:jc w:val="center"/>
                    <w:rPr>
                      <w:color w:val="auto"/>
                      <w:szCs w:val="21"/>
                      <w:highlight w:val="none"/>
                    </w:rPr>
                  </w:pPr>
                  <w:r>
                    <w:rPr>
                      <w:rFonts w:hint="eastAsia" w:ascii="Times New Roman" w:hAnsi="Times New Roman" w:eastAsia="宋体"/>
                      <w:color w:val="auto"/>
                      <w:sz w:val="21"/>
                      <w:szCs w:val="21"/>
                      <w:highlight w:val="none"/>
                    </w:rPr>
                    <w:t>/</w:t>
                  </w:r>
                </w:p>
              </w:tc>
              <w:tc>
                <w:tcPr>
                  <w:tcW w:w="338" w:type="pct"/>
                  <w:noWrap/>
                  <w:vAlign w:val="center"/>
                </w:tcPr>
                <w:p w14:paraId="7B45844B">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c>
                <w:tcPr>
                  <w:tcW w:w="323" w:type="pct"/>
                  <w:noWrap w:val="0"/>
                  <w:vAlign w:val="center"/>
                </w:tcPr>
                <w:p w14:paraId="2F0122EA">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c>
                <w:tcPr>
                  <w:tcW w:w="329" w:type="pct"/>
                  <w:noWrap w:val="0"/>
                  <w:vAlign w:val="center"/>
                </w:tcPr>
                <w:p w14:paraId="70B6194B">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c>
                <w:tcPr>
                  <w:tcW w:w="266" w:type="pct"/>
                  <w:noWrap w:val="0"/>
                  <w:vAlign w:val="center"/>
                </w:tcPr>
                <w:p w14:paraId="2045FF7D">
                  <w:pPr>
                    <w:pStyle w:val="107"/>
                    <w:widowControl/>
                    <w:ind w:firstLine="0" w:firstLineChars="0"/>
                    <w:jc w:val="center"/>
                    <w:rPr>
                      <w:rFonts w:hint="default" w:ascii="Times New Roman" w:hAnsi="Times New Roman" w:eastAsia="宋体"/>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0.203</w:t>
                  </w:r>
                </w:p>
              </w:tc>
              <w:tc>
                <w:tcPr>
                  <w:tcW w:w="328" w:type="pct"/>
                  <w:noWrap w:val="0"/>
                  <w:vAlign w:val="center"/>
                </w:tcPr>
                <w:p w14:paraId="7DD1A6F5">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c>
                <w:tcPr>
                  <w:tcW w:w="257" w:type="pct"/>
                  <w:noWrap w:val="0"/>
                  <w:vAlign w:val="center"/>
                </w:tcPr>
                <w:p w14:paraId="69A87936">
                  <w:pPr>
                    <w:pStyle w:val="107"/>
                    <w:widowControl/>
                    <w:ind w:firstLine="0" w:firstLineChars="0"/>
                    <w:jc w:val="center"/>
                    <w:rPr>
                      <w:b/>
                      <w:bCs/>
                      <w:color w:val="auto"/>
                      <w:szCs w:val="21"/>
                      <w:highlight w:val="none"/>
                    </w:rPr>
                  </w:pPr>
                  <w:r>
                    <w:rPr>
                      <w:rFonts w:hint="eastAsia" w:ascii="Times New Roman" w:hAnsi="Times New Roman" w:eastAsia="宋体"/>
                      <w:color w:val="auto"/>
                      <w:sz w:val="21"/>
                      <w:szCs w:val="21"/>
                      <w:highlight w:val="none"/>
                    </w:rPr>
                    <w:t>/</w:t>
                  </w:r>
                </w:p>
              </w:tc>
              <w:tc>
                <w:tcPr>
                  <w:tcW w:w="307" w:type="pct"/>
                  <w:noWrap w:val="0"/>
                  <w:vAlign w:val="center"/>
                </w:tcPr>
                <w:p w14:paraId="52A43E83">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c>
                <w:tcPr>
                  <w:tcW w:w="237" w:type="pct"/>
                  <w:noWrap w:val="0"/>
                  <w:vAlign w:val="center"/>
                </w:tcPr>
                <w:p w14:paraId="7980FFDC">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c>
                <w:tcPr>
                  <w:tcW w:w="394" w:type="pct"/>
                  <w:noWrap w:val="0"/>
                  <w:vAlign w:val="center"/>
                </w:tcPr>
                <w:p w14:paraId="428107C1">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c>
                <w:tcPr>
                  <w:tcW w:w="189" w:type="pct"/>
                  <w:noWrap w:val="0"/>
                  <w:vAlign w:val="center"/>
                </w:tcPr>
                <w:p w14:paraId="22DED46B">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c>
                <w:tcPr>
                  <w:tcW w:w="280" w:type="pct"/>
                  <w:noWrap w:val="0"/>
                  <w:vAlign w:val="center"/>
                </w:tcPr>
                <w:p w14:paraId="51C9B0AA">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c>
                <w:tcPr>
                  <w:tcW w:w="180" w:type="pct"/>
                  <w:noWrap w:val="0"/>
                  <w:vAlign w:val="center"/>
                </w:tcPr>
                <w:p w14:paraId="6FFDEA31">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w:t>
                  </w:r>
                </w:p>
              </w:tc>
            </w:tr>
            <w:tr w14:paraId="1739BB5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9" w:hRule="atLeast"/>
                <w:jc w:val="center"/>
              </w:trPr>
              <w:tc>
                <w:tcPr>
                  <w:tcW w:w="154" w:type="pct"/>
                  <w:vMerge w:val="continue"/>
                  <w:noWrap w:val="0"/>
                  <w:vAlign w:val="center"/>
                </w:tcPr>
                <w:p w14:paraId="04DDE4C6">
                  <w:pPr>
                    <w:pStyle w:val="107"/>
                    <w:widowControl/>
                    <w:ind w:firstLine="0" w:firstLineChars="0"/>
                    <w:jc w:val="center"/>
                    <w:rPr>
                      <w:rFonts w:hint="eastAsia" w:ascii="Times New Roman" w:hAnsi="Times New Roman" w:eastAsia="宋体"/>
                      <w:color w:val="auto"/>
                      <w:sz w:val="21"/>
                      <w:szCs w:val="21"/>
                      <w:highlight w:val="none"/>
                    </w:rPr>
                  </w:pPr>
                </w:p>
              </w:tc>
              <w:tc>
                <w:tcPr>
                  <w:tcW w:w="394" w:type="pct"/>
                  <w:gridSpan w:val="2"/>
                  <w:noWrap w:val="0"/>
                  <w:vAlign w:val="center"/>
                </w:tcPr>
                <w:p w14:paraId="4A5D57A8">
                  <w:pPr>
                    <w:pStyle w:val="98"/>
                    <w:adjustRightInd/>
                    <w:snapToGrid/>
                    <w:ind w:firstLine="0" w:firstLineChars="0"/>
                    <w:rPr>
                      <w:rFonts w:hint="eastAsia" w:eastAsia="宋体"/>
                      <w:color w:val="auto"/>
                      <w:szCs w:val="21"/>
                      <w:highlight w:val="none"/>
                      <w:lang w:eastAsia="zh-CN"/>
                    </w:rPr>
                  </w:pPr>
                  <w:r>
                    <w:rPr>
                      <w:rFonts w:hint="eastAsia" w:ascii="Times New Roman" w:hAnsi="Times New Roman" w:eastAsia="宋体" w:cs="Times New Roman"/>
                      <w:color w:val="auto"/>
                      <w:highlight w:val="none"/>
                      <w:lang w:val="en-US" w:eastAsia="zh-CN"/>
                    </w:rPr>
                    <w:t>苯并[a]芘</w:t>
                  </w:r>
                </w:p>
              </w:tc>
              <w:tc>
                <w:tcPr>
                  <w:tcW w:w="208" w:type="pct"/>
                  <w:vMerge w:val="continue"/>
                  <w:noWrap w:val="0"/>
                  <w:vAlign w:val="center"/>
                </w:tcPr>
                <w:p w14:paraId="79DA1443">
                  <w:pPr>
                    <w:pStyle w:val="107"/>
                    <w:widowControl/>
                    <w:ind w:firstLine="0" w:firstLineChars="0"/>
                    <w:jc w:val="center"/>
                    <w:rPr>
                      <w:rFonts w:hint="eastAsia" w:ascii="Times New Roman" w:hAnsi="Times New Roman" w:eastAsia="宋体"/>
                      <w:color w:val="auto"/>
                      <w:sz w:val="21"/>
                      <w:szCs w:val="21"/>
                      <w:highlight w:val="none"/>
                    </w:rPr>
                  </w:pPr>
                </w:p>
              </w:tc>
              <w:tc>
                <w:tcPr>
                  <w:tcW w:w="265" w:type="pct"/>
                  <w:noWrap w:val="0"/>
                  <w:vAlign w:val="center"/>
                </w:tcPr>
                <w:p w14:paraId="64D7320F">
                  <w:pPr>
                    <w:pStyle w:val="107"/>
                    <w:widowControl/>
                    <w:ind w:firstLine="0" w:firstLineChars="0"/>
                    <w:jc w:val="center"/>
                    <w:rPr>
                      <w:rFonts w:hint="default" w:ascii="Times New Roman" w:hAnsi="Times New Roman" w:eastAsia="宋体"/>
                      <w:color w:val="auto"/>
                      <w:sz w:val="21"/>
                      <w:szCs w:val="21"/>
                      <w:highlight w:val="none"/>
                      <w:lang w:val="en-US"/>
                    </w:rPr>
                  </w:pPr>
                  <w:r>
                    <w:rPr>
                      <w:rFonts w:hint="eastAsia" w:ascii="Times New Roman" w:hAnsi="Times New Roman" w:eastAsia="宋体"/>
                      <w:color w:val="auto"/>
                      <w:sz w:val="21"/>
                      <w:szCs w:val="21"/>
                      <w:highlight w:val="none"/>
                      <w:lang w:val="en-US" w:eastAsia="zh-CN"/>
                    </w:rPr>
                    <w:t>0.00135</w:t>
                  </w:r>
                </w:p>
              </w:tc>
              <w:tc>
                <w:tcPr>
                  <w:tcW w:w="284" w:type="pct"/>
                  <w:noWrap w:val="0"/>
                  <w:vAlign w:val="center"/>
                </w:tcPr>
                <w:p w14:paraId="1739D70B">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c>
                <w:tcPr>
                  <w:tcW w:w="260" w:type="pct"/>
                  <w:noWrap w:val="0"/>
                  <w:vAlign w:val="center"/>
                </w:tcPr>
                <w:p w14:paraId="44A444EA">
                  <w:pPr>
                    <w:pStyle w:val="107"/>
                    <w:widowControl/>
                    <w:ind w:firstLine="0" w:firstLineChars="0"/>
                    <w:jc w:val="center"/>
                    <w:rPr>
                      <w:color w:val="auto"/>
                      <w:szCs w:val="21"/>
                      <w:highlight w:val="none"/>
                    </w:rPr>
                  </w:pPr>
                  <w:r>
                    <w:rPr>
                      <w:rFonts w:hint="eastAsia" w:ascii="Times New Roman" w:hAnsi="Times New Roman" w:eastAsia="宋体"/>
                      <w:color w:val="auto"/>
                      <w:sz w:val="21"/>
                      <w:szCs w:val="21"/>
                      <w:highlight w:val="none"/>
                    </w:rPr>
                    <w:t>/</w:t>
                  </w:r>
                </w:p>
              </w:tc>
              <w:tc>
                <w:tcPr>
                  <w:tcW w:w="338" w:type="pct"/>
                  <w:noWrap/>
                  <w:vAlign w:val="center"/>
                </w:tcPr>
                <w:p w14:paraId="00E855EE">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c>
                <w:tcPr>
                  <w:tcW w:w="323" w:type="pct"/>
                  <w:noWrap w:val="0"/>
                  <w:vAlign w:val="center"/>
                </w:tcPr>
                <w:p w14:paraId="43C350A5">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c>
                <w:tcPr>
                  <w:tcW w:w="329" w:type="pct"/>
                  <w:noWrap w:val="0"/>
                  <w:vAlign w:val="center"/>
                </w:tcPr>
                <w:p w14:paraId="27A125F5">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c>
                <w:tcPr>
                  <w:tcW w:w="266" w:type="pct"/>
                  <w:noWrap w:val="0"/>
                  <w:vAlign w:val="center"/>
                </w:tcPr>
                <w:p w14:paraId="31C98968">
                  <w:pPr>
                    <w:pStyle w:val="107"/>
                    <w:widowControl/>
                    <w:ind w:firstLine="0" w:firstLineChars="0"/>
                    <w:jc w:val="center"/>
                    <w:rPr>
                      <w:rFonts w:hint="default" w:ascii="Times New Roman" w:hAnsi="Times New Roman" w:eastAsia="宋体"/>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0.0003</w:t>
                  </w:r>
                </w:p>
              </w:tc>
              <w:tc>
                <w:tcPr>
                  <w:tcW w:w="328" w:type="pct"/>
                  <w:noWrap w:val="0"/>
                  <w:vAlign w:val="center"/>
                </w:tcPr>
                <w:p w14:paraId="18314734">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c>
                <w:tcPr>
                  <w:tcW w:w="257" w:type="pct"/>
                  <w:noWrap w:val="0"/>
                  <w:vAlign w:val="center"/>
                </w:tcPr>
                <w:p w14:paraId="196DBD4D">
                  <w:pPr>
                    <w:pStyle w:val="107"/>
                    <w:widowControl/>
                    <w:ind w:firstLine="0" w:firstLineChars="0"/>
                    <w:jc w:val="center"/>
                    <w:rPr>
                      <w:b/>
                      <w:bCs/>
                      <w:color w:val="auto"/>
                      <w:szCs w:val="21"/>
                      <w:highlight w:val="none"/>
                    </w:rPr>
                  </w:pPr>
                  <w:r>
                    <w:rPr>
                      <w:rFonts w:hint="eastAsia" w:ascii="Times New Roman" w:hAnsi="Times New Roman" w:eastAsia="宋体"/>
                      <w:color w:val="auto"/>
                      <w:sz w:val="21"/>
                      <w:szCs w:val="21"/>
                      <w:highlight w:val="none"/>
                    </w:rPr>
                    <w:t>/</w:t>
                  </w:r>
                </w:p>
              </w:tc>
              <w:tc>
                <w:tcPr>
                  <w:tcW w:w="307" w:type="pct"/>
                  <w:noWrap w:val="0"/>
                  <w:vAlign w:val="center"/>
                </w:tcPr>
                <w:p w14:paraId="607E7338">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c>
                <w:tcPr>
                  <w:tcW w:w="237" w:type="pct"/>
                  <w:noWrap w:val="0"/>
                  <w:vAlign w:val="center"/>
                </w:tcPr>
                <w:p w14:paraId="40D8E56F">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c>
                <w:tcPr>
                  <w:tcW w:w="394" w:type="pct"/>
                  <w:noWrap w:val="0"/>
                  <w:vAlign w:val="center"/>
                </w:tcPr>
                <w:p w14:paraId="004E360F">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c>
                <w:tcPr>
                  <w:tcW w:w="189" w:type="pct"/>
                  <w:noWrap w:val="0"/>
                  <w:vAlign w:val="center"/>
                </w:tcPr>
                <w:p w14:paraId="1EB62097">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c>
                <w:tcPr>
                  <w:tcW w:w="280" w:type="pct"/>
                  <w:noWrap w:val="0"/>
                  <w:vAlign w:val="center"/>
                </w:tcPr>
                <w:p w14:paraId="20E4E7FC">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c>
                <w:tcPr>
                  <w:tcW w:w="180" w:type="pct"/>
                  <w:noWrap w:val="0"/>
                  <w:vAlign w:val="center"/>
                </w:tcPr>
                <w:p w14:paraId="2CE4D14B">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w:t>
                  </w:r>
                </w:p>
              </w:tc>
            </w:tr>
            <w:tr w14:paraId="700ACF3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69" w:hRule="atLeast"/>
                <w:jc w:val="center"/>
              </w:trPr>
              <w:tc>
                <w:tcPr>
                  <w:tcW w:w="154" w:type="pct"/>
                  <w:vMerge w:val="continue"/>
                  <w:noWrap w:val="0"/>
                  <w:vAlign w:val="center"/>
                </w:tcPr>
                <w:p w14:paraId="205D0719">
                  <w:pPr>
                    <w:pStyle w:val="107"/>
                    <w:widowControl/>
                    <w:ind w:firstLine="0" w:firstLineChars="0"/>
                    <w:jc w:val="center"/>
                    <w:rPr>
                      <w:rFonts w:hint="eastAsia" w:ascii="Times New Roman" w:hAnsi="Times New Roman" w:eastAsia="宋体"/>
                      <w:color w:val="auto"/>
                      <w:sz w:val="21"/>
                      <w:szCs w:val="21"/>
                      <w:highlight w:val="none"/>
                    </w:rPr>
                  </w:pPr>
                </w:p>
              </w:tc>
              <w:tc>
                <w:tcPr>
                  <w:tcW w:w="394" w:type="pct"/>
                  <w:gridSpan w:val="2"/>
                  <w:noWrap w:val="0"/>
                  <w:vAlign w:val="center"/>
                </w:tcPr>
                <w:p w14:paraId="54696A64">
                  <w:pPr>
                    <w:pStyle w:val="98"/>
                    <w:adjustRightInd/>
                    <w:snapToGrid/>
                    <w:ind w:firstLine="0" w:firstLineChars="0"/>
                    <w:rPr>
                      <w:rFonts w:hint="eastAsia"/>
                      <w:color w:val="auto"/>
                      <w:szCs w:val="21"/>
                      <w:highlight w:val="none"/>
                    </w:rPr>
                  </w:pPr>
                  <w:r>
                    <w:rPr>
                      <w:rFonts w:hint="eastAsia"/>
                      <w:color w:val="auto"/>
                      <w:szCs w:val="21"/>
                      <w:highlight w:val="none"/>
                      <w:lang w:val="en-US" w:eastAsia="zh-CN"/>
                    </w:rPr>
                    <w:t>非甲烷总烃</w:t>
                  </w:r>
                </w:p>
              </w:tc>
              <w:tc>
                <w:tcPr>
                  <w:tcW w:w="208" w:type="pct"/>
                  <w:vMerge w:val="continue"/>
                  <w:noWrap w:val="0"/>
                  <w:vAlign w:val="center"/>
                </w:tcPr>
                <w:p w14:paraId="314FF482">
                  <w:pPr>
                    <w:pStyle w:val="107"/>
                    <w:widowControl/>
                    <w:ind w:firstLine="0" w:firstLineChars="0"/>
                    <w:jc w:val="center"/>
                    <w:rPr>
                      <w:rFonts w:hint="eastAsia" w:ascii="Times New Roman" w:hAnsi="Times New Roman" w:eastAsia="宋体"/>
                      <w:color w:val="auto"/>
                      <w:sz w:val="21"/>
                      <w:szCs w:val="21"/>
                      <w:highlight w:val="none"/>
                    </w:rPr>
                  </w:pPr>
                </w:p>
              </w:tc>
              <w:tc>
                <w:tcPr>
                  <w:tcW w:w="265" w:type="pct"/>
                  <w:noWrap w:val="0"/>
                  <w:vAlign w:val="center"/>
                </w:tcPr>
                <w:p w14:paraId="7F288C4B">
                  <w:pPr>
                    <w:pStyle w:val="107"/>
                    <w:widowControl/>
                    <w:ind w:firstLine="0" w:firstLineChars="0"/>
                    <w:jc w:val="center"/>
                    <w:rPr>
                      <w:rFonts w:hint="default" w:ascii="Times New Roman" w:hAnsi="Times New Roman" w:eastAsia="宋体"/>
                      <w:color w:val="auto"/>
                      <w:sz w:val="21"/>
                      <w:szCs w:val="21"/>
                      <w:highlight w:val="none"/>
                      <w:lang w:val="en-US"/>
                    </w:rPr>
                  </w:pPr>
                  <w:r>
                    <w:rPr>
                      <w:rFonts w:hint="eastAsia" w:ascii="Times New Roman" w:hAnsi="Times New Roman" w:eastAsia="宋体"/>
                      <w:color w:val="auto"/>
                      <w:sz w:val="21"/>
                      <w:szCs w:val="21"/>
                      <w:highlight w:val="none"/>
                      <w:lang w:val="en-US" w:eastAsia="zh-CN"/>
                    </w:rPr>
                    <w:t>0.0336</w:t>
                  </w:r>
                </w:p>
              </w:tc>
              <w:tc>
                <w:tcPr>
                  <w:tcW w:w="284" w:type="pct"/>
                  <w:noWrap w:val="0"/>
                  <w:vAlign w:val="center"/>
                </w:tcPr>
                <w:p w14:paraId="57EC90B7">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c>
                <w:tcPr>
                  <w:tcW w:w="260" w:type="pct"/>
                  <w:noWrap w:val="0"/>
                  <w:vAlign w:val="center"/>
                </w:tcPr>
                <w:p w14:paraId="3D96C0AF">
                  <w:pPr>
                    <w:pStyle w:val="107"/>
                    <w:widowControl/>
                    <w:ind w:firstLine="0" w:firstLineChars="0"/>
                    <w:jc w:val="center"/>
                    <w:rPr>
                      <w:color w:val="auto"/>
                      <w:szCs w:val="21"/>
                      <w:highlight w:val="none"/>
                    </w:rPr>
                  </w:pPr>
                  <w:r>
                    <w:rPr>
                      <w:rFonts w:hint="eastAsia" w:ascii="Times New Roman" w:hAnsi="Times New Roman" w:eastAsia="宋体"/>
                      <w:color w:val="auto"/>
                      <w:sz w:val="21"/>
                      <w:szCs w:val="21"/>
                      <w:highlight w:val="none"/>
                    </w:rPr>
                    <w:t>/</w:t>
                  </w:r>
                </w:p>
              </w:tc>
              <w:tc>
                <w:tcPr>
                  <w:tcW w:w="338" w:type="pct"/>
                  <w:noWrap/>
                  <w:vAlign w:val="center"/>
                </w:tcPr>
                <w:p w14:paraId="005D44F5">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c>
                <w:tcPr>
                  <w:tcW w:w="323" w:type="pct"/>
                  <w:noWrap w:val="0"/>
                  <w:vAlign w:val="center"/>
                </w:tcPr>
                <w:p w14:paraId="1EBEDB94">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c>
                <w:tcPr>
                  <w:tcW w:w="329" w:type="pct"/>
                  <w:noWrap w:val="0"/>
                  <w:vAlign w:val="center"/>
                </w:tcPr>
                <w:p w14:paraId="65A60D71">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c>
                <w:tcPr>
                  <w:tcW w:w="266" w:type="pct"/>
                  <w:noWrap w:val="0"/>
                  <w:vAlign w:val="center"/>
                </w:tcPr>
                <w:p w14:paraId="5CFBB7F2">
                  <w:pPr>
                    <w:pStyle w:val="107"/>
                    <w:widowControl/>
                    <w:ind w:firstLine="0" w:firstLineChars="0"/>
                    <w:jc w:val="center"/>
                    <w:rPr>
                      <w:rFonts w:hint="default" w:ascii="Times New Roman" w:hAnsi="Times New Roman" w:eastAsia="宋体"/>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0.0067</w:t>
                  </w:r>
                </w:p>
              </w:tc>
              <w:tc>
                <w:tcPr>
                  <w:tcW w:w="328" w:type="pct"/>
                  <w:noWrap w:val="0"/>
                  <w:vAlign w:val="center"/>
                </w:tcPr>
                <w:p w14:paraId="10B2904B">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c>
                <w:tcPr>
                  <w:tcW w:w="257" w:type="pct"/>
                  <w:noWrap w:val="0"/>
                  <w:vAlign w:val="center"/>
                </w:tcPr>
                <w:p w14:paraId="3B92B76D">
                  <w:pPr>
                    <w:pStyle w:val="107"/>
                    <w:widowControl/>
                    <w:ind w:firstLine="0" w:firstLineChars="0"/>
                    <w:jc w:val="center"/>
                    <w:rPr>
                      <w:b/>
                      <w:bCs/>
                      <w:color w:val="auto"/>
                      <w:szCs w:val="21"/>
                      <w:highlight w:val="none"/>
                    </w:rPr>
                  </w:pPr>
                  <w:r>
                    <w:rPr>
                      <w:rFonts w:hint="eastAsia" w:ascii="Times New Roman" w:hAnsi="Times New Roman" w:eastAsia="宋体"/>
                      <w:color w:val="auto"/>
                      <w:sz w:val="21"/>
                      <w:szCs w:val="21"/>
                      <w:highlight w:val="none"/>
                    </w:rPr>
                    <w:t>/</w:t>
                  </w:r>
                </w:p>
              </w:tc>
              <w:tc>
                <w:tcPr>
                  <w:tcW w:w="307" w:type="pct"/>
                  <w:noWrap w:val="0"/>
                  <w:vAlign w:val="center"/>
                </w:tcPr>
                <w:p w14:paraId="3C563A10">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c>
                <w:tcPr>
                  <w:tcW w:w="237" w:type="pct"/>
                  <w:noWrap w:val="0"/>
                  <w:vAlign w:val="center"/>
                </w:tcPr>
                <w:p w14:paraId="005DE434">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c>
                <w:tcPr>
                  <w:tcW w:w="394" w:type="pct"/>
                  <w:noWrap w:val="0"/>
                  <w:vAlign w:val="center"/>
                </w:tcPr>
                <w:p w14:paraId="1FC046D9">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c>
                <w:tcPr>
                  <w:tcW w:w="189" w:type="pct"/>
                  <w:noWrap w:val="0"/>
                  <w:vAlign w:val="center"/>
                </w:tcPr>
                <w:p w14:paraId="3FB1E6F7">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c>
                <w:tcPr>
                  <w:tcW w:w="280" w:type="pct"/>
                  <w:noWrap w:val="0"/>
                  <w:vAlign w:val="center"/>
                </w:tcPr>
                <w:p w14:paraId="3341BEA6">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c>
                <w:tcPr>
                  <w:tcW w:w="180" w:type="pct"/>
                  <w:noWrap w:val="0"/>
                  <w:vAlign w:val="center"/>
                </w:tcPr>
                <w:p w14:paraId="22EEF722">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w:t>
                  </w:r>
                </w:p>
              </w:tc>
            </w:tr>
            <w:tr w14:paraId="0B66BF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5" w:hRule="atLeast"/>
                <w:jc w:val="center"/>
              </w:trPr>
              <w:tc>
                <w:tcPr>
                  <w:tcW w:w="154" w:type="pct"/>
                  <w:vMerge w:val="continue"/>
                  <w:noWrap w:val="0"/>
                  <w:vAlign w:val="center"/>
                </w:tcPr>
                <w:p w14:paraId="634EC9F6">
                  <w:pPr>
                    <w:pStyle w:val="107"/>
                    <w:widowControl/>
                    <w:ind w:firstLine="0" w:firstLineChars="0"/>
                    <w:jc w:val="center"/>
                    <w:rPr>
                      <w:rFonts w:ascii="Times New Roman" w:hAnsi="Times New Roman" w:eastAsia="宋体"/>
                      <w:color w:val="auto"/>
                      <w:sz w:val="21"/>
                      <w:szCs w:val="21"/>
                      <w:highlight w:val="none"/>
                    </w:rPr>
                  </w:pPr>
                </w:p>
              </w:tc>
              <w:tc>
                <w:tcPr>
                  <w:tcW w:w="394" w:type="pct"/>
                  <w:gridSpan w:val="2"/>
                  <w:noWrap w:val="0"/>
                  <w:vAlign w:val="center"/>
                </w:tcPr>
                <w:p w14:paraId="3BACE258">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油烟</w:t>
                  </w:r>
                </w:p>
              </w:tc>
              <w:tc>
                <w:tcPr>
                  <w:tcW w:w="208" w:type="pct"/>
                  <w:vMerge w:val="continue"/>
                  <w:noWrap w:val="0"/>
                  <w:vAlign w:val="center"/>
                </w:tcPr>
                <w:p w14:paraId="17680D63">
                  <w:pPr>
                    <w:pStyle w:val="107"/>
                    <w:widowControl/>
                    <w:ind w:firstLine="0" w:firstLineChars="0"/>
                    <w:jc w:val="center"/>
                    <w:rPr>
                      <w:rFonts w:ascii="Times New Roman" w:hAnsi="Times New Roman" w:eastAsia="宋体"/>
                      <w:color w:val="auto"/>
                      <w:sz w:val="21"/>
                      <w:szCs w:val="21"/>
                      <w:highlight w:val="none"/>
                    </w:rPr>
                  </w:pPr>
                </w:p>
              </w:tc>
              <w:tc>
                <w:tcPr>
                  <w:tcW w:w="738" w:type="dxa"/>
                  <w:noWrap w:val="0"/>
                  <w:vAlign w:val="center"/>
                </w:tcPr>
                <w:p w14:paraId="0FEF57F2">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1.2</w:t>
                  </w:r>
                  <w:r>
                    <w:rPr>
                      <w:rFonts w:hint="default" w:ascii="Arial" w:hAnsi="Arial" w:eastAsia="宋体" w:cs="Arial"/>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10</w:t>
                  </w:r>
                  <w:r>
                    <w:rPr>
                      <w:rFonts w:hint="eastAsia" w:ascii="Times New Roman" w:hAnsi="Times New Roman" w:eastAsia="宋体"/>
                      <w:color w:val="auto"/>
                      <w:sz w:val="21"/>
                      <w:szCs w:val="21"/>
                      <w:highlight w:val="none"/>
                      <w:vertAlign w:val="superscript"/>
                      <w:lang w:val="en-US" w:eastAsia="zh-CN"/>
                    </w:rPr>
                    <w:t>-3</w:t>
                  </w:r>
                </w:p>
              </w:tc>
              <w:tc>
                <w:tcPr>
                  <w:tcW w:w="284" w:type="pct"/>
                  <w:noWrap w:val="0"/>
                  <w:vAlign w:val="center"/>
                </w:tcPr>
                <w:p w14:paraId="6678E0A0">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c>
                <w:tcPr>
                  <w:tcW w:w="260" w:type="pct"/>
                  <w:noWrap w:val="0"/>
                  <w:vAlign w:val="center"/>
                </w:tcPr>
                <w:p w14:paraId="49DA85C0">
                  <w:pPr>
                    <w:pStyle w:val="107"/>
                    <w:widowControl/>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c>
                <w:tcPr>
                  <w:tcW w:w="338" w:type="pct"/>
                  <w:noWrap/>
                  <w:vAlign w:val="center"/>
                </w:tcPr>
                <w:p w14:paraId="7E31F6A0">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c>
                <w:tcPr>
                  <w:tcW w:w="323" w:type="pct"/>
                  <w:noWrap w:val="0"/>
                  <w:vAlign w:val="center"/>
                </w:tcPr>
                <w:p w14:paraId="2946B5BC">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c>
                <w:tcPr>
                  <w:tcW w:w="329" w:type="pct"/>
                  <w:noWrap w:val="0"/>
                  <w:vAlign w:val="center"/>
                </w:tcPr>
                <w:p w14:paraId="425F11FE">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c>
                <w:tcPr>
                  <w:tcW w:w="739" w:type="dxa"/>
                  <w:noWrap w:val="0"/>
                  <w:vAlign w:val="center"/>
                </w:tcPr>
                <w:p w14:paraId="352D5A46">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1.8</w:t>
                  </w:r>
                  <w:r>
                    <w:rPr>
                      <w:rFonts w:hint="default" w:ascii="Arial" w:hAnsi="Arial" w:eastAsia="宋体" w:cs="Arial"/>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10</w:t>
                  </w:r>
                  <w:r>
                    <w:rPr>
                      <w:rFonts w:hint="eastAsia" w:ascii="Times New Roman" w:hAnsi="Times New Roman" w:eastAsia="宋体"/>
                      <w:color w:val="auto"/>
                      <w:sz w:val="21"/>
                      <w:szCs w:val="21"/>
                      <w:highlight w:val="none"/>
                      <w:vertAlign w:val="superscript"/>
                      <w:lang w:val="en-US" w:eastAsia="zh-CN"/>
                    </w:rPr>
                    <w:t>-4</w:t>
                  </w:r>
                </w:p>
              </w:tc>
              <w:tc>
                <w:tcPr>
                  <w:tcW w:w="328" w:type="pct"/>
                  <w:noWrap w:val="0"/>
                  <w:vAlign w:val="center"/>
                </w:tcPr>
                <w:p w14:paraId="19C26DE4">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c>
                <w:tcPr>
                  <w:tcW w:w="257" w:type="pct"/>
                  <w:noWrap w:val="0"/>
                  <w:vAlign w:val="center"/>
                </w:tcPr>
                <w:p w14:paraId="4C617130">
                  <w:pPr>
                    <w:pStyle w:val="107"/>
                    <w:widowControl/>
                    <w:ind w:firstLine="0" w:firstLineChars="0"/>
                    <w:jc w:val="center"/>
                    <w:rPr>
                      <w:rFonts w:ascii="Times New Roman" w:hAnsi="Times New Roman" w:eastAsia="宋体"/>
                      <w:b/>
                      <w:bCs/>
                      <w:color w:val="auto"/>
                      <w:sz w:val="21"/>
                      <w:szCs w:val="21"/>
                      <w:highlight w:val="none"/>
                    </w:rPr>
                  </w:pPr>
                  <w:r>
                    <w:rPr>
                      <w:rFonts w:hint="eastAsia" w:ascii="Times New Roman" w:hAnsi="Times New Roman" w:eastAsia="宋体"/>
                      <w:color w:val="auto"/>
                      <w:sz w:val="21"/>
                      <w:szCs w:val="21"/>
                      <w:highlight w:val="none"/>
                    </w:rPr>
                    <w:t>/</w:t>
                  </w:r>
                </w:p>
              </w:tc>
              <w:tc>
                <w:tcPr>
                  <w:tcW w:w="307" w:type="pct"/>
                  <w:noWrap w:val="0"/>
                  <w:vAlign w:val="center"/>
                </w:tcPr>
                <w:p w14:paraId="062967FB">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c>
                <w:tcPr>
                  <w:tcW w:w="237" w:type="pct"/>
                  <w:noWrap w:val="0"/>
                  <w:vAlign w:val="center"/>
                </w:tcPr>
                <w:p w14:paraId="032EF724">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c>
                <w:tcPr>
                  <w:tcW w:w="394" w:type="pct"/>
                  <w:noWrap w:val="0"/>
                  <w:vAlign w:val="center"/>
                </w:tcPr>
                <w:p w14:paraId="581D139F">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c>
                <w:tcPr>
                  <w:tcW w:w="189" w:type="pct"/>
                  <w:noWrap w:val="0"/>
                  <w:vAlign w:val="center"/>
                </w:tcPr>
                <w:p w14:paraId="34C8D1F8">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c>
                <w:tcPr>
                  <w:tcW w:w="280" w:type="pct"/>
                  <w:noWrap w:val="0"/>
                  <w:vAlign w:val="center"/>
                </w:tcPr>
                <w:p w14:paraId="7E4A61B4">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c>
                <w:tcPr>
                  <w:tcW w:w="180" w:type="pct"/>
                  <w:noWrap w:val="0"/>
                  <w:vAlign w:val="center"/>
                </w:tcPr>
                <w:p w14:paraId="6136F7E6">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w:t>
                  </w:r>
                </w:p>
              </w:tc>
            </w:tr>
          </w:tbl>
          <w:p w14:paraId="0BA26D1D">
            <w:pPr>
              <w:ind w:firstLine="0" w:firstLineChars="0"/>
              <w:jc w:val="center"/>
              <w:rPr>
                <w:rFonts w:hint="eastAsia"/>
                <w:b/>
                <w:bCs/>
                <w:color w:val="auto"/>
                <w:highlight w:val="none"/>
              </w:rPr>
            </w:pPr>
          </w:p>
          <w:p w14:paraId="5080B09C">
            <w:pPr>
              <w:ind w:firstLine="0" w:firstLineChars="0"/>
              <w:jc w:val="center"/>
              <w:rPr>
                <w:b/>
                <w:bCs/>
                <w:color w:val="auto"/>
                <w:highlight w:val="none"/>
              </w:rPr>
            </w:pPr>
            <w:r>
              <w:rPr>
                <w:rFonts w:hint="eastAsia"/>
                <w:b/>
                <w:bCs/>
                <w:color w:val="auto"/>
                <w:highlight w:val="none"/>
              </w:rPr>
              <w:t>表4.2-</w:t>
            </w:r>
            <w:r>
              <w:rPr>
                <w:rFonts w:hint="eastAsia"/>
                <w:b/>
                <w:bCs/>
                <w:color w:val="auto"/>
                <w:highlight w:val="none"/>
                <w:lang w:val="en-US" w:eastAsia="zh-CN"/>
              </w:rPr>
              <w:t>15</w:t>
            </w:r>
            <w:r>
              <w:rPr>
                <w:rFonts w:hint="eastAsia"/>
                <w:b/>
                <w:bCs/>
                <w:color w:val="auto"/>
                <w:highlight w:val="none"/>
              </w:rPr>
              <w:t xml:space="preserve">  </w:t>
            </w:r>
            <w:r>
              <w:rPr>
                <w:rFonts w:hint="eastAsia"/>
                <w:b/>
                <w:bCs/>
                <w:color w:val="auto"/>
                <w:highlight w:val="none"/>
                <w:lang w:val="en-US" w:eastAsia="zh-CN"/>
              </w:rPr>
              <w:t>本项目</w:t>
            </w:r>
            <w:r>
              <w:rPr>
                <w:rFonts w:hint="eastAsia"/>
                <w:b/>
                <w:bCs/>
                <w:color w:val="auto"/>
                <w:highlight w:val="none"/>
              </w:rPr>
              <w:t>无组织废气产排情况一览表</w:t>
            </w:r>
          </w:p>
          <w:tbl>
            <w:tblPr>
              <w:tblStyle w:val="27"/>
              <w:tblW w:w="5012"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329"/>
              <w:gridCol w:w="1815"/>
              <w:gridCol w:w="988"/>
              <w:gridCol w:w="758"/>
              <w:gridCol w:w="1299"/>
              <w:gridCol w:w="1773"/>
              <w:gridCol w:w="2036"/>
              <w:gridCol w:w="1294"/>
              <w:gridCol w:w="1294"/>
              <w:gridCol w:w="1294"/>
            </w:tblGrid>
            <w:tr w14:paraId="322325D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576" w:hRule="atLeast"/>
                <w:jc w:val="center"/>
              </w:trPr>
              <w:tc>
                <w:tcPr>
                  <w:tcW w:w="478" w:type="pct"/>
                  <w:noWrap w:val="0"/>
                  <w:vAlign w:val="center"/>
                </w:tcPr>
                <w:p w14:paraId="75EBB080">
                  <w:pPr>
                    <w:pStyle w:val="107"/>
                    <w:widowControl/>
                    <w:ind w:firstLine="0" w:firstLineChars="0"/>
                    <w:jc w:val="center"/>
                    <w:rPr>
                      <w:rFonts w:hint="default" w:ascii="Times New Roman" w:hAnsi="Times New Roman" w:eastAsia="宋体"/>
                      <w:b/>
                      <w:bCs/>
                      <w:color w:val="auto"/>
                      <w:sz w:val="21"/>
                      <w:szCs w:val="21"/>
                      <w:highlight w:val="none"/>
                      <w:lang w:val="en-US" w:eastAsia="zh-CN"/>
                    </w:rPr>
                  </w:pPr>
                  <w:r>
                    <w:rPr>
                      <w:rFonts w:hint="eastAsia" w:ascii="Times New Roman" w:hAnsi="Times New Roman" w:eastAsia="宋体"/>
                      <w:b/>
                      <w:bCs/>
                      <w:color w:val="auto"/>
                      <w:sz w:val="21"/>
                      <w:szCs w:val="21"/>
                      <w:highlight w:val="none"/>
                      <w:lang w:val="en-US" w:eastAsia="zh-CN"/>
                    </w:rPr>
                    <w:t>污染源位置</w:t>
                  </w:r>
                </w:p>
              </w:tc>
              <w:tc>
                <w:tcPr>
                  <w:tcW w:w="1282" w:type="pct"/>
                  <w:gridSpan w:val="3"/>
                  <w:noWrap w:val="0"/>
                  <w:vAlign w:val="center"/>
                </w:tcPr>
                <w:p w14:paraId="670134F2">
                  <w:pPr>
                    <w:pStyle w:val="107"/>
                    <w:widowControl/>
                    <w:ind w:firstLine="0" w:firstLineChars="0"/>
                    <w:jc w:val="center"/>
                    <w:rPr>
                      <w:rFonts w:ascii="Times New Roman" w:hAnsi="Times New Roman" w:eastAsia="宋体"/>
                      <w:b/>
                      <w:bCs/>
                      <w:color w:val="auto"/>
                      <w:sz w:val="21"/>
                      <w:szCs w:val="21"/>
                      <w:highlight w:val="none"/>
                    </w:rPr>
                  </w:pPr>
                  <w:r>
                    <w:rPr>
                      <w:rFonts w:hint="eastAsia" w:ascii="Times New Roman" w:hAnsi="Times New Roman" w:eastAsia="宋体"/>
                      <w:b/>
                      <w:bCs/>
                      <w:color w:val="auto"/>
                      <w:sz w:val="21"/>
                      <w:szCs w:val="21"/>
                      <w:highlight w:val="none"/>
                    </w:rPr>
                    <w:t>污染物</w:t>
                  </w:r>
                </w:p>
              </w:tc>
              <w:tc>
                <w:tcPr>
                  <w:tcW w:w="467" w:type="pct"/>
                  <w:noWrap w:val="0"/>
                  <w:vAlign w:val="center"/>
                </w:tcPr>
                <w:p w14:paraId="6BA884B8">
                  <w:pPr>
                    <w:pStyle w:val="107"/>
                    <w:widowControl/>
                    <w:ind w:firstLine="0" w:firstLineChars="0"/>
                    <w:jc w:val="center"/>
                    <w:rPr>
                      <w:rFonts w:hint="eastAsia" w:ascii="Times New Roman" w:hAnsi="Times New Roman" w:eastAsia="宋体"/>
                      <w:b/>
                      <w:bCs/>
                      <w:color w:val="auto"/>
                      <w:sz w:val="21"/>
                      <w:szCs w:val="21"/>
                      <w:highlight w:val="none"/>
                    </w:rPr>
                  </w:pPr>
                  <w:r>
                    <w:rPr>
                      <w:rFonts w:hint="eastAsia" w:ascii="Times New Roman" w:hAnsi="Times New Roman" w:eastAsia="宋体"/>
                      <w:b/>
                      <w:bCs/>
                      <w:color w:val="auto"/>
                      <w:sz w:val="21"/>
                      <w:szCs w:val="21"/>
                      <w:highlight w:val="none"/>
                    </w:rPr>
                    <w:t>排放时间（h）</w:t>
                  </w:r>
                </w:p>
              </w:tc>
              <w:tc>
                <w:tcPr>
                  <w:tcW w:w="638" w:type="pct"/>
                  <w:noWrap w:val="0"/>
                  <w:vAlign w:val="center"/>
                </w:tcPr>
                <w:p w14:paraId="03212E41">
                  <w:pPr>
                    <w:pStyle w:val="107"/>
                    <w:widowControl/>
                    <w:ind w:firstLine="0" w:firstLineChars="0"/>
                    <w:jc w:val="center"/>
                    <w:rPr>
                      <w:rFonts w:ascii="Times New Roman" w:hAnsi="Times New Roman" w:eastAsia="宋体"/>
                      <w:b/>
                      <w:bCs/>
                      <w:color w:val="auto"/>
                      <w:sz w:val="21"/>
                      <w:szCs w:val="21"/>
                      <w:highlight w:val="none"/>
                    </w:rPr>
                  </w:pPr>
                  <w:r>
                    <w:rPr>
                      <w:rFonts w:hint="eastAsia" w:ascii="Times New Roman" w:hAnsi="Times New Roman" w:eastAsia="宋体"/>
                      <w:b/>
                      <w:bCs/>
                      <w:color w:val="auto"/>
                      <w:sz w:val="21"/>
                      <w:szCs w:val="21"/>
                      <w:highlight w:val="none"/>
                    </w:rPr>
                    <w:t>无组织排放量</w:t>
                  </w:r>
                  <w:r>
                    <w:rPr>
                      <w:rFonts w:ascii="Times New Roman" w:hAnsi="Times New Roman" w:eastAsia="宋体"/>
                      <w:b/>
                      <w:bCs/>
                      <w:color w:val="auto"/>
                      <w:sz w:val="21"/>
                      <w:szCs w:val="21"/>
                      <w:highlight w:val="none"/>
                    </w:rPr>
                    <w:t>(t/a)</w:t>
                  </w:r>
                </w:p>
              </w:tc>
              <w:tc>
                <w:tcPr>
                  <w:tcW w:w="733" w:type="pct"/>
                  <w:noWrap w:val="0"/>
                  <w:vAlign w:val="center"/>
                </w:tcPr>
                <w:p w14:paraId="70DB8C53">
                  <w:pPr>
                    <w:pStyle w:val="107"/>
                    <w:widowControl/>
                    <w:ind w:firstLine="0" w:firstLineChars="0"/>
                    <w:jc w:val="center"/>
                    <w:rPr>
                      <w:rFonts w:ascii="Times New Roman" w:hAnsi="Times New Roman" w:eastAsia="宋体"/>
                      <w:b/>
                      <w:bCs/>
                      <w:color w:val="auto"/>
                      <w:sz w:val="21"/>
                      <w:szCs w:val="21"/>
                      <w:highlight w:val="none"/>
                    </w:rPr>
                  </w:pPr>
                  <w:r>
                    <w:rPr>
                      <w:rFonts w:hint="eastAsia" w:ascii="Times New Roman" w:hAnsi="Times New Roman" w:eastAsia="宋体"/>
                      <w:b/>
                      <w:bCs/>
                      <w:color w:val="auto"/>
                      <w:sz w:val="21"/>
                      <w:szCs w:val="21"/>
                      <w:highlight w:val="none"/>
                    </w:rPr>
                    <w:t>无组织排放速率</w:t>
                  </w:r>
                  <w:r>
                    <w:rPr>
                      <w:rFonts w:ascii="Times New Roman" w:hAnsi="Times New Roman" w:eastAsia="宋体"/>
                      <w:b/>
                      <w:bCs/>
                      <w:color w:val="auto"/>
                      <w:sz w:val="21"/>
                      <w:szCs w:val="21"/>
                      <w:highlight w:val="none"/>
                    </w:rPr>
                    <w:t>(kg/h)</w:t>
                  </w:r>
                </w:p>
              </w:tc>
              <w:tc>
                <w:tcPr>
                  <w:tcW w:w="466" w:type="pct"/>
                  <w:noWrap w:val="0"/>
                  <w:vAlign w:val="center"/>
                </w:tcPr>
                <w:p w14:paraId="28497FBB">
                  <w:pPr>
                    <w:pStyle w:val="107"/>
                    <w:widowControl/>
                    <w:ind w:firstLine="0" w:firstLineChars="0"/>
                    <w:jc w:val="center"/>
                    <w:rPr>
                      <w:rFonts w:hint="eastAsia" w:ascii="Times New Roman" w:hAnsi="Times New Roman" w:eastAsia="宋体"/>
                      <w:b/>
                      <w:bCs/>
                      <w:color w:val="auto"/>
                      <w:sz w:val="21"/>
                      <w:szCs w:val="21"/>
                      <w:highlight w:val="none"/>
                    </w:rPr>
                  </w:pPr>
                  <w:r>
                    <w:rPr>
                      <w:rFonts w:hint="eastAsia" w:ascii="Times New Roman" w:hAnsi="Times New Roman" w:eastAsia="宋体"/>
                      <w:b/>
                      <w:bCs/>
                      <w:color w:val="auto"/>
                      <w:sz w:val="21"/>
                      <w:szCs w:val="21"/>
                      <w:highlight w:val="none"/>
                    </w:rPr>
                    <w:t>面源长度（m）</w:t>
                  </w:r>
                </w:p>
              </w:tc>
              <w:tc>
                <w:tcPr>
                  <w:tcW w:w="466" w:type="pct"/>
                  <w:noWrap w:val="0"/>
                  <w:vAlign w:val="center"/>
                </w:tcPr>
                <w:p w14:paraId="22F05631">
                  <w:pPr>
                    <w:pStyle w:val="107"/>
                    <w:widowControl/>
                    <w:ind w:firstLine="0" w:firstLineChars="0"/>
                    <w:jc w:val="center"/>
                    <w:rPr>
                      <w:rFonts w:ascii="Times New Roman" w:hAnsi="Times New Roman" w:eastAsia="宋体"/>
                      <w:b/>
                      <w:bCs/>
                      <w:color w:val="auto"/>
                      <w:sz w:val="21"/>
                      <w:szCs w:val="21"/>
                      <w:highlight w:val="none"/>
                    </w:rPr>
                  </w:pPr>
                  <w:r>
                    <w:rPr>
                      <w:rFonts w:hint="eastAsia" w:ascii="Times New Roman" w:hAnsi="Times New Roman" w:eastAsia="宋体"/>
                      <w:b/>
                      <w:bCs/>
                      <w:color w:val="auto"/>
                      <w:sz w:val="21"/>
                      <w:szCs w:val="21"/>
                      <w:highlight w:val="none"/>
                    </w:rPr>
                    <w:t>面源宽度（m）</w:t>
                  </w:r>
                </w:p>
              </w:tc>
              <w:tc>
                <w:tcPr>
                  <w:tcW w:w="466" w:type="pct"/>
                  <w:noWrap w:val="0"/>
                  <w:vAlign w:val="center"/>
                </w:tcPr>
                <w:p w14:paraId="0772E278">
                  <w:pPr>
                    <w:pStyle w:val="107"/>
                    <w:widowControl/>
                    <w:ind w:firstLine="0" w:firstLineChars="0"/>
                    <w:jc w:val="center"/>
                    <w:rPr>
                      <w:rFonts w:ascii="Times New Roman" w:hAnsi="Times New Roman" w:eastAsia="宋体"/>
                      <w:b/>
                      <w:bCs/>
                      <w:color w:val="auto"/>
                      <w:sz w:val="21"/>
                      <w:szCs w:val="21"/>
                      <w:highlight w:val="none"/>
                    </w:rPr>
                  </w:pPr>
                  <w:r>
                    <w:rPr>
                      <w:rFonts w:hint="eastAsia" w:ascii="Times New Roman" w:hAnsi="Times New Roman" w:eastAsia="宋体"/>
                      <w:b/>
                      <w:bCs/>
                      <w:color w:val="auto"/>
                      <w:sz w:val="21"/>
                      <w:szCs w:val="21"/>
                      <w:highlight w:val="none"/>
                    </w:rPr>
                    <w:t>面源高度（m）</w:t>
                  </w:r>
                </w:p>
              </w:tc>
            </w:tr>
            <w:tr w14:paraId="50805D3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478" w:type="pct"/>
                  <w:vMerge w:val="restart"/>
                  <w:noWrap w:val="0"/>
                  <w:vAlign w:val="center"/>
                </w:tcPr>
                <w:p w14:paraId="2D295627">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骨料堆场</w:t>
                  </w:r>
                </w:p>
              </w:tc>
              <w:tc>
                <w:tcPr>
                  <w:tcW w:w="653" w:type="pct"/>
                  <w:noWrap w:val="0"/>
                  <w:vAlign w:val="center"/>
                </w:tcPr>
                <w:p w14:paraId="4BE2157F">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骨料堆场卸料扬尘</w:t>
                  </w:r>
                </w:p>
              </w:tc>
              <w:tc>
                <w:tcPr>
                  <w:tcW w:w="355" w:type="pct"/>
                  <w:vMerge w:val="restart"/>
                  <w:noWrap w:val="0"/>
                  <w:vAlign w:val="center"/>
                </w:tcPr>
                <w:p w14:paraId="43DEE5DD">
                  <w:pPr>
                    <w:pStyle w:val="98"/>
                    <w:widowControl w:val="0"/>
                    <w:kinsoku/>
                    <w:autoSpaceDE/>
                    <w:autoSpaceDN/>
                    <w:adjustRightInd/>
                    <w:snapToGrid/>
                    <w:ind w:firstLine="0" w:firstLineChars="0"/>
                    <w:jc w:val="center"/>
                    <w:textAlignment w:val="auto"/>
                    <w:rPr>
                      <w:rFonts w:hint="default" w:ascii="Times New Roman" w:hAnsi="Times New Roman" w:eastAsia="宋体" w:cs="Times New Roman"/>
                      <w:snapToGrid/>
                      <w:color w:val="auto"/>
                      <w:kern w:val="2"/>
                      <w:szCs w:val="24"/>
                      <w:highlight w:val="none"/>
                      <w:lang w:val="en-US" w:eastAsia="zh-CN"/>
                    </w:rPr>
                  </w:pPr>
                  <w:r>
                    <w:rPr>
                      <w:rFonts w:hint="eastAsia" w:ascii="Times New Roman" w:hAnsi="Times New Roman" w:eastAsia="宋体" w:cs="Times New Roman"/>
                      <w:snapToGrid/>
                      <w:color w:val="auto"/>
                      <w:kern w:val="2"/>
                      <w:szCs w:val="24"/>
                      <w:highlight w:val="none"/>
                      <w:lang w:val="en-US" w:eastAsia="zh-CN"/>
                    </w:rPr>
                    <w:t>颗粒物</w:t>
                  </w:r>
                </w:p>
              </w:tc>
              <w:tc>
                <w:tcPr>
                  <w:tcW w:w="273" w:type="pct"/>
                  <w:vMerge w:val="restart"/>
                  <w:noWrap w:val="0"/>
                  <w:vAlign w:val="center"/>
                </w:tcPr>
                <w:p w14:paraId="52ABDCAE">
                  <w:pPr>
                    <w:pStyle w:val="98"/>
                    <w:widowControl w:val="0"/>
                    <w:kinsoku/>
                    <w:autoSpaceDE/>
                    <w:autoSpaceDN/>
                    <w:adjustRightInd/>
                    <w:snapToGrid/>
                    <w:ind w:firstLine="0" w:firstLineChars="0"/>
                    <w:jc w:val="center"/>
                    <w:textAlignment w:val="auto"/>
                    <w:rPr>
                      <w:rFonts w:hint="default" w:ascii="Times New Roman" w:hAnsi="Times New Roman" w:eastAsia="宋体" w:cs="Times New Roman"/>
                      <w:snapToGrid/>
                      <w:color w:val="auto"/>
                      <w:kern w:val="2"/>
                      <w:szCs w:val="24"/>
                      <w:highlight w:val="none"/>
                      <w:lang w:val="en-US" w:eastAsia="zh-CN"/>
                    </w:rPr>
                  </w:pPr>
                  <w:r>
                    <w:rPr>
                      <w:rFonts w:hint="eastAsia" w:cs="Times New Roman"/>
                      <w:snapToGrid/>
                      <w:color w:val="auto"/>
                      <w:kern w:val="2"/>
                      <w:szCs w:val="24"/>
                      <w:highlight w:val="none"/>
                      <w:lang w:val="en-US" w:eastAsia="zh-CN"/>
                    </w:rPr>
                    <w:t>一期</w:t>
                  </w:r>
                </w:p>
              </w:tc>
              <w:tc>
                <w:tcPr>
                  <w:tcW w:w="467" w:type="pct"/>
                  <w:noWrap w:val="0"/>
                  <w:vAlign w:val="center"/>
                </w:tcPr>
                <w:p w14:paraId="6DA28C38">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480.5</w:t>
                  </w:r>
                </w:p>
              </w:tc>
              <w:tc>
                <w:tcPr>
                  <w:tcW w:w="638" w:type="pct"/>
                  <w:noWrap w:val="0"/>
                  <w:vAlign w:val="center"/>
                </w:tcPr>
                <w:p w14:paraId="23D5DBEB">
                  <w:pPr>
                    <w:pStyle w:val="98"/>
                    <w:adjustRightInd/>
                    <w:snapToGrid/>
                    <w:ind w:firstLine="0" w:firstLineChars="0"/>
                    <w:rPr>
                      <w:rFonts w:hint="default"/>
                      <w:color w:val="auto"/>
                      <w:szCs w:val="21"/>
                      <w:highlight w:val="none"/>
                      <w:lang w:val="en-US" w:eastAsia="zh-CN"/>
                    </w:rPr>
                  </w:pPr>
                  <w:r>
                    <w:rPr>
                      <w:rFonts w:hint="eastAsia"/>
                      <w:color w:val="auto"/>
                      <w:szCs w:val="21"/>
                      <w:highlight w:val="none"/>
                      <w:lang w:val="en-US" w:eastAsia="zh-CN"/>
                    </w:rPr>
                    <w:t>0.52</w:t>
                  </w:r>
                </w:p>
              </w:tc>
              <w:tc>
                <w:tcPr>
                  <w:tcW w:w="733" w:type="pct"/>
                  <w:noWrap w:val="0"/>
                  <w:vAlign w:val="center"/>
                </w:tcPr>
                <w:p w14:paraId="6E026C10">
                  <w:pPr>
                    <w:pStyle w:val="98"/>
                    <w:adjustRightInd/>
                    <w:snapToGrid/>
                    <w:ind w:firstLine="0" w:firstLineChars="0"/>
                    <w:rPr>
                      <w:rFonts w:hint="default"/>
                      <w:color w:val="auto"/>
                      <w:szCs w:val="21"/>
                      <w:highlight w:val="none"/>
                      <w:lang w:val="en-US" w:eastAsia="zh-CN"/>
                    </w:rPr>
                  </w:pPr>
                  <w:r>
                    <w:rPr>
                      <w:rFonts w:hint="eastAsia"/>
                      <w:color w:val="auto"/>
                      <w:szCs w:val="21"/>
                      <w:highlight w:val="none"/>
                      <w:lang w:val="en-US" w:eastAsia="zh-CN"/>
                    </w:rPr>
                    <w:t>1.08</w:t>
                  </w:r>
                </w:p>
              </w:tc>
              <w:tc>
                <w:tcPr>
                  <w:tcW w:w="466" w:type="pct"/>
                  <w:vMerge w:val="restart"/>
                  <w:noWrap w:val="0"/>
                  <w:vAlign w:val="center"/>
                </w:tcPr>
                <w:p w14:paraId="46AF5414">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72.2</w:t>
                  </w:r>
                </w:p>
              </w:tc>
              <w:tc>
                <w:tcPr>
                  <w:tcW w:w="466" w:type="pct"/>
                  <w:vMerge w:val="restart"/>
                  <w:noWrap w:val="0"/>
                  <w:vAlign w:val="center"/>
                </w:tcPr>
                <w:p w14:paraId="1865A18C">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20.5</w:t>
                  </w:r>
                </w:p>
              </w:tc>
              <w:tc>
                <w:tcPr>
                  <w:tcW w:w="466" w:type="pct"/>
                  <w:vMerge w:val="restart"/>
                  <w:noWrap w:val="0"/>
                  <w:vAlign w:val="center"/>
                </w:tcPr>
                <w:p w14:paraId="46584997">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17.8</w:t>
                  </w:r>
                </w:p>
              </w:tc>
            </w:tr>
            <w:tr w14:paraId="418ECB7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478" w:type="pct"/>
                  <w:vMerge w:val="continue"/>
                  <w:noWrap w:val="0"/>
                  <w:vAlign w:val="center"/>
                </w:tcPr>
                <w:p w14:paraId="73E0E6F0">
                  <w:pPr>
                    <w:pStyle w:val="107"/>
                    <w:widowControl/>
                    <w:ind w:firstLine="0" w:firstLineChars="0"/>
                    <w:jc w:val="center"/>
                    <w:rPr>
                      <w:rFonts w:hint="eastAsia" w:ascii="Times New Roman" w:hAnsi="Times New Roman" w:eastAsia="宋体"/>
                      <w:color w:val="auto"/>
                      <w:sz w:val="21"/>
                      <w:szCs w:val="21"/>
                      <w:highlight w:val="none"/>
                    </w:rPr>
                  </w:pPr>
                </w:p>
              </w:tc>
              <w:tc>
                <w:tcPr>
                  <w:tcW w:w="653" w:type="pct"/>
                  <w:noWrap w:val="0"/>
                  <w:vAlign w:val="center"/>
                </w:tcPr>
                <w:p w14:paraId="32200F8E">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骨料堆场扬尘</w:t>
                  </w:r>
                </w:p>
              </w:tc>
              <w:tc>
                <w:tcPr>
                  <w:tcW w:w="355" w:type="pct"/>
                  <w:vMerge w:val="continue"/>
                  <w:noWrap w:val="0"/>
                  <w:vAlign w:val="center"/>
                </w:tcPr>
                <w:p w14:paraId="070E4B68">
                  <w:pPr>
                    <w:pStyle w:val="98"/>
                    <w:widowControl w:val="0"/>
                    <w:kinsoku/>
                    <w:autoSpaceDE/>
                    <w:autoSpaceDN/>
                    <w:adjustRightInd/>
                    <w:snapToGrid/>
                    <w:ind w:firstLine="0" w:firstLineChars="0"/>
                    <w:jc w:val="center"/>
                    <w:textAlignment w:val="auto"/>
                    <w:rPr>
                      <w:rFonts w:hint="eastAsia" w:ascii="Times New Roman" w:hAnsi="Times New Roman" w:eastAsia="宋体" w:cs="Times New Roman"/>
                      <w:snapToGrid/>
                      <w:color w:val="auto"/>
                      <w:kern w:val="2"/>
                      <w:szCs w:val="24"/>
                      <w:highlight w:val="none"/>
                      <w:lang w:val="en-US" w:eastAsia="zh-CN"/>
                    </w:rPr>
                  </w:pPr>
                </w:p>
              </w:tc>
              <w:tc>
                <w:tcPr>
                  <w:tcW w:w="273" w:type="pct"/>
                  <w:vMerge w:val="continue"/>
                  <w:noWrap w:val="0"/>
                  <w:vAlign w:val="center"/>
                </w:tcPr>
                <w:p w14:paraId="6F0344DE">
                  <w:pPr>
                    <w:pStyle w:val="98"/>
                    <w:widowControl w:val="0"/>
                    <w:kinsoku/>
                    <w:autoSpaceDE/>
                    <w:autoSpaceDN/>
                    <w:adjustRightInd/>
                    <w:snapToGrid/>
                    <w:ind w:firstLine="0" w:firstLineChars="0"/>
                    <w:jc w:val="center"/>
                    <w:textAlignment w:val="auto"/>
                    <w:rPr>
                      <w:rFonts w:hint="eastAsia" w:ascii="Times New Roman" w:hAnsi="Times New Roman" w:eastAsia="宋体" w:cs="Times New Roman"/>
                      <w:snapToGrid/>
                      <w:color w:val="auto"/>
                      <w:kern w:val="2"/>
                      <w:szCs w:val="24"/>
                      <w:highlight w:val="none"/>
                      <w:lang w:val="en-US" w:eastAsia="zh-CN"/>
                    </w:rPr>
                  </w:pPr>
                </w:p>
              </w:tc>
              <w:tc>
                <w:tcPr>
                  <w:tcW w:w="467" w:type="pct"/>
                  <w:noWrap w:val="0"/>
                  <w:vAlign w:val="center"/>
                </w:tcPr>
                <w:p w14:paraId="41DDAA45">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3840</w:t>
                  </w:r>
                </w:p>
              </w:tc>
              <w:tc>
                <w:tcPr>
                  <w:tcW w:w="638" w:type="pct"/>
                  <w:noWrap w:val="0"/>
                  <w:vAlign w:val="center"/>
                </w:tcPr>
                <w:p w14:paraId="08720F02">
                  <w:pPr>
                    <w:pStyle w:val="98"/>
                    <w:adjustRightInd/>
                    <w:snapToGrid/>
                    <w:ind w:firstLine="0" w:firstLineChars="0"/>
                    <w:rPr>
                      <w:rFonts w:hint="default"/>
                      <w:color w:val="auto"/>
                      <w:szCs w:val="21"/>
                      <w:highlight w:val="none"/>
                      <w:lang w:val="en-US" w:eastAsia="zh-CN"/>
                    </w:rPr>
                  </w:pPr>
                  <w:r>
                    <w:rPr>
                      <w:rFonts w:hint="eastAsia"/>
                      <w:color w:val="auto"/>
                      <w:szCs w:val="21"/>
                      <w:highlight w:val="none"/>
                      <w:lang w:val="en-US" w:eastAsia="zh-CN"/>
                    </w:rPr>
                    <w:t>1.43</w:t>
                  </w:r>
                </w:p>
              </w:tc>
              <w:tc>
                <w:tcPr>
                  <w:tcW w:w="733" w:type="pct"/>
                  <w:noWrap w:val="0"/>
                  <w:vAlign w:val="center"/>
                </w:tcPr>
                <w:p w14:paraId="3469CA79">
                  <w:pPr>
                    <w:pStyle w:val="98"/>
                    <w:adjustRightInd/>
                    <w:snapToGrid/>
                    <w:ind w:firstLine="0" w:firstLineChars="0"/>
                    <w:rPr>
                      <w:rFonts w:hint="default"/>
                      <w:color w:val="auto"/>
                      <w:szCs w:val="21"/>
                      <w:highlight w:val="none"/>
                      <w:lang w:val="en-US" w:eastAsia="zh-CN"/>
                    </w:rPr>
                  </w:pPr>
                  <w:r>
                    <w:rPr>
                      <w:rFonts w:hint="eastAsia"/>
                      <w:color w:val="auto"/>
                      <w:szCs w:val="21"/>
                      <w:highlight w:val="none"/>
                      <w:lang w:val="en-US" w:eastAsia="zh-CN"/>
                    </w:rPr>
                    <w:t>0.37</w:t>
                  </w:r>
                </w:p>
              </w:tc>
              <w:tc>
                <w:tcPr>
                  <w:tcW w:w="466" w:type="pct"/>
                  <w:vMerge w:val="continue"/>
                  <w:noWrap w:val="0"/>
                  <w:vAlign w:val="center"/>
                </w:tcPr>
                <w:p w14:paraId="7D5080E0">
                  <w:pPr>
                    <w:pStyle w:val="107"/>
                    <w:widowControl/>
                    <w:ind w:firstLine="0" w:firstLineChars="0"/>
                    <w:jc w:val="center"/>
                    <w:rPr>
                      <w:rFonts w:hint="eastAsia" w:ascii="Times New Roman" w:hAnsi="Times New Roman" w:eastAsia="宋体"/>
                      <w:color w:val="auto"/>
                      <w:sz w:val="21"/>
                      <w:szCs w:val="21"/>
                      <w:highlight w:val="none"/>
                      <w:lang w:val="en-US" w:eastAsia="zh-CN"/>
                    </w:rPr>
                  </w:pPr>
                </w:p>
              </w:tc>
              <w:tc>
                <w:tcPr>
                  <w:tcW w:w="466" w:type="pct"/>
                  <w:vMerge w:val="continue"/>
                  <w:noWrap w:val="0"/>
                  <w:vAlign w:val="center"/>
                </w:tcPr>
                <w:p w14:paraId="2A7BDFC0">
                  <w:pPr>
                    <w:pStyle w:val="107"/>
                    <w:widowControl/>
                    <w:ind w:firstLine="0" w:firstLineChars="0"/>
                    <w:jc w:val="center"/>
                    <w:rPr>
                      <w:rFonts w:hint="eastAsia" w:ascii="Times New Roman" w:hAnsi="Times New Roman" w:eastAsia="宋体"/>
                      <w:color w:val="auto"/>
                      <w:sz w:val="21"/>
                      <w:szCs w:val="21"/>
                      <w:highlight w:val="none"/>
                      <w:lang w:val="en-US" w:eastAsia="zh-CN"/>
                    </w:rPr>
                  </w:pPr>
                </w:p>
              </w:tc>
              <w:tc>
                <w:tcPr>
                  <w:tcW w:w="466" w:type="pct"/>
                  <w:vMerge w:val="continue"/>
                  <w:noWrap w:val="0"/>
                  <w:vAlign w:val="center"/>
                </w:tcPr>
                <w:p w14:paraId="0F3F0102">
                  <w:pPr>
                    <w:pStyle w:val="107"/>
                    <w:widowControl/>
                    <w:ind w:firstLine="0" w:firstLineChars="0"/>
                    <w:jc w:val="center"/>
                    <w:rPr>
                      <w:rFonts w:hint="eastAsia" w:ascii="Times New Roman" w:hAnsi="Times New Roman" w:eastAsia="宋体"/>
                      <w:color w:val="auto"/>
                      <w:sz w:val="21"/>
                      <w:szCs w:val="21"/>
                      <w:highlight w:val="none"/>
                      <w:lang w:val="en-US" w:eastAsia="zh-CN"/>
                    </w:rPr>
                  </w:pPr>
                </w:p>
              </w:tc>
            </w:tr>
            <w:tr w14:paraId="274598F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478" w:type="pct"/>
                  <w:vMerge w:val="continue"/>
                  <w:noWrap w:val="0"/>
                  <w:vAlign w:val="center"/>
                </w:tcPr>
                <w:p w14:paraId="4E634989">
                  <w:pPr>
                    <w:pStyle w:val="107"/>
                    <w:widowControl/>
                    <w:ind w:firstLine="0" w:firstLineChars="0"/>
                    <w:jc w:val="center"/>
                    <w:rPr>
                      <w:rFonts w:hint="eastAsia" w:ascii="Times New Roman" w:hAnsi="Times New Roman" w:eastAsia="宋体"/>
                      <w:color w:val="auto"/>
                      <w:sz w:val="21"/>
                      <w:szCs w:val="21"/>
                      <w:highlight w:val="none"/>
                    </w:rPr>
                  </w:pPr>
                </w:p>
              </w:tc>
              <w:tc>
                <w:tcPr>
                  <w:tcW w:w="653" w:type="pct"/>
                  <w:noWrap w:val="0"/>
                  <w:vAlign w:val="center"/>
                </w:tcPr>
                <w:p w14:paraId="3E92FEE0">
                  <w:pPr>
                    <w:pStyle w:val="107"/>
                    <w:widowControl/>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骨料堆场卸料扬尘</w:t>
                  </w:r>
                </w:p>
              </w:tc>
              <w:tc>
                <w:tcPr>
                  <w:tcW w:w="355" w:type="pct"/>
                  <w:vMerge w:val="restart"/>
                  <w:noWrap w:val="0"/>
                  <w:vAlign w:val="center"/>
                </w:tcPr>
                <w:p w14:paraId="5C3E5C5E">
                  <w:pPr>
                    <w:pStyle w:val="98"/>
                    <w:widowControl w:val="0"/>
                    <w:kinsoku/>
                    <w:autoSpaceDE/>
                    <w:autoSpaceDN/>
                    <w:adjustRightInd/>
                    <w:snapToGrid/>
                    <w:ind w:firstLine="0" w:firstLineChars="0"/>
                    <w:jc w:val="center"/>
                    <w:textAlignment w:val="auto"/>
                    <w:rPr>
                      <w:rFonts w:hint="eastAsia" w:ascii="Times New Roman" w:hAnsi="Times New Roman" w:eastAsia="宋体" w:cs="Times New Roman"/>
                      <w:snapToGrid/>
                      <w:color w:val="auto"/>
                      <w:kern w:val="2"/>
                      <w:szCs w:val="24"/>
                      <w:highlight w:val="none"/>
                      <w:lang w:val="en-US" w:eastAsia="zh-CN"/>
                    </w:rPr>
                  </w:pPr>
                  <w:r>
                    <w:rPr>
                      <w:rFonts w:hint="eastAsia" w:ascii="Times New Roman" w:hAnsi="Times New Roman" w:eastAsia="宋体" w:cs="Times New Roman"/>
                      <w:snapToGrid/>
                      <w:color w:val="auto"/>
                      <w:kern w:val="2"/>
                      <w:szCs w:val="24"/>
                      <w:highlight w:val="none"/>
                      <w:lang w:val="en-US" w:eastAsia="zh-CN"/>
                    </w:rPr>
                    <w:t>颗粒物</w:t>
                  </w:r>
                </w:p>
              </w:tc>
              <w:tc>
                <w:tcPr>
                  <w:tcW w:w="273" w:type="pct"/>
                  <w:vMerge w:val="restart"/>
                  <w:noWrap w:val="0"/>
                  <w:vAlign w:val="center"/>
                </w:tcPr>
                <w:p w14:paraId="16A6A2C2">
                  <w:pPr>
                    <w:pStyle w:val="98"/>
                    <w:widowControl w:val="0"/>
                    <w:kinsoku/>
                    <w:autoSpaceDE/>
                    <w:autoSpaceDN/>
                    <w:adjustRightInd/>
                    <w:snapToGrid/>
                    <w:ind w:firstLine="0" w:firstLineChars="0"/>
                    <w:jc w:val="center"/>
                    <w:textAlignment w:val="auto"/>
                    <w:rPr>
                      <w:rFonts w:hint="default" w:ascii="Times New Roman" w:hAnsi="Times New Roman" w:eastAsia="宋体" w:cs="Times New Roman"/>
                      <w:snapToGrid/>
                      <w:color w:val="auto"/>
                      <w:kern w:val="2"/>
                      <w:szCs w:val="24"/>
                      <w:highlight w:val="none"/>
                      <w:lang w:val="en-US" w:eastAsia="zh-CN"/>
                    </w:rPr>
                  </w:pPr>
                  <w:r>
                    <w:rPr>
                      <w:rFonts w:hint="eastAsia" w:cs="Times New Roman"/>
                      <w:snapToGrid/>
                      <w:color w:val="auto"/>
                      <w:kern w:val="2"/>
                      <w:szCs w:val="24"/>
                      <w:highlight w:val="none"/>
                      <w:lang w:val="en-US" w:eastAsia="zh-CN"/>
                    </w:rPr>
                    <w:t>二期</w:t>
                  </w:r>
                </w:p>
              </w:tc>
              <w:tc>
                <w:tcPr>
                  <w:tcW w:w="467" w:type="pct"/>
                  <w:noWrap w:val="0"/>
                  <w:vAlign w:val="center"/>
                </w:tcPr>
                <w:p w14:paraId="594EFBC4">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960</w:t>
                  </w:r>
                </w:p>
              </w:tc>
              <w:tc>
                <w:tcPr>
                  <w:tcW w:w="638" w:type="pct"/>
                  <w:noWrap w:val="0"/>
                  <w:vAlign w:val="center"/>
                </w:tcPr>
                <w:p w14:paraId="119673A6">
                  <w:pPr>
                    <w:pStyle w:val="98"/>
                    <w:adjustRightInd/>
                    <w:snapToGrid/>
                    <w:ind w:firstLine="0" w:firstLineChars="0"/>
                    <w:rPr>
                      <w:rFonts w:hint="default"/>
                      <w:color w:val="auto"/>
                      <w:szCs w:val="21"/>
                      <w:highlight w:val="none"/>
                      <w:lang w:val="en-US" w:eastAsia="zh-CN"/>
                    </w:rPr>
                  </w:pPr>
                  <w:r>
                    <w:rPr>
                      <w:rFonts w:hint="eastAsia"/>
                      <w:color w:val="auto"/>
                      <w:szCs w:val="21"/>
                      <w:highlight w:val="none"/>
                      <w:lang w:val="en-US" w:eastAsia="zh-CN"/>
                    </w:rPr>
                    <w:t>1.04</w:t>
                  </w:r>
                </w:p>
              </w:tc>
              <w:tc>
                <w:tcPr>
                  <w:tcW w:w="733" w:type="pct"/>
                  <w:noWrap w:val="0"/>
                  <w:vAlign w:val="center"/>
                </w:tcPr>
                <w:p w14:paraId="617C6DDE">
                  <w:pPr>
                    <w:pStyle w:val="98"/>
                    <w:adjustRightInd/>
                    <w:snapToGrid/>
                    <w:ind w:firstLine="0" w:firstLineChars="0"/>
                    <w:rPr>
                      <w:rFonts w:hint="default"/>
                      <w:color w:val="auto"/>
                      <w:szCs w:val="21"/>
                      <w:highlight w:val="none"/>
                      <w:lang w:val="en-US" w:eastAsia="zh-CN"/>
                    </w:rPr>
                  </w:pPr>
                  <w:r>
                    <w:rPr>
                      <w:rFonts w:hint="eastAsia"/>
                      <w:color w:val="auto"/>
                      <w:szCs w:val="21"/>
                      <w:highlight w:val="none"/>
                      <w:lang w:val="en-US" w:eastAsia="zh-CN"/>
                    </w:rPr>
                    <w:t>1.08</w:t>
                  </w:r>
                </w:p>
              </w:tc>
              <w:tc>
                <w:tcPr>
                  <w:tcW w:w="466" w:type="pct"/>
                  <w:vMerge w:val="continue"/>
                  <w:noWrap w:val="0"/>
                  <w:vAlign w:val="center"/>
                </w:tcPr>
                <w:p w14:paraId="26AC405D">
                  <w:pPr>
                    <w:pStyle w:val="107"/>
                    <w:widowControl/>
                    <w:ind w:firstLine="0" w:firstLineChars="0"/>
                    <w:jc w:val="center"/>
                    <w:rPr>
                      <w:rFonts w:hint="eastAsia" w:ascii="Times New Roman" w:hAnsi="Times New Roman" w:eastAsia="宋体"/>
                      <w:color w:val="auto"/>
                      <w:sz w:val="21"/>
                      <w:szCs w:val="21"/>
                      <w:highlight w:val="none"/>
                      <w:lang w:val="en-US" w:eastAsia="zh-CN"/>
                    </w:rPr>
                  </w:pPr>
                </w:p>
              </w:tc>
              <w:tc>
                <w:tcPr>
                  <w:tcW w:w="466" w:type="pct"/>
                  <w:vMerge w:val="continue"/>
                  <w:noWrap w:val="0"/>
                  <w:vAlign w:val="center"/>
                </w:tcPr>
                <w:p w14:paraId="5A71ECEF">
                  <w:pPr>
                    <w:pStyle w:val="107"/>
                    <w:widowControl/>
                    <w:ind w:firstLine="0" w:firstLineChars="0"/>
                    <w:jc w:val="center"/>
                    <w:rPr>
                      <w:rFonts w:hint="eastAsia" w:ascii="Times New Roman" w:hAnsi="Times New Roman" w:eastAsia="宋体"/>
                      <w:color w:val="auto"/>
                      <w:sz w:val="21"/>
                      <w:szCs w:val="21"/>
                      <w:highlight w:val="none"/>
                      <w:lang w:val="en-US" w:eastAsia="zh-CN"/>
                    </w:rPr>
                  </w:pPr>
                </w:p>
              </w:tc>
              <w:tc>
                <w:tcPr>
                  <w:tcW w:w="466" w:type="pct"/>
                  <w:vMerge w:val="continue"/>
                  <w:noWrap w:val="0"/>
                  <w:vAlign w:val="center"/>
                </w:tcPr>
                <w:p w14:paraId="323CB7D6">
                  <w:pPr>
                    <w:pStyle w:val="107"/>
                    <w:widowControl/>
                    <w:ind w:firstLine="0" w:firstLineChars="0"/>
                    <w:jc w:val="center"/>
                    <w:rPr>
                      <w:rFonts w:hint="eastAsia" w:ascii="Times New Roman" w:hAnsi="Times New Roman" w:eastAsia="宋体"/>
                      <w:color w:val="auto"/>
                      <w:sz w:val="21"/>
                      <w:szCs w:val="21"/>
                      <w:highlight w:val="none"/>
                      <w:lang w:val="en-US" w:eastAsia="zh-CN"/>
                    </w:rPr>
                  </w:pPr>
                </w:p>
              </w:tc>
            </w:tr>
            <w:tr w14:paraId="3A235A5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478" w:type="pct"/>
                  <w:vMerge w:val="continue"/>
                  <w:noWrap w:val="0"/>
                  <w:vAlign w:val="center"/>
                </w:tcPr>
                <w:p w14:paraId="315B3C63">
                  <w:pPr>
                    <w:pStyle w:val="107"/>
                    <w:widowControl/>
                    <w:ind w:firstLine="0" w:firstLineChars="0"/>
                    <w:jc w:val="center"/>
                    <w:rPr>
                      <w:rFonts w:hint="eastAsia" w:ascii="Times New Roman" w:hAnsi="Times New Roman" w:eastAsia="宋体"/>
                      <w:color w:val="auto"/>
                      <w:sz w:val="21"/>
                      <w:szCs w:val="21"/>
                      <w:highlight w:val="none"/>
                    </w:rPr>
                  </w:pPr>
                </w:p>
              </w:tc>
              <w:tc>
                <w:tcPr>
                  <w:tcW w:w="653" w:type="pct"/>
                  <w:noWrap w:val="0"/>
                  <w:vAlign w:val="center"/>
                </w:tcPr>
                <w:p w14:paraId="3AC70436">
                  <w:pPr>
                    <w:pStyle w:val="107"/>
                    <w:widowControl/>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骨料堆场扬尘</w:t>
                  </w:r>
                </w:p>
              </w:tc>
              <w:tc>
                <w:tcPr>
                  <w:tcW w:w="355" w:type="pct"/>
                  <w:vMerge w:val="continue"/>
                  <w:noWrap w:val="0"/>
                  <w:vAlign w:val="center"/>
                </w:tcPr>
                <w:p w14:paraId="4089E9CE">
                  <w:pPr>
                    <w:pStyle w:val="98"/>
                    <w:widowControl w:val="0"/>
                    <w:kinsoku/>
                    <w:autoSpaceDE/>
                    <w:autoSpaceDN/>
                    <w:adjustRightInd/>
                    <w:snapToGrid/>
                    <w:ind w:firstLine="0" w:firstLineChars="0"/>
                    <w:jc w:val="center"/>
                    <w:textAlignment w:val="auto"/>
                    <w:rPr>
                      <w:rFonts w:hint="eastAsia" w:ascii="Times New Roman" w:hAnsi="Times New Roman" w:eastAsia="宋体" w:cs="Times New Roman"/>
                      <w:snapToGrid/>
                      <w:color w:val="auto"/>
                      <w:kern w:val="2"/>
                      <w:szCs w:val="24"/>
                      <w:highlight w:val="none"/>
                      <w:lang w:val="en-US" w:eastAsia="zh-CN"/>
                    </w:rPr>
                  </w:pPr>
                </w:p>
              </w:tc>
              <w:tc>
                <w:tcPr>
                  <w:tcW w:w="273" w:type="pct"/>
                  <w:vMerge w:val="continue"/>
                  <w:noWrap w:val="0"/>
                  <w:vAlign w:val="center"/>
                </w:tcPr>
                <w:p w14:paraId="5DBDB04A">
                  <w:pPr>
                    <w:pStyle w:val="98"/>
                    <w:widowControl w:val="0"/>
                    <w:kinsoku/>
                    <w:autoSpaceDE/>
                    <w:autoSpaceDN/>
                    <w:adjustRightInd/>
                    <w:snapToGrid/>
                    <w:ind w:firstLine="0" w:firstLineChars="0"/>
                    <w:jc w:val="center"/>
                    <w:textAlignment w:val="auto"/>
                    <w:rPr>
                      <w:rFonts w:hint="eastAsia" w:ascii="Times New Roman" w:hAnsi="Times New Roman" w:eastAsia="宋体" w:cs="Times New Roman"/>
                      <w:snapToGrid/>
                      <w:color w:val="auto"/>
                      <w:kern w:val="2"/>
                      <w:szCs w:val="24"/>
                      <w:highlight w:val="none"/>
                      <w:lang w:val="en-US" w:eastAsia="zh-CN"/>
                    </w:rPr>
                  </w:pPr>
                </w:p>
              </w:tc>
              <w:tc>
                <w:tcPr>
                  <w:tcW w:w="467" w:type="pct"/>
                  <w:noWrap w:val="0"/>
                  <w:vAlign w:val="center"/>
                </w:tcPr>
                <w:p w14:paraId="222AF17F">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3840</w:t>
                  </w:r>
                </w:p>
              </w:tc>
              <w:tc>
                <w:tcPr>
                  <w:tcW w:w="638" w:type="pct"/>
                  <w:noWrap w:val="0"/>
                  <w:vAlign w:val="center"/>
                </w:tcPr>
                <w:p w14:paraId="780F6900">
                  <w:pPr>
                    <w:pStyle w:val="98"/>
                    <w:adjustRightInd/>
                    <w:snapToGrid/>
                    <w:ind w:firstLine="0" w:firstLineChars="0"/>
                    <w:rPr>
                      <w:rFonts w:hint="default"/>
                      <w:color w:val="auto"/>
                      <w:szCs w:val="21"/>
                      <w:highlight w:val="none"/>
                      <w:lang w:val="en-US" w:eastAsia="zh-CN"/>
                    </w:rPr>
                  </w:pPr>
                  <w:r>
                    <w:rPr>
                      <w:rFonts w:hint="eastAsia"/>
                      <w:color w:val="auto"/>
                      <w:szCs w:val="21"/>
                      <w:highlight w:val="none"/>
                      <w:lang w:val="en-US" w:eastAsia="zh-CN"/>
                    </w:rPr>
                    <w:t>2.85</w:t>
                  </w:r>
                </w:p>
              </w:tc>
              <w:tc>
                <w:tcPr>
                  <w:tcW w:w="733" w:type="pct"/>
                  <w:noWrap w:val="0"/>
                  <w:vAlign w:val="center"/>
                </w:tcPr>
                <w:p w14:paraId="11BB260F">
                  <w:pPr>
                    <w:pStyle w:val="98"/>
                    <w:adjustRightInd/>
                    <w:snapToGrid/>
                    <w:ind w:firstLine="0" w:firstLineChars="0"/>
                    <w:rPr>
                      <w:rFonts w:hint="default"/>
                      <w:color w:val="auto"/>
                      <w:szCs w:val="21"/>
                      <w:highlight w:val="none"/>
                      <w:lang w:val="en-US" w:eastAsia="zh-CN"/>
                    </w:rPr>
                  </w:pPr>
                  <w:r>
                    <w:rPr>
                      <w:rFonts w:hint="eastAsia"/>
                      <w:color w:val="auto"/>
                      <w:szCs w:val="21"/>
                      <w:highlight w:val="none"/>
                      <w:lang w:val="en-US" w:eastAsia="zh-CN"/>
                    </w:rPr>
                    <w:t>0.74</w:t>
                  </w:r>
                </w:p>
              </w:tc>
              <w:tc>
                <w:tcPr>
                  <w:tcW w:w="466" w:type="pct"/>
                  <w:vMerge w:val="continue"/>
                  <w:noWrap w:val="0"/>
                  <w:vAlign w:val="center"/>
                </w:tcPr>
                <w:p w14:paraId="77B57E04">
                  <w:pPr>
                    <w:pStyle w:val="107"/>
                    <w:widowControl/>
                    <w:ind w:firstLine="0" w:firstLineChars="0"/>
                    <w:jc w:val="center"/>
                    <w:rPr>
                      <w:rFonts w:hint="eastAsia" w:ascii="Times New Roman" w:hAnsi="Times New Roman" w:eastAsia="宋体"/>
                      <w:color w:val="auto"/>
                      <w:sz w:val="21"/>
                      <w:szCs w:val="21"/>
                      <w:highlight w:val="none"/>
                      <w:lang w:val="en-US" w:eastAsia="zh-CN"/>
                    </w:rPr>
                  </w:pPr>
                </w:p>
              </w:tc>
              <w:tc>
                <w:tcPr>
                  <w:tcW w:w="466" w:type="pct"/>
                  <w:vMerge w:val="continue"/>
                  <w:noWrap w:val="0"/>
                  <w:vAlign w:val="center"/>
                </w:tcPr>
                <w:p w14:paraId="638A06F7">
                  <w:pPr>
                    <w:pStyle w:val="107"/>
                    <w:widowControl/>
                    <w:ind w:firstLine="0" w:firstLineChars="0"/>
                    <w:jc w:val="center"/>
                    <w:rPr>
                      <w:rFonts w:hint="eastAsia" w:ascii="Times New Roman" w:hAnsi="Times New Roman" w:eastAsia="宋体"/>
                      <w:color w:val="auto"/>
                      <w:sz w:val="21"/>
                      <w:szCs w:val="21"/>
                      <w:highlight w:val="none"/>
                      <w:lang w:val="en-US" w:eastAsia="zh-CN"/>
                    </w:rPr>
                  </w:pPr>
                </w:p>
              </w:tc>
              <w:tc>
                <w:tcPr>
                  <w:tcW w:w="466" w:type="pct"/>
                  <w:vMerge w:val="continue"/>
                  <w:noWrap w:val="0"/>
                  <w:vAlign w:val="center"/>
                </w:tcPr>
                <w:p w14:paraId="4C695FD3">
                  <w:pPr>
                    <w:pStyle w:val="107"/>
                    <w:widowControl/>
                    <w:ind w:firstLine="0" w:firstLineChars="0"/>
                    <w:jc w:val="center"/>
                    <w:rPr>
                      <w:rFonts w:hint="eastAsia" w:ascii="Times New Roman" w:hAnsi="Times New Roman" w:eastAsia="宋体"/>
                      <w:color w:val="auto"/>
                      <w:sz w:val="21"/>
                      <w:szCs w:val="21"/>
                      <w:highlight w:val="none"/>
                      <w:lang w:val="en-US" w:eastAsia="zh-CN"/>
                    </w:rPr>
                  </w:pPr>
                </w:p>
              </w:tc>
            </w:tr>
            <w:tr w14:paraId="544279D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478" w:type="pct"/>
                  <w:vMerge w:val="restart"/>
                  <w:noWrap w:val="0"/>
                  <w:vAlign w:val="center"/>
                </w:tcPr>
                <w:p w14:paraId="48FC9D88">
                  <w:pPr>
                    <w:pStyle w:val="107"/>
                    <w:widowControl/>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矿粉罐</w:t>
                  </w:r>
                </w:p>
              </w:tc>
              <w:tc>
                <w:tcPr>
                  <w:tcW w:w="653" w:type="pct"/>
                  <w:vMerge w:val="restart"/>
                  <w:noWrap w:val="0"/>
                  <w:vAlign w:val="center"/>
                </w:tcPr>
                <w:p w14:paraId="1A343495">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矿粉罐粉尘</w:t>
                  </w:r>
                </w:p>
              </w:tc>
              <w:tc>
                <w:tcPr>
                  <w:tcW w:w="355" w:type="pct"/>
                  <w:vMerge w:val="restart"/>
                  <w:noWrap w:val="0"/>
                  <w:vAlign w:val="center"/>
                </w:tcPr>
                <w:p w14:paraId="3224E3D6">
                  <w:pPr>
                    <w:pStyle w:val="98"/>
                    <w:widowControl w:val="0"/>
                    <w:kinsoku/>
                    <w:autoSpaceDE/>
                    <w:autoSpaceDN/>
                    <w:adjustRightInd/>
                    <w:snapToGrid/>
                    <w:ind w:firstLine="0" w:firstLineChars="0"/>
                    <w:jc w:val="center"/>
                    <w:textAlignment w:val="auto"/>
                    <w:rPr>
                      <w:rFonts w:hint="default" w:ascii="Times New Roman" w:hAnsi="Times New Roman" w:eastAsia="宋体" w:cs="Times New Roman"/>
                      <w:snapToGrid/>
                      <w:color w:val="auto"/>
                      <w:kern w:val="2"/>
                      <w:szCs w:val="24"/>
                      <w:highlight w:val="none"/>
                      <w:lang w:val="en-US" w:eastAsia="zh-CN"/>
                    </w:rPr>
                  </w:pPr>
                  <w:r>
                    <w:rPr>
                      <w:rFonts w:hint="eastAsia" w:ascii="Times New Roman" w:hAnsi="Times New Roman" w:eastAsia="宋体" w:cs="Times New Roman"/>
                      <w:snapToGrid/>
                      <w:color w:val="auto"/>
                      <w:kern w:val="2"/>
                      <w:szCs w:val="24"/>
                      <w:highlight w:val="none"/>
                      <w:lang w:val="en-US" w:eastAsia="zh-CN"/>
                    </w:rPr>
                    <w:t>颗粒物</w:t>
                  </w:r>
                </w:p>
              </w:tc>
              <w:tc>
                <w:tcPr>
                  <w:tcW w:w="273" w:type="pct"/>
                  <w:noWrap w:val="0"/>
                  <w:vAlign w:val="center"/>
                </w:tcPr>
                <w:p w14:paraId="3897102F">
                  <w:pPr>
                    <w:pStyle w:val="98"/>
                    <w:widowControl w:val="0"/>
                    <w:kinsoku/>
                    <w:autoSpaceDE/>
                    <w:autoSpaceDN/>
                    <w:adjustRightInd/>
                    <w:snapToGrid/>
                    <w:ind w:firstLine="0" w:firstLineChars="0"/>
                    <w:jc w:val="center"/>
                    <w:textAlignment w:val="auto"/>
                    <w:rPr>
                      <w:rFonts w:hint="eastAsia" w:ascii="Times New Roman" w:hAnsi="Times New Roman" w:eastAsia="宋体" w:cs="Times New Roman"/>
                      <w:snapToGrid/>
                      <w:color w:val="auto"/>
                      <w:kern w:val="2"/>
                      <w:szCs w:val="24"/>
                      <w:highlight w:val="none"/>
                      <w:lang w:val="en-US" w:eastAsia="zh-CN"/>
                    </w:rPr>
                  </w:pPr>
                  <w:r>
                    <w:rPr>
                      <w:rFonts w:hint="eastAsia" w:cs="Times New Roman"/>
                      <w:snapToGrid/>
                      <w:color w:val="auto"/>
                      <w:kern w:val="2"/>
                      <w:szCs w:val="24"/>
                      <w:highlight w:val="none"/>
                      <w:lang w:val="en-US" w:eastAsia="zh-CN"/>
                    </w:rPr>
                    <w:t>一期</w:t>
                  </w:r>
                </w:p>
              </w:tc>
              <w:tc>
                <w:tcPr>
                  <w:tcW w:w="467" w:type="pct"/>
                  <w:vMerge w:val="restart"/>
                  <w:noWrap w:val="0"/>
                  <w:vAlign w:val="center"/>
                </w:tcPr>
                <w:p w14:paraId="6EB40810">
                  <w:pPr>
                    <w:pStyle w:val="107"/>
                    <w:widowControl/>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3840</w:t>
                  </w:r>
                </w:p>
              </w:tc>
              <w:tc>
                <w:tcPr>
                  <w:tcW w:w="638" w:type="pct"/>
                  <w:noWrap w:val="0"/>
                  <w:vAlign w:val="center"/>
                </w:tcPr>
                <w:p w14:paraId="5117F4AC">
                  <w:pPr>
                    <w:pStyle w:val="98"/>
                    <w:adjustRightInd/>
                    <w:snapToGrid/>
                    <w:ind w:firstLine="0" w:firstLineChars="0"/>
                    <w:rPr>
                      <w:rFonts w:hint="default"/>
                      <w:color w:val="auto"/>
                      <w:szCs w:val="21"/>
                      <w:highlight w:val="none"/>
                      <w:lang w:val="en-US" w:eastAsia="zh-CN"/>
                    </w:rPr>
                  </w:pPr>
                  <w:r>
                    <w:rPr>
                      <w:rFonts w:hint="eastAsia"/>
                      <w:color w:val="auto"/>
                      <w:szCs w:val="21"/>
                      <w:highlight w:val="none"/>
                      <w:lang w:val="en-US" w:eastAsia="zh-CN"/>
                    </w:rPr>
                    <w:t>0.034</w:t>
                  </w:r>
                </w:p>
              </w:tc>
              <w:tc>
                <w:tcPr>
                  <w:tcW w:w="733" w:type="pct"/>
                  <w:noWrap w:val="0"/>
                  <w:vAlign w:val="center"/>
                </w:tcPr>
                <w:p w14:paraId="6A5EE559">
                  <w:pPr>
                    <w:pStyle w:val="98"/>
                    <w:adjustRightInd/>
                    <w:snapToGrid/>
                    <w:ind w:firstLine="0" w:firstLineChars="0"/>
                    <w:rPr>
                      <w:rFonts w:hint="default"/>
                      <w:color w:val="auto"/>
                      <w:szCs w:val="21"/>
                      <w:highlight w:val="none"/>
                      <w:lang w:val="en-US" w:eastAsia="zh-CN"/>
                    </w:rPr>
                  </w:pPr>
                  <w:r>
                    <w:rPr>
                      <w:rFonts w:hint="eastAsia"/>
                      <w:color w:val="auto"/>
                      <w:szCs w:val="21"/>
                      <w:highlight w:val="none"/>
                      <w:lang w:val="en-US" w:eastAsia="zh-CN"/>
                    </w:rPr>
                    <w:t>0.009</w:t>
                  </w:r>
                </w:p>
              </w:tc>
              <w:tc>
                <w:tcPr>
                  <w:tcW w:w="466" w:type="pct"/>
                  <w:vMerge w:val="restart"/>
                  <w:noWrap w:val="0"/>
                  <w:vAlign w:val="center"/>
                </w:tcPr>
                <w:p w14:paraId="5D530401">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w:t>
                  </w:r>
                </w:p>
              </w:tc>
              <w:tc>
                <w:tcPr>
                  <w:tcW w:w="466" w:type="pct"/>
                  <w:vMerge w:val="restart"/>
                  <w:noWrap w:val="0"/>
                  <w:vAlign w:val="center"/>
                </w:tcPr>
                <w:p w14:paraId="1130ECCD">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w:t>
                  </w:r>
                </w:p>
              </w:tc>
              <w:tc>
                <w:tcPr>
                  <w:tcW w:w="466" w:type="pct"/>
                  <w:vMerge w:val="restart"/>
                  <w:noWrap w:val="0"/>
                  <w:vAlign w:val="center"/>
                </w:tcPr>
                <w:p w14:paraId="62E52DD1">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w:t>
                  </w:r>
                </w:p>
              </w:tc>
            </w:tr>
            <w:tr w14:paraId="79F62C5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478" w:type="pct"/>
                  <w:vMerge w:val="continue"/>
                  <w:noWrap w:val="0"/>
                  <w:vAlign w:val="center"/>
                </w:tcPr>
                <w:p w14:paraId="126DFE71">
                  <w:pPr>
                    <w:pStyle w:val="107"/>
                    <w:widowControl/>
                    <w:ind w:firstLine="0" w:firstLineChars="0"/>
                    <w:jc w:val="center"/>
                    <w:rPr>
                      <w:rFonts w:hint="eastAsia" w:ascii="Times New Roman" w:hAnsi="Times New Roman" w:eastAsia="宋体"/>
                      <w:color w:val="auto"/>
                      <w:sz w:val="21"/>
                      <w:szCs w:val="21"/>
                      <w:highlight w:val="none"/>
                      <w:lang w:val="en-US" w:eastAsia="zh-CN"/>
                    </w:rPr>
                  </w:pPr>
                </w:p>
              </w:tc>
              <w:tc>
                <w:tcPr>
                  <w:tcW w:w="653" w:type="pct"/>
                  <w:vMerge w:val="continue"/>
                  <w:noWrap w:val="0"/>
                  <w:vAlign w:val="center"/>
                </w:tcPr>
                <w:p w14:paraId="31E6357F">
                  <w:pPr>
                    <w:pStyle w:val="107"/>
                    <w:widowControl/>
                    <w:ind w:firstLine="0" w:firstLineChars="0"/>
                    <w:jc w:val="center"/>
                    <w:rPr>
                      <w:rFonts w:hint="eastAsia" w:ascii="Times New Roman" w:hAnsi="Times New Roman" w:eastAsia="宋体"/>
                      <w:color w:val="auto"/>
                      <w:sz w:val="21"/>
                      <w:szCs w:val="21"/>
                      <w:highlight w:val="none"/>
                      <w:lang w:val="en-US" w:eastAsia="zh-CN"/>
                    </w:rPr>
                  </w:pPr>
                </w:p>
              </w:tc>
              <w:tc>
                <w:tcPr>
                  <w:tcW w:w="355" w:type="pct"/>
                  <w:vMerge w:val="continue"/>
                  <w:noWrap w:val="0"/>
                  <w:vAlign w:val="center"/>
                </w:tcPr>
                <w:p w14:paraId="4D7342DF">
                  <w:pPr>
                    <w:pStyle w:val="98"/>
                    <w:widowControl w:val="0"/>
                    <w:kinsoku/>
                    <w:autoSpaceDE/>
                    <w:autoSpaceDN/>
                    <w:adjustRightInd/>
                    <w:snapToGrid/>
                    <w:ind w:firstLine="0" w:firstLineChars="0"/>
                    <w:jc w:val="center"/>
                    <w:textAlignment w:val="auto"/>
                    <w:rPr>
                      <w:rFonts w:hint="default" w:ascii="Times New Roman" w:hAnsi="Times New Roman" w:eastAsia="宋体" w:cs="Times New Roman"/>
                      <w:snapToGrid/>
                      <w:color w:val="auto"/>
                      <w:kern w:val="2"/>
                      <w:szCs w:val="24"/>
                      <w:highlight w:val="none"/>
                      <w:lang w:val="en-US" w:eastAsia="zh-CN"/>
                    </w:rPr>
                  </w:pPr>
                </w:p>
              </w:tc>
              <w:tc>
                <w:tcPr>
                  <w:tcW w:w="273" w:type="pct"/>
                  <w:noWrap w:val="0"/>
                  <w:vAlign w:val="center"/>
                </w:tcPr>
                <w:p w14:paraId="5983B8FF">
                  <w:pPr>
                    <w:pStyle w:val="98"/>
                    <w:widowControl w:val="0"/>
                    <w:kinsoku/>
                    <w:autoSpaceDE/>
                    <w:autoSpaceDN/>
                    <w:adjustRightInd/>
                    <w:snapToGrid/>
                    <w:ind w:firstLine="0" w:firstLineChars="0"/>
                    <w:jc w:val="center"/>
                    <w:textAlignment w:val="auto"/>
                    <w:rPr>
                      <w:rFonts w:hint="eastAsia" w:ascii="Times New Roman" w:hAnsi="Times New Roman" w:eastAsia="宋体" w:cs="Times New Roman"/>
                      <w:snapToGrid/>
                      <w:color w:val="auto"/>
                      <w:kern w:val="2"/>
                      <w:szCs w:val="24"/>
                      <w:highlight w:val="none"/>
                      <w:lang w:val="en-US" w:eastAsia="zh-CN"/>
                    </w:rPr>
                  </w:pPr>
                  <w:r>
                    <w:rPr>
                      <w:rFonts w:hint="eastAsia" w:cs="Times New Roman"/>
                      <w:snapToGrid/>
                      <w:color w:val="auto"/>
                      <w:kern w:val="2"/>
                      <w:szCs w:val="24"/>
                      <w:highlight w:val="none"/>
                      <w:lang w:val="en-US" w:eastAsia="zh-CN"/>
                    </w:rPr>
                    <w:t>二期</w:t>
                  </w:r>
                </w:p>
              </w:tc>
              <w:tc>
                <w:tcPr>
                  <w:tcW w:w="467" w:type="pct"/>
                  <w:vMerge w:val="continue"/>
                  <w:noWrap w:val="0"/>
                  <w:vAlign w:val="center"/>
                </w:tcPr>
                <w:p w14:paraId="221648AB">
                  <w:pPr>
                    <w:pStyle w:val="107"/>
                    <w:widowControl/>
                    <w:ind w:firstLine="0" w:firstLineChars="0"/>
                    <w:jc w:val="center"/>
                    <w:rPr>
                      <w:rFonts w:hint="eastAsia" w:ascii="Times New Roman" w:hAnsi="Times New Roman" w:eastAsia="宋体"/>
                      <w:color w:val="auto"/>
                      <w:sz w:val="21"/>
                      <w:szCs w:val="21"/>
                      <w:highlight w:val="none"/>
                      <w:lang w:val="en-US" w:eastAsia="zh-CN"/>
                    </w:rPr>
                  </w:pPr>
                </w:p>
              </w:tc>
              <w:tc>
                <w:tcPr>
                  <w:tcW w:w="638" w:type="pct"/>
                  <w:noWrap w:val="0"/>
                  <w:vAlign w:val="center"/>
                </w:tcPr>
                <w:p w14:paraId="1BFBEFCD">
                  <w:pPr>
                    <w:pStyle w:val="98"/>
                    <w:adjustRightInd/>
                    <w:snapToGrid/>
                    <w:ind w:firstLine="0" w:firstLineChars="0"/>
                    <w:rPr>
                      <w:rFonts w:hint="default"/>
                      <w:color w:val="auto"/>
                      <w:szCs w:val="21"/>
                      <w:highlight w:val="none"/>
                      <w:lang w:val="en-US" w:eastAsia="zh-CN"/>
                    </w:rPr>
                  </w:pPr>
                  <w:r>
                    <w:rPr>
                      <w:rFonts w:hint="eastAsia"/>
                      <w:color w:val="auto"/>
                      <w:szCs w:val="21"/>
                      <w:highlight w:val="none"/>
                      <w:lang w:val="en-US" w:eastAsia="zh-CN"/>
                    </w:rPr>
                    <w:t>0.068</w:t>
                  </w:r>
                </w:p>
              </w:tc>
              <w:tc>
                <w:tcPr>
                  <w:tcW w:w="733" w:type="pct"/>
                  <w:noWrap w:val="0"/>
                  <w:vAlign w:val="center"/>
                </w:tcPr>
                <w:p w14:paraId="4A4388C1">
                  <w:pPr>
                    <w:pStyle w:val="98"/>
                    <w:adjustRightInd/>
                    <w:snapToGrid/>
                    <w:ind w:firstLine="0" w:firstLineChars="0"/>
                    <w:rPr>
                      <w:rFonts w:hint="default"/>
                      <w:color w:val="auto"/>
                      <w:szCs w:val="21"/>
                      <w:highlight w:val="none"/>
                      <w:lang w:val="en-US" w:eastAsia="zh-CN"/>
                    </w:rPr>
                  </w:pPr>
                  <w:r>
                    <w:rPr>
                      <w:rFonts w:hint="eastAsia"/>
                      <w:color w:val="auto"/>
                      <w:szCs w:val="21"/>
                      <w:highlight w:val="none"/>
                      <w:lang w:val="en-US" w:eastAsia="zh-CN"/>
                    </w:rPr>
                    <w:t>0.018</w:t>
                  </w:r>
                </w:p>
              </w:tc>
              <w:tc>
                <w:tcPr>
                  <w:tcW w:w="466" w:type="pct"/>
                  <w:vMerge w:val="continue"/>
                  <w:noWrap w:val="0"/>
                  <w:vAlign w:val="center"/>
                </w:tcPr>
                <w:p w14:paraId="44F2B795">
                  <w:pPr>
                    <w:pStyle w:val="107"/>
                    <w:widowControl/>
                    <w:ind w:firstLine="0" w:firstLineChars="0"/>
                    <w:jc w:val="center"/>
                    <w:rPr>
                      <w:rFonts w:hint="eastAsia" w:ascii="Times New Roman" w:hAnsi="Times New Roman" w:eastAsia="宋体"/>
                      <w:color w:val="auto"/>
                      <w:sz w:val="21"/>
                      <w:szCs w:val="21"/>
                      <w:highlight w:val="none"/>
                      <w:lang w:val="en-US" w:eastAsia="zh-CN"/>
                    </w:rPr>
                  </w:pPr>
                </w:p>
              </w:tc>
              <w:tc>
                <w:tcPr>
                  <w:tcW w:w="466" w:type="pct"/>
                  <w:vMerge w:val="continue"/>
                  <w:noWrap w:val="0"/>
                  <w:vAlign w:val="center"/>
                </w:tcPr>
                <w:p w14:paraId="73BD12F1">
                  <w:pPr>
                    <w:pStyle w:val="107"/>
                    <w:widowControl/>
                    <w:ind w:firstLine="0" w:firstLineChars="0"/>
                    <w:jc w:val="center"/>
                    <w:rPr>
                      <w:rFonts w:hint="eastAsia" w:ascii="Times New Roman" w:hAnsi="Times New Roman" w:eastAsia="宋体"/>
                      <w:color w:val="auto"/>
                      <w:sz w:val="21"/>
                      <w:szCs w:val="21"/>
                      <w:highlight w:val="none"/>
                      <w:lang w:val="en-US" w:eastAsia="zh-CN"/>
                    </w:rPr>
                  </w:pPr>
                </w:p>
              </w:tc>
              <w:tc>
                <w:tcPr>
                  <w:tcW w:w="466" w:type="pct"/>
                  <w:vMerge w:val="continue"/>
                  <w:noWrap w:val="0"/>
                  <w:vAlign w:val="center"/>
                </w:tcPr>
                <w:p w14:paraId="62845299">
                  <w:pPr>
                    <w:pStyle w:val="107"/>
                    <w:widowControl/>
                    <w:ind w:firstLine="0" w:firstLineChars="0"/>
                    <w:jc w:val="center"/>
                    <w:rPr>
                      <w:rFonts w:hint="eastAsia" w:ascii="Times New Roman" w:hAnsi="Times New Roman" w:eastAsia="宋体"/>
                      <w:color w:val="auto"/>
                      <w:sz w:val="21"/>
                      <w:szCs w:val="21"/>
                      <w:highlight w:val="none"/>
                      <w:lang w:val="en-US" w:eastAsia="zh-CN"/>
                    </w:rPr>
                  </w:pPr>
                </w:p>
              </w:tc>
            </w:tr>
            <w:tr w14:paraId="7C316A7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478" w:type="pct"/>
                  <w:vMerge w:val="restart"/>
                  <w:noWrap w:val="0"/>
                  <w:vAlign w:val="center"/>
                </w:tcPr>
                <w:p w14:paraId="036F42C7">
                  <w:pPr>
                    <w:pStyle w:val="107"/>
                    <w:widowControl/>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生产车间</w:t>
                  </w:r>
                </w:p>
              </w:tc>
              <w:tc>
                <w:tcPr>
                  <w:tcW w:w="653" w:type="pct"/>
                  <w:vMerge w:val="restart"/>
                  <w:noWrap w:val="0"/>
                  <w:vAlign w:val="center"/>
                </w:tcPr>
                <w:p w14:paraId="7CFDBB34">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沥青烟废气</w:t>
                  </w:r>
                </w:p>
              </w:tc>
              <w:tc>
                <w:tcPr>
                  <w:tcW w:w="355" w:type="pct"/>
                  <w:noWrap w:val="0"/>
                  <w:vAlign w:val="center"/>
                </w:tcPr>
                <w:p w14:paraId="7FD19836">
                  <w:pPr>
                    <w:pStyle w:val="98"/>
                    <w:widowControl w:val="0"/>
                    <w:kinsoku/>
                    <w:autoSpaceDE/>
                    <w:autoSpaceDN/>
                    <w:adjustRightInd/>
                    <w:snapToGrid/>
                    <w:ind w:firstLine="0" w:firstLineChars="0"/>
                    <w:jc w:val="center"/>
                    <w:textAlignment w:val="auto"/>
                    <w:rPr>
                      <w:rFonts w:ascii="Times New Roman" w:hAnsi="Times New Roman" w:eastAsia="宋体"/>
                      <w:color w:val="auto"/>
                      <w:sz w:val="21"/>
                      <w:szCs w:val="21"/>
                      <w:highlight w:val="none"/>
                    </w:rPr>
                  </w:pPr>
                  <w:r>
                    <w:rPr>
                      <w:rFonts w:hint="eastAsia" w:ascii="Times New Roman" w:hAnsi="Times New Roman" w:eastAsia="宋体" w:cs="Times New Roman"/>
                      <w:snapToGrid/>
                      <w:color w:val="auto"/>
                      <w:kern w:val="2"/>
                      <w:szCs w:val="24"/>
                      <w:highlight w:val="none"/>
                      <w:lang w:val="en-US" w:eastAsia="zh-CN"/>
                    </w:rPr>
                    <w:t>沥青烟</w:t>
                  </w:r>
                </w:p>
              </w:tc>
              <w:tc>
                <w:tcPr>
                  <w:tcW w:w="273" w:type="pct"/>
                  <w:vMerge w:val="restart"/>
                  <w:noWrap w:val="0"/>
                  <w:vAlign w:val="center"/>
                </w:tcPr>
                <w:p w14:paraId="4C8149C5">
                  <w:pPr>
                    <w:pStyle w:val="98"/>
                    <w:widowControl w:val="0"/>
                    <w:kinsoku/>
                    <w:autoSpaceDE/>
                    <w:autoSpaceDN/>
                    <w:adjustRightInd/>
                    <w:snapToGrid/>
                    <w:ind w:firstLine="0" w:firstLineChars="0"/>
                    <w:jc w:val="center"/>
                    <w:textAlignment w:val="auto"/>
                    <w:rPr>
                      <w:rFonts w:hint="eastAsia" w:ascii="Times New Roman" w:hAnsi="Times New Roman" w:eastAsia="宋体" w:cs="Times New Roman"/>
                      <w:snapToGrid/>
                      <w:color w:val="auto"/>
                      <w:kern w:val="2"/>
                      <w:szCs w:val="24"/>
                      <w:highlight w:val="none"/>
                      <w:lang w:val="en-US" w:eastAsia="zh-CN"/>
                    </w:rPr>
                  </w:pPr>
                  <w:r>
                    <w:rPr>
                      <w:rFonts w:hint="eastAsia" w:cs="Times New Roman"/>
                      <w:snapToGrid/>
                      <w:color w:val="auto"/>
                      <w:kern w:val="2"/>
                      <w:szCs w:val="24"/>
                      <w:highlight w:val="none"/>
                      <w:lang w:val="en-US" w:eastAsia="zh-CN"/>
                    </w:rPr>
                    <w:t>一期</w:t>
                  </w:r>
                </w:p>
              </w:tc>
              <w:tc>
                <w:tcPr>
                  <w:tcW w:w="467" w:type="pct"/>
                  <w:vMerge w:val="restart"/>
                  <w:noWrap w:val="0"/>
                  <w:vAlign w:val="center"/>
                </w:tcPr>
                <w:p w14:paraId="26BC397C">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3840</w:t>
                  </w:r>
                </w:p>
              </w:tc>
              <w:tc>
                <w:tcPr>
                  <w:tcW w:w="638" w:type="pct"/>
                  <w:noWrap w:val="0"/>
                  <w:vAlign w:val="center"/>
                </w:tcPr>
                <w:p w14:paraId="5F890957">
                  <w:pPr>
                    <w:pStyle w:val="98"/>
                    <w:adjustRightInd/>
                    <w:snapToGrid/>
                    <w:ind w:firstLine="0" w:firstLineChars="0"/>
                    <w:rPr>
                      <w:rFonts w:hint="default" w:eastAsia="宋体"/>
                      <w:color w:val="auto"/>
                      <w:szCs w:val="21"/>
                      <w:highlight w:val="none"/>
                      <w:lang w:val="en-US" w:eastAsia="zh-CN"/>
                    </w:rPr>
                  </w:pPr>
                  <w:r>
                    <w:rPr>
                      <w:rFonts w:hint="eastAsia"/>
                      <w:color w:val="auto"/>
                      <w:szCs w:val="21"/>
                      <w:highlight w:val="none"/>
                      <w:lang w:val="en-US" w:eastAsia="zh-CN"/>
                    </w:rPr>
                    <w:t>0.0376</w:t>
                  </w:r>
                </w:p>
              </w:tc>
              <w:tc>
                <w:tcPr>
                  <w:tcW w:w="733" w:type="pct"/>
                  <w:noWrap w:val="0"/>
                  <w:vAlign w:val="center"/>
                </w:tcPr>
                <w:p w14:paraId="7BE895B2">
                  <w:pPr>
                    <w:pStyle w:val="98"/>
                    <w:adjustRightInd/>
                    <w:snapToGrid/>
                    <w:ind w:firstLine="0" w:firstLineChars="0"/>
                    <w:rPr>
                      <w:rFonts w:hint="default" w:eastAsia="宋体"/>
                      <w:color w:val="auto"/>
                      <w:szCs w:val="21"/>
                      <w:highlight w:val="none"/>
                      <w:lang w:val="en-US" w:eastAsia="zh-CN"/>
                    </w:rPr>
                  </w:pPr>
                  <w:r>
                    <w:rPr>
                      <w:rFonts w:hint="eastAsia"/>
                      <w:color w:val="auto"/>
                      <w:szCs w:val="21"/>
                      <w:highlight w:val="none"/>
                      <w:lang w:val="en-US" w:eastAsia="zh-CN"/>
                    </w:rPr>
                    <w:t>0.01</w:t>
                  </w:r>
                </w:p>
              </w:tc>
              <w:tc>
                <w:tcPr>
                  <w:tcW w:w="466" w:type="pct"/>
                  <w:vMerge w:val="restart"/>
                  <w:noWrap w:val="0"/>
                  <w:vAlign w:val="center"/>
                </w:tcPr>
                <w:p w14:paraId="46A37DE4">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36</w:t>
                  </w:r>
                </w:p>
              </w:tc>
              <w:tc>
                <w:tcPr>
                  <w:tcW w:w="466" w:type="pct"/>
                  <w:vMerge w:val="restart"/>
                  <w:noWrap w:val="0"/>
                  <w:vAlign w:val="center"/>
                </w:tcPr>
                <w:p w14:paraId="34D6153C">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20</w:t>
                  </w:r>
                </w:p>
              </w:tc>
              <w:tc>
                <w:tcPr>
                  <w:tcW w:w="466" w:type="pct"/>
                  <w:vMerge w:val="restart"/>
                  <w:noWrap w:val="0"/>
                  <w:vAlign w:val="center"/>
                </w:tcPr>
                <w:p w14:paraId="67ECC3A8">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9.1</w:t>
                  </w:r>
                </w:p>
              </w:tc>
            </w:tr>
            <w:tr w14:paraId="02E3FE8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478" w:type="pct"/>
                  <w:vMerge w:val="continue"/>
                  <w:noWrap w:val="0"/>
                  <w:vAlign w:val="center"/>
                </w:tcPr>
                <w:p w14:paraId="71792ADE">
                  <w:pPr>
                    <w:pStyle w:val="107"/>
                    <w:widowControl/>
                    <w:ind w:firstLine="0" w:firstLineChars="0"/>
                    <w:jc w:val="center"/>
                    <w:rPr>
                      <w:rFonts w:hint="eastAsia" w:ascii="Times New Roman" w:hAnsi="Times New Roman" w:eastAsia="宋体"/>
                      <w:color w:val="auto"/>
                      <w:sz w:val="21"/>
                      <w:szCs w:val="21"/>
                      <w:highlight w:val="none"/>
                    </w:rPr>
                  </w:pPr>
                </w:p>
              </w:tc>
              <w:tc>
                <w:tcPr>
                  <w:tcW w:w="653" w:type="pct"/>
                  <w:vMerge w:val="continue"/>
                  <w:noWrap w:val="0"/>
                  <w:vAlign w:val="center"/>
                </w:tcPr>
                <w:p w14:paraId="54F76338">
                  <w:pPr>
                    <w:pStyle w:val="107"/>
                    <w:widowControl/>
                    <w:ind w:firstLine="0" w:firstLineChars="0"/>
                    <w:jc w:val="center"/>
                    <w:rPr>
                      <w:rFonts w:hint="eastAsia" w:ascii="Times New Roman" w:hAnsi="Times New Roman" w:eastAsia="宋体"/>
                      <w:color w:val="auto"/>
                      <w:sz w:val="21"/>
                      <w:szCs w:val="21"/>
                      <w:highlight w:val="none"/>
                    </w:rPr>
                  </w:pPr>
                </w:p>
              </w:tc>
              <w:tc>
                <w:tcPr>
                  <w:tcW w:w="355" w:type="pct"/>
                  <w:noWrap w:val="0"/>
                  <w:vAlign w:val="center"/>
                </w:tcPr>
                <w:p w14:paraId="126E6D90">
                  <w:pPr>
                    <w:pStyle w:val="98"/>
                    <w:adjustRightInd/>
                    <w:snapToGrid/>
                    <w:ind w:firstLine="0" w:firstLineChars="0"/>
                    <w:rPr>
                      <w:rFonts w:hint="eastAsia" w:ascii="Times New Roman" w:hAnsi="Times New Roman" w:eastAsia="宋体"/>
                      <w:color w:val="auto"/>
                      <w:sz w:val="21"/>
                      <w:szCs w:val="21"/>
                      <w:highlight w:val="none"/>
                    </w:rPr>
                  </w:pPr>
                  <w:r>
                    <w:rPr>
                      <w:rFonts w:hint="eastAsia" w:ascii="Times New Roman" w:hAnsi="Times New Roman" w:eastAsia="宋体" w:cs="Times New Roman"/>
                      <w:color w:val="auto"/>
                      <w:highlight w:val="none"/>
                      <w:lang w:val="en-US" w:eastAsia="zh-CN"/>
                    </w:rPr>
                    <w:t>苯并[a]芘</w:t>
                  </w:r>
                </w:p>
              </w:tc>
              <w:tc>
                <w:tcPr>
                  <w:tcW w:w="273" w:type="pct"/>
                  <w:vMerge w:val="continue"/>
                  <w:noWrap w:val="0"/>
                  <w:vAlign w:val="center"/>
                </w:tcPr>
                <w:p w14:paraId="46051A36">
                  <w:pPr>
                    <w:pStyle w:val="98"/>
                    <w:adjustRightInd/>
                    <w:snapToGrid/>
                    <w:ind w:firstLine="0" w:firstLineChars="0"/>
                    <w:rPr>
                      <w:rFonts w:hint="eastAsia" w:ascii="Times New Roman" w:hAnsi="Times New Roman" w:eastAsia="宋体" w:cs="Times New Roman"/>
                      <w:color w:val="auto"/>
                      <w:highlight w:val="none"/>
                      <w:lang w:val="en-US" w:eastAsia="zh-CN"/>
                    </w:rPr>
                  </w:pPr>
                </w:p>
              </w:tc>
              <w:tc>
                <w:tcPr>
                  <w:tcW w:w="467" w:type="pct"/>
                  <w:vMerge w:val="continue"/>
                  <w:noWrap w:val="0"/>
                  <w:vAlign w:val="center"/>
                </w:tcPr>
                <w:p w14:paraId="4F1E56B0">
                  <w:pPr>
                    <w:pStyle w:val="107"/>
                    <w:widowControl/>
                    <w:ind w:firstLine="0" w:firstLineChars="0"/>
                    <w:jc w:val="center"/>
                    <w:rPr>
                      <w:rFonts w:hint="eastAsia" w:ascii="Times New Roman" w:hAnsi="Times New Roman" w:eastAsia="宋体"/>
                      <w:color w:val="auto"/>
                      <w:sz w:val="21"/>
                      <w:szCs w:val="21"/>
                      <w:highlight w:val="none"/>
                    </w:rPr>
                  </w:pPr>
                </w:p>
              </w:tc>
              <w:tc>
                <w:tcPr>
                  <w:tcW w:w="638" w:type="pct"/>
                  <w:noWrap w:val="0"/>
                  <w:vAlign w:val="center"/>
                </w:tcPr>
                <w:p w14:paraId="1F70227F">
                  <w:pPr>
                    <w:pStyle w:val="98"/>
                    <w:adjustRightInd/>
                    <w:snapToGrid/>
                    <w:ind w:firstLine="0" w:firstLineChars="0"/>
                    <w:rPr>
                      <w:rFonts w:hint="default" w:eastAsia="宋体"/>
                      <w:color w:val="auto"/>
                      <w:szCs w:val="21"/>
                      <w:highlight w:val="none"/>
                      <w:lang w:val="en-US" w:eastAsia="zh-CN"/>
                    </w:rPr>
                  </w:pPr>
                  <w:r>
                    <w:rPr>
                      <w:rFonts w:hint="eastAsia"/>
                      <w:color w:val="auto"/>
                      <w:szCs w:val="21"/>
                      <w:highlight w:val="none"/>
                      <w:lang w:val="en-US" w:eastAsia="zh-CN"/>
                    </w:rPr>
                    <w:t>0.00005</w:t>
                  </w:r>
                </w:p>
              </w:tc>
              <w:tc>
                <w:tcPr>
                  <w:tcW w:w="733" w:type="pct"/>
                  <w:noWrap w:val="0"/>
                  <w:vAlign w:val="center"/>
                </w:tcPr>
                <w:p w14:paraId="22607F97">
                  <w:pPr>
                    <w:pStyle w:val="98"/>
                    <w:adjustRightInd/>
                    <w:snapToGrid/>
                    <w:ind w:firstLine="0" w:firstLineChars="0"/>
                    <w:rPr>
                      <w:rFonts w:hint="default" w:eastAsia="宋体"/>
                      <w:color w:val="auto"/>
                      <w:szCs w:val="21"/>
                      <w:highlight w:val="none"/>
                      <w:lang w:val="en-US" w:eastAsia="zh-CN"/>
                    </w:rPr>
                  </w:pPr>
                  <w:r>
                    <w:rPr>
                      <w:rFonts w:hint="eastAsia"/>
                      <w:color w:val="auto"/>
                      <w:szCs w:val="21"/>
                      <w:highlight w:val="none"/>
                      <w:lang w:val="en-US" w:eastAsia="zh-CN"/>
                    </w:rPr>
                    <w:t>0.00001</w:t>
                  </w:r>
                </w:p>
              </w:tc>
              <w:tc>
                <w:tcPr>
                  <w:tcW w:w="466" w:type="pct"/>
                  <w:vMerge w:val="continue"/>
                  <w:noWrap w:val="0"/>
                  <w:vAlign w:val="center"/>
                </w:tcPr>
                <w:p w14:paraId="6CE5EA50">
                  <w:pPr>
                    <w:pStyle w:val="107"/>
                    <w:widowControl/>
                    <w:ind w:firstLine="0" w:firstLineChars="0"/>
                    <w:jc w:val="center"/>
                    <w:rPr>
                      <w:rFonts w:ascii="Times New Roman" w:hAnsi="Times New Roman" w:eastAsia="宋体"/>
                      <w:color w:val="auto"/>
                      <w:sz w:val="21"/>
                      <w:szCs w:val="21"/>
                      <w:highlight w:val="none"/>
                    </w:rPr>
                  </w:pPr>
                </w:p>
              </w:tc>
              <w:tc>
                <w:tcPr>
                  <w:tcW w:w="466" w:type="pct"/>
                  <w:vMerge w:val="continue"/>
                  <w:noWrap w:val="0"/>
                  <w:vAlign w:val="center"/>
                </w:tcPr>
                <w:p w14:paraId="3FCE5A16">
                  <w:pPr>
                    <w:pStyle w:val="107"/>
                    <w:widowControl/>
                    <w:ind w:firstLine="0" w:firstLineChars="0"/>
                    <w:jc w:val="center"/>
                    <w:rPr>
                      <w:rFonts w:ascii="Times New Roman" w:hAnsi="Times New Roman" w:eastAsia="宋体"/>
                      <w:color w:val="auto"/>
                      <w:sz w:val="21"/>
                      <w:szCs w:val="21"/>
                      <w:highlight w:val="none"/>
                    </w:rPr>
                  </w:pPr>
                </w:p>
              </w:tc>
              <w:tc>
                <w:tcPr>
                  <w:tcW w:w="466" w:type="pct"/>
                  <w:vMerge w:val="continue"/>
                  <w:noWrap w:val="0"/>
                  <w:vAlign w:val="center"/>
                </w:tcPr>
                <w:p w14:paraId="3CB3564C">
                  <w:pPr>
                    <w:pStyle w:val="107"/>
                    <w:widowControl/>
                    <w:ind w:firstLine="0" w:firstLineChars="0"/>
                    <w:jc w:val="center"/>
                    <w:rPr>
                      <w:rFonts w:ascii="Times New Roman" w:hAnsi="Times New Roman" w:eastAsia="宋体"/>
                      <w:color w:val="auto"/>
                      <w:sz w:val="21"/>
                      <w:szCs w:val="21"/>
                      <w:highlight w:val="none"/>
                    </w:rPr>
                  </w:pPr>
                </w:p>
              </w:tc>
            </w:tr>
            <w:tr w14:paraId="2B52406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3" w:hRule="atLeast"/>
                <w:jc w:val="center"/>
              </w:trPr>
              <w:tc>
                <w:tcPr>
                  <w:tcW w:w="478" w:type="pct"/>
                  <w:vMerge w:val="continue"/>
                  <w:noWrap w:val="0"/>
                  <w:vAlign w:val="center"/>
                </w:tcPr>
                <w:p w14:paraId="18227363">
                  <w:pPr>
                    <w:pStyle w:val="107"/>
                    <w:widowControl/>
                    <w:ind w:firstLine="0" w:firstLineChars="0"/>
                    <w:jc w:val="center"/>
                    <w:rPr>
                      <w:rFonts w:hint="eastAsia" w:ascii="Times New Roman" w:hAnsi="Times New Roman" w:eastAsia="宋体"/>
                      <w:color w:val="auto"/>
                      <w:sz w:val="21"/>
                      <w:szCs w:val="21"/>
                      <w:highlight w:val="none"/>
                    </w:rPr>
                  </w:pPr>
                </w:p>
              </w:tc>
              <w:tc>
                <w:tcPr>
                  <w:tcW w:w="653" w:type="pct"/>
                  <w:vMerge w:val="continue"/>
                  <w:noWrap w:val="0"/>
                  <w:vAlign w:val="center"/>
                </w:tcPr>
                <w:p w14:paraId="54B30DF6">
                  <w:pPr>
                    <w:pStyle w:val="107"/>
                    <w:widowControl/>
                    <w:ind w:firstLine="0" w:firstLineChars="0"/>
                    <w:jc w:val="center"/>
                    <w:rPr>
                      <w:rFonts w:hint="eastAsia" w:ascii="Times New Roman" w:hAnsi="Times New Roman" w:eastAsia="宋体"/>
                      <w:color w:val="auto"/>
                      <w:sz w:val="21"/>
                      <w:szCs w:val="21"/>
                      <w:highlight w:val="none"/>
                    </w:rPr>
                  </w:pPr>
                </w:p>
              </w:tc>
              <w:tc>
                <w:tcPr>
                  <w:tcW w:w="355" w:type="pct"/>
                  <w:noWrap w:val="0"/>
                  <w:vAlign w:val="center"/>
                </w:tcPr>
                <w:p w14:paraId="600D597E">
                  <w:pPr>
                    <w:pStyle w:val="98"/>
                    <w:adjustRightInd/>
                    <w:snapToGrid/>
                    <w:ind w:firstLine="0" w:firstLineChars="0"/>
                    <w:rPr>
                      <w:rFonts w:hint="eastAsia"/>
                      <w:color w:val="auto"/>
                      <w:szCs w:val="21"/>
                      <w:highlight w:val="none"/>
                    </w:rPr>
                  </w:pPr>
                  <w:r>
                    <w:rPr>
                      <w:rFonts w:hint="eastAsia"/>
                      <w:color w:val="auto"/>
                      <w:szCs w:val="21"/>
                      <w:highlight w:val="none"/>
                      <w:lang w:val="en-US" w:eastAsia="zh-CN"/>
                    </w:rPr>
                    <w:t>非甲烷总烃</w:t>
                  </w:r>
                </w:p>
              </w:tc>
              <w:tc>
                <w:tcPr>
                  <w:tcW w:w="273" w:type="pct"/>
                  <w:vMerge w:val="continue"/>
                  <w:noWrap w:val="0"/>
                  <w:vAlign w:val="center"/>
                </w:tcPr>
                <w:p w14:paraId="5B941BEC">
                  <w:pPr>
                    <w:pStyle w:val="98"/>
                    <w:adjustRightInd/>
                    <w:snapToGrid/>
                    <w:ind w:firstLine="0" w:firstLineChars="0"/>
                    <w:rPr>
                      <w:rFonts w:hint="eastAsia"/>
                      <w:color w:val="auto"/>
                      <w:szCs w:val="21"/>
                      <w:highlight w:val="none"/>
                      <w:lang w:val="en-US" w:eastAsia="zh-CN"/>
                    </w:rPr>
                  </w:pPr>
                </w:p>
              </w:tc>
              <w:tc>
                <w:tcPr>
                  <w:tcW w:w="467" w:type="pct"/>
                  <w:vMerge w:val="continue"/>
                  <w:noWrap w:val="0"/>
                  <w:vAlign w:val="center"/>
                </w:tcPr>
                <w:p w14:paraId="4653B4DD">
                  <w:pPr>
                    <w:pStyle w:val="107"/>
                    <w:widowControl/>
                    <w:ind w:firstLine="0" w:firstLineChars="0"/>
                    <w:jc w:val="center"/>
                    <w:rPr>
                      <w:rFonts w:hint="eastAsia" w:ascii="Times New Roman" w:hAnsi="Times New Roman" w:eastAsia="宋体"/>
                      <w:color w:val="auto"/>
                      <w:sz w:val="21"/>
                      <w:szCs w:val="21"/>
                      <w:highlight w:val="none"/>
                    </w:rPr>
                  </w:pPr>
                </w:p>
              </w:tc>
              <w:tc>
                <w:tcPr>
                  <w:tcW w:w="638" w:type="pct"/>
                  <w:noWrap w:val="0"/>
                  <w:vAlign w:val="center"/>
                </w:tcPr>
                <w:p w14:paraId="69F7A2DB">
                  <w:pPr>
                    <w:pStyle w:val="98"/>
                    <w:adjustRightInd/>
                    <w:snapToGrid/>
                    <w:ind w:firstLine="0" w:firstLineChars="0"/>
                    <w:rPr>
                      <w:rFonts w:hint="default" w:eastAsia="宋体"/>
                      <w:color w:val="auto"/>
                      <w:szCs w:val="21"/>
                      <w:highlight w:val="none"/>
                      <w:lang w:val="en-US" w:eastAsia="zh-CN"/>
                    </w:rPr>
                  </w:pPr>
                  <w:r>
                    <w:rPr>
                      <w:rFonts w:hint="eastAsia"/>
                      <w:color w:val="auto"/>
                      <w:szCs w:val="21"/>
                      <w:highlight w:val="none"/>
                      <w:lang w:val="en-US" w:eastAsia="zh-CN"/>
                    </w:rPr>
                    <w:t>0.0012</w:t>
                  </w:r>
                </w:p>
              </w:tc>
              <w:tc>
                <w:tcPr>
                  <w:tcW w:w="733" w:type="pct"/>
                  <w:noWrap w:val="0"/>
                  <w:vAlign w:val="center"/>
                </w:tcPr>
                <w:p w14:paraId="73B20C75">
                  <w:pPr>
                    <w:pStyle w:val="98"/>
                    <w:adjustRightInd/>
                    <w:snapToGrid/>
                    <w:ind w:firstLine="0" w:firstLineChars="0"/>
                    <w:rPr>
                      <w:rFonts w:hint="default" w:eastAsia="宋体"/>
                      <w:color w:val="auto"/>
                      <w:szCs w:val="21"/>
                      <w:highlight w:val="none"/>
                      <w:lang w:val="en-US" w:eastAsia="zh-CN"/>
                    </w:rPr>
                  </w:pPr>
                  <w:r>
                    <w:rPr>
                      <w:rFonts w:hint="eastAsia"/>
                      <w:color w:val="auto"/>
                      <w:szCs w:val="21"/>
                      <w:highlight w:val="none"/>
                      <w:lang w:val="en-US" w:eastAsia="zh-CN"/>
                    </w:rPr>
                    <w:t>0.0003</w:t>
                  </w:r>
                </w:p>
              </w:tc>
              <w:tc>
                <w:tcPr>
                  <w:tcW w:w="466" w:type="pct"/>
                  <w:vMerge w:val="continue"/>
                  <w:noWrap w:val="0"/>
                  <w:vAlign w:val="center"/>
                </w:tcPr>
                <w:p w14:paraId="34620B32">
                  <w:pPr>
                    <w:pStyle w:val="107"/>
                    <w:widowControl/>
                    <w:ind w:firstLine="0" w:firstLineChars="0"/>
                    <w:jc w:val="center"/>
                    <w:rPr>
                      <w:rFonts w:ascii="Times New Roman" w:hAnsi="Times New Roman" w:eastAsia="宋体"/>
                      <w:color w:val="auto"/>
                      <w:sz w:val="21"/>
                      <w:szCs w:val="21"/>
                      <w:highlight w:val="none"/>
                    </w:rPr>
                  </w:pPr>
                </w:p>
              </w:tc>
              <w:tc>
                <w:tcPr>
                  <w:tcW w:w="466" w:type="pct"/>
                  <w:vMerge w:val="continue"/>
                  <w:noWrap w:val="0"/>
                  <w:vAlign w:val="center"/>
                </w:tcPr>
                <w:p w14:paraId="03056C62">
                  <w:pPr>
                    <w:pStyle w:val="107"/>
                    <w:widowControl/>
                    <w:ind w:firstLine="0" w:firstLineChars="0"/>
                    <w:jc w:val="center"/>
                    <w:rPr>
                      <w:rFonts w:ascii="Times New Roman" w:hAnsi="Times New Roman" w:eastAsia="宋体"/>
                      <w:color w:val="auto"/>
                      <w:sz w:val="21"/>
                      <w:szCs w:val="21"/>
                      <w:highlight w:val="none"/>
                    </w:rPr>
                  </w:pPr>
                </w:p>
              </w:tc>
              <w:tc>
                <w:tcPr>
                  <w:tcW w:w="466" w:type="pct"/>
                  <w:vMerge w:val="continue"/>
                  <w:noWrap w:val="0"/>
                  <w:vAlign w:val="center"/>
                </w:tcPr>
                <w:p w14:paraId="67ECA826">
                  <w:pPr>
                    <w:pStyle w:val="107"/>
                    <w:widowControl/>
                    <w:ind w:firstLine="0" w:firstLineChars="0"/>
                    <w:jc w:val="center"/>
                    <w:rPr>
                      <w:rFonts w:ascii="Times New Roman" w:hAnsi="Times New Roman" w:eastAsia="宋体"/>
                      <w:color w:val="auto"/>
                      <w:sz w:val="21"/>
                      <w:szCs w:val="21"/>
                      <w:highlight w:val="none"/>
                    </w:rPr>
                  </w:pPr>
                </w:p>
              </w:tc>
            </w:tr>
            <w:tr w14:paraId="354F714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3" w:hRule="atLeast"/>
                <w:jc w:val="center"/>
              </w:trPr>
              <w:tc>
                <w:tcPr>
                  <w:tcW w:w="478" w:type="pct"/>
                  <w:vMerge w:val="continue"/>
                  <w:noWrap w:val="0"/>
                  <w:vAlign w:val="center"/>
                </w:tcPr>
                <w:p w14:paraId="766816B5">
                  <w:pPr>
                    <w:pStyle w:val="107"/>
                    <w:widowControl/>
                    <w:ind w:firstLine="0" w:firstLineChars="0"/>
                    <w:jc w:val="center"/>
                    <w:rPr>
                      <w:rFonts w:hint="eastAsia" w:ascii="Times New Roman" w:hAnsi="Times New Roman" w:eastAsia="宋体"/>
                      <w:color w:val="auto"/>
                      <w:sz w:val="21"/>
                      <w:szCs w:val="21"/>
                      <w:highlight w:val="none"/>
                    </w:rPr>
                  </w:pPr>
                </w:p>
              </w:tc>
              <w:tc>
                <w:tcPr>
                  <w:tcW w:w="653" w:type="pct"/>
                  <w:vMerge w:val="continue"/>
                  <w:noWrap w:val="0"/>
                  <w:vAlign w:val="center"/>
                </w:tcPr>
                <w:p w14:paraId="2124CC44">
                  <w:pPr>
                    <w:pStyle w:val="107"/>
                    <w:widowControl/>
                    <w:ind w:firstLine="0" w:firstLineChars="0"/>
                    <w:jc w:val="center"/>
                    <w:rPr>
                      <w:rFonts w:hint="eastAsia" w:ascii="Times New Roman" w:hAnsi="Times New Roman" w:eastAsia="宋体"/>
                      <w:color w:val="auto"/>
                      <w:sz w:val="21"/>
                      <w:szCs w:val="21"/>
                      <w:highlight w:val="none"/>
                    </w:rPr>
                  </w:pPr>
                </w:p>
              </w:tc>
              <w:tc>
                <w:tcPr>
                  <w:tcW w:w="355" w:type="pct"/>
                  <w:noWrap w:val="0"/>
                  <w:vAlign w:val="center"/>
                </w:tcPr>
                <w:p w14:paraId="77DE93D6">
                  <w:pPr>
                    <w:pStyle w:val="98"/>
                    <w:widowControl w:val="0"/>
                    <w:kinsoku/>
                    <w:autoSpaceDE/>
                    <w:autoSpaceDN/>
                    <w:adjustRightInd/>
                    <w:snapToGrid/>
                    <w:ind w:firstLine="0" w:firstLineChars="0"/>
                    <w:jc w:val="center"/>
                    <w:textAlignment w:val="auto"/>
                    <w:rPr>
                      <w:rFonts w:hint="eastAsia"/>
                      <w:color w:val="auto"/>
                      <w:szCs w:val="21"/>
                      <w:highlight w:val="none"/>
                      <w:lang w:val="en-US" w:eastAsia="zh-CN"/>
                    </w:rPr>
                  </w:pPr>
                  <w:r>
                    <w:rPr>
                      <w:rFonts w:hint="eastAsia" w:ascii="Times New Roman" w:hAnsi="Times New Roman" w:eastAsia="宋体" w:cs="Times New Roman"/>
                      <w:snapToGrid/>
                      <w:color w:val="auto"/>
                      <w:kern w:val="2"/>
                      <w:szCs w:val="24"/>
                      <w:highlight w:val="none"/>
                      <w:lang w:val="en-US" w:eastAsia="zh-CN"/>
                    </w:rPr>
                    <w:t>沥青烟</w:t>
                  </w:r>
                </w:p>
              </w:tc>
              <w:tc>
                <w:tcPr>
                  <w:tcW w:w="273" w:type="pct"/>
                  <w:vMerge w:val="restart"/>
                  <w:noWrap w:val="0"/>
                  <w:vAlign w:val="center"/>
                </w:tcPr>
                <w:p w14:paraId="619199AA">
                  <w:pPr>
                    <w:pStyle w:val="98"/>
                    <w:widowControl w:val="0"/>
                    <w:kinsoku/>
                    <w:autoSpaceDE/>
                    <w:autoSpaceDN/>
                    <w:adjustRightInd/>
                    <w:snapToGrid/>
                    <w:ind w:firstLine="0" w:firstLineChars="0"/>
                    <w:jc w:val="center"/>
                    <w:textAlignment w:val="auto"/>
                    <w:rPr>
                      <w:rFonts w:hint="eastAsia"/>
                      <w:color w:val="auto"/>
                      <w:szCs w:val="21"/>
                      <w:highlight w:val="none"/>
                      <w:lang w:val="en-US" w:eastAsia="zh-CN"/>
                    </w:rPr>
                  </w:pPr>
                  <w:r>
                    <w:rPr>
                      <w:rFonts w:hint="eastAsia" w:cs="Times New Roman"/>
                      <w:snapToGrid/>
                      <w:color w:val="auto"/>
                      <w:kern w:val="2"/>
                      <w:szCs w:val="24"/>
                      <w:highlight w:val="none"/>
                      <w:lang w:val="en-US" w:eastAsia="zh-CN"/>
                    </w:rPr>
                    <w:t>二期</w:t>
                  </w:r>
                </w:p>
              </w:tc>
              <w:tc>
                <w:tcPr>
                  <w:tcW w:w="467" w:type="pct"/>
                  <w:vMerge w:val="restart"/>
                  <w:noWrap w:val="0"/>
                  <w:vAlign w:val="center"/>
                </w:tcPr>
                <w:p w14:paraId="4EEE30F8">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3840</w:t>
                  </w:r>
                </w:p>
              </w:tc>
              <w:tc>
                <w:tcPr>
                  <w:tcW w:w="638" w:type="pct"/>
                  <w:noWrap w:val="0"/>
                  <w:vAlign w:val="center"/>
                </w:tcPr>
                <w:p w14:paraId="374D03B0">
                  <w:pPr>
                    <w:pStyle w:val="98"/>
                    <w:adjustRightInd/>
                    <w:snapToGrid/>
                    <w:ind w:firstLine="0" w:firstLineChars="0"/>
                    <w:rPr>
                      <w:rFonts w:hint="default"/>
                      <w:color w:val="auto"/>
                      <w:szCs w:val="21"/>
                      <w:highlight w:val="none"/>
                      <w:lang w:val="en-US" w:eastAsia="zh-CN"/>
                    </w:rPr>
                  </w:pPr>
                  <w:r>
                    <w:rPr>
                      <w:rFonts w:hint="eastAsia"/>
                      <w:color w:val="auto"/>
                      <w:szCs w:val="21"/>
                      <w:highlight w:val="none"/>
                      <w:lang w:val="en-US" w:eastAsia="zh-CN"/>
                    </w:rPr>
                    <w:t>0.0752</w:t>
                  </w:r>
                </w:p>
              </w:tc>
              <w:tc>
                <w:tcPr>
                  <w:tcW w:w="733" w:type="pct"/>
                  <w:noWrap w:val="0"/>
                  <w:vAlign w:val="center"/>
                </w:tcPr>
                <w:p w14:paraId="7D0A5592">
                  <w:pPr>
                    <w:pStyle w:val="98"/>
                    <w:adjustRightInd/>
                    <w:snapToGrid/>
                    <w:ind w:firstLine="0" w:firstLineChars="0"/>
                    <w:rPr>
                      <w:rFonts w:hint="default"/>
                      <w:color w:val="auto"/>
                      <w:szCs w:val="21"/>
                      <w:highlight w:val="none"/>
                      <w:lang w:val="en-US" w:eastAsia="zh-CN"/>
                    </w:rPr>
                  </w:pPr>
                  <w:r>
                    <w:rPr>
                      <w:rFonts w:hint="eastAsia"/>
                      <w:color w:val="auto"/>
                      <w:szCs w:val="21"/>
                      <w:highlight w:val="none"/>
                      <w:lang w:val="en-US" w:eastAsia="zh-CN"/>
                    </w:rPr>
                    <w:t>0.02</w:t>
                  </w:r>
                </w:p>
              </w:tc>
              <w:tc>
                <w:tcPr>
                  <w:tcW w:w="466" w:type="pct"/>
                  <w:vMerge w:val="restart"/>
                  <w:noWrap w:val="0"/>
                  <w:vAlign w:val="center"/>
                </w:tcPr>
                <w:p w14:paraId="5F668FD9">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47</w:t>
                  </w:r>
                </w:p>
              </w:tc>
              <w:tc>
                <w:tcPr>
                  <w:tcW w:w="466" w:type="pct"/>
                  <w:vMerge w:val="restart"/>
                  <w:noWrap w:val="0"/>
                  <w:vAlign w:val="center"/>
                </w:tcPr>
                <w:p w14:paraId="41B72BB5">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18.4</w:t>
                  </w:r>
                </w:p>
              </w:tc>
              <w:tc>
                <w:tcPr>
                  <w:tcW w:w="466" w:type="pct"/>
                  <w:vMerge w:val="restart"/>
                  <w:noWrap w:val="0"/>
                  <w:vAlign w:val="center"/>
                </w:tcPr>
                <w:p w14:paraId="25739D7D">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9.8</w:t>
                  </w:r>
                </w:p>
              </w:tc>
            </w:tr>
            <w:tr w14:paraId="289E32B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3" w:hRule="atLeast"/>
                <w:jc w:val="center"/>
              </w:trPr>
              <w:tc>
                <w:tcPr>
                  <w:tcW w:w="478" w:type="pct"/>
                  <w:vMerge w:val="continue"/>
                  <w:noWrap w:val="0"/>
                  <w:vAlign w:val="center"/>
                </w:tcPr>
                <w:p w14:paraId="646BE3FB">
                  <w:pPr>
                    <w:pStyle w:val="107"/>
                    <w:widowControl/>
                    <w:ind w:firstLine="0" w:firstLineChars="0"/>
                    <w:jc w:val="center"/>
                    <w:rPr>
                      <w:rFonts w:hint="eastAsia" w:ascii="Times New Roman" w:hAnsi="Times New Roman" w:eastAsia="宋体"/>
                      <w:color w:val="auto"/>
                      <w:sz w:val="21"/>
                      <w:szCs w:val="21"/>
                      <w:highlight w:val="none"/>
                    </w:rPr>
                  </w:pPr>
                </w:p>
              </w:tc>
              <w:tc>
                <w:tcPr>
                  <w:tcW w:w="653" w:type="pct"/>
                  <w:vMerge w:val="continue"/>
                  <w:noWrap w:val="0"/>
                  <w:vAlign w:val="center"/>
                </w:tcPr>
                <w:p w14:paraId="5B260BDE">
                  <w:pPr>
                    <w:pStyle w:val="107"/>
                    <w:widowControl/>
                    <w:ind w:firstLine="0" w:firstLineChars="0"/>
                    <w:jc w:val="center"/>
                    <w:rPr>
                      <w:rFonts w:hint="eastAsia" w:ascii="Times New Roman" w:hAnsi="Times New Roman" w:eastAsia="宋体"/>
                      <w:color w:val="auto"/>
                      <w:sz w:val="21"/>
                      <w:szCs w:val="21"/>
                      <w:highlight w:val="none"/>
                    </w:rPr>
                  </w:pPr>
                </w:p>
              </w:tc>
              <w:tc>
                <w:tcPr>
                  <w:tcW w:w="355" w:type="pct"/>
                  <w:noWrap w:val="0"/>
                  <w:vAlign w:val="center"/>
                </w:tcPr>
                <w:p w14:paraId="03078ED8">
                  <w:pPr>
                    <w:pStyle w:val="98"/>
                    <w:adjustRightInd/>
                    <w:snapToGrid/>
                    <w:ind w:firstLine="0" w:firstLineChars="0"/>
                    <w:rPr>
                      <w:rFonts w:hint="eastAsia"/>
                      <w:color w:val="auto"/>
                      <w:szCs w:val="21"/>
                      <w:highlight w:val="none"/>
                      <w:lang w:val="en-US" w:eastAsia="zh-CN"/>
                    </w:rPr>
                  </w:pPr>
                  <w:r>
                    <w:rPr>
                      <w:rFonts w:hint="eastAsia" w:ascii="Times New Roman" w:hAnsi="Times New Roman" w:eastAsia="宋体" w:cs="Times New Roman"/>
                      <w:color w:val="auto"/>
                      <w:highlight w:val="none"/>
                      <w:lang w:val="en-US" w:eastAsia="zh-CN"/>
                    </w:rPr>
                    <w:t>苯并[a]芘</w:t>
                  </w:r>
                </w:p>
              </w:tc>
              <w:tc>
                <w:tcPr>
                  <w:tcW w:w="273" w:type="pct"/>
                  <w:vMerge w:val="continue"/>
                  <w:noWrap w:val="0"/>
                  <w:vAlign w:val="center"/>
                </w:tcPr>
                <w:p w14:paraId="1033A7BA">
                  <w:pPr>
                    <w:pStyle w:val="98"/>
                    <w:adjustRightInd/>
                    <w:snapToGrid/>
                    <w:ind w:firstLine="0" w:firstLineChars="0"/>
                    <w:rPr>
                      <w:rFonts w:hint="eastAsia"/>
                      <w:color w:val="auto"/>
                      <w:szCs w:val="21"/>
                      <w:highlight w:val="none"/>
                      <w:lang w:val="en-US" w:eastAsia="zh-CN"/>
                    </w:rPr>
                  </w:pPr>
                </w:p>
              </w:tc>
              <w:tc>
                <w:tcPr>
                  <w:tcW w:w="467" w:type="pct"/>
                  <w:vMerge w:val="continue"/>
                  <w:noWrap w:val="0"/>
                  <w:vAlign w:val="center"/>
                </w:tcPr>
                <w:p w14:paraId="44FC43E3">
                  <w:pPr>
                    <w:pStyle w:val="107"/>
                    <w:widowControl/>
                    <w:ind w:firstLine="0" w:firstLineChars="0"/>
                    <w:jc w:val="center"/>
                    <w:rPr>
                      <w:rFonts w:hint="eastAsia" w:ascii="Times New Roman" w:hAnsi="Times New Roman" w:eastAsia="宋体"/>
                      <w:color w:val="auto"/>
                      <w:sz w:val="21"/>
                      <w:szCs w:val="21"/>
                      <w:highlight w:val="none"/>
                    </w:rPr>
                  </w:pPr>
                </w:p>
              </w:tc>
              <w:tc>
                <w:tcPr>
                  <w:tcW w:w="638" w:type="pct"/>
                  <w:noWrap w:val="0"/>
                  <w:vAlign w:val="center"/>
                </w:tcPr>
                <w:p w14:paraId="044BF7D3">
                  <w:pPr>
                    <w:pStyle w:val="98"/>
                    <w:adjustRightInd/>
                    <w:snapToGrid/>
                    <w:ind w:firstLine="0" w:firstLineChars="0"/>
                    <w:rPr>
                      <w:rFonts w:hint="default"/>
                      <w:color w:val="auto"/>
                      <w:szCs w:val="21"/>
                      <w:highlight w:val="none"/>
                      <w:lang w:val="en-US" w:eastAsia="zh-CN"/>
                    </w:rPr>
                  </w:pPr>
                  <w:r>
                    <w:rPr>
                      <w:rFonts w:hint="eastAsia"/>
                      <w:color w:val="auto"/>
                      <w:szCs w:val="21"/>
                      <w:highlight w:val="none"/>
                      <w:lang w:val="en-US" w:eastAsia="zh-CN"/>
                    </w:rPr>
                    <w:t>0.0001</w:t>
                  </w:r>
                </w:p>
              </w:tc>
              <w:tc>
                <w:tcPr>
                  <w:tcW w:w="733" w:type="pct"/>
                  <w:noWrap w:val="0"/>
                  <w:vAlign w:val="center"/>
                </w:tcPr>
                <w:p w14:paraId="580AADD5">
                  <w:pPr>
                    <w:pStyle w:val="98"/>
                    <w:adjustRightInd/>
                    <w:snapToGrid/>
                    <w:ind w:firstLine="0" w:firstLineChars="0"/>
                    <w:rPr>
                      <w:rFonts w:hint="default"/>
                      <w:color w:val="auto"/>
                      <w:szCs w:val="21"/>
                      <w:highlight w:val="none"/>
                      <w:lang w:val="en-US" w:eastAsia="zh-CN"/>
                    </w:rPr>
                  </w:pPr>
                  <w:r>
                    <w:rPr>
                      <w:rFonts w:hint="eastAsia"/>
                      <w:color w:val="auto"/>
                      <w:szCs w:val="21"/>
                      <w:highlight w:val="none"/>
                      <w:lang w:val="en-US" w:eastAsia="zh-CN"/>
                    </w:rPr>
                    <w:t>0.00002</w:t>
                  </w:r>
                </w:p>
              </w:tc>
              <w:tc>
                <w:tcPr>
                  <w:tcW w:w="466" w:type="pct"/>
                  <w:vMerge w:val="continue"/>
                  <w:noWrap w:val="0"/>
                  <w:vAlign w:val="center"/>
                </w:tcPr>
                <w:p w14:paraId="3C9A751B">
                  <w:pPr>
                    <w:pStyle w:val="107"/>
                    <w:widowControl/>
                    <w:ind w:firstLine="0" w:firstLineChars="0"/>
                    <w:jc w:val="center"/>
                    <w:rPr>
                      <w:rFonts w:ascii="Times New Roman" w:hAnsi="Times New Roman" w:eastAsia="宋体"/>
                      <w:color w:val="auto"/>
                      <w:sz w:val="21"/>
                      <w:szCs w:val="21"/>
                      <w:highlight w:val="none"/>
                    </w:rPr>
                  </w:pPr>
                </w:p>
              </w:tc>
              <w:tc>
                <w:tcPr>
                  <w:tcW w:w="466" w:type="pct"/>
                  <w:vMerge w:val="continue"/>
                  <w:noWrap w:val="0"/>
                  <w:vAlign w:val="center"/>
                </w:tcPr>
                <w:p w14:paraId="67C4BC34">
                  <w:pPr>
                    <w:pStyle w:val="107"/>
                    <w:widowControl/>
                    <w:ind w:firstLine="0" w:firstLineChars="0"/>
                    <w:jc w:val="center"/>
                    <w:rPr>
                      <w:rFonts w:ascii="Times New Roman" w:hAnsi="Times New Roman" w:eastAsia="宋体"/>
                      <w:color w:val="auto"/>
                      <w:sz w:val="21"/>
                      <w:szCs w:val="21"/>
                      <w:highlight w:val="none"/>
                    </w:rPr>
                  </w:pPr>
                </w:p>
              </w:tc>
              <w:tc>
                <w:tcPr>
                  <w:tcW w:w="466" w:type="pct"/>
                  <w:vMerge w:val="continue"/>
                  <w:noWrap w:val="0"/>
                  <w:vAlign w:val="center"/>
                </w:tcPr>
                <w:p w14:paraId="28ED8346">
                  <w:pPr>
                    <w:pStyle w:val="107"/>
                    <w:widowControl/>
                    <w:ind w:firstLine="0" w:firstLineChars="0"/>
                    <w:jc w:val="center"/>
                    <w:rPr>
                      <w:rFonts w:ascii="Times New Roman" w:hAnsi="Times New Roman" w:eastAsia="宋体"/>
                      <w:color w:val="auto"/>
                      <w:sz w:val="21"/>
                      <w:szCs w:val="21"/>
                      <w:highlight w:val="none"/>
                    </w:rPr>
                  </w:pPr>
                </w:p>
              </w:tc>
            </w:tr>
            <w:tr w14:paraId="1C26329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3" w:hRule="atLeast"/>
                <w:jc w:val="center"/>
              </w:trPr>
              <w:tc>
                <w:tcPr>
                  <w:tcW w:w="478" w:type="pct"/>
                  <w:vMerge w:val="continue"/>
                  <w:noWrap w:val="0"/>
                  <w:vAlign w:val="center"/>
                </w:tcPr>
                <w:p w14:paraId="5C09089E">
                  <w:pPr>
                    <w:pStyle w:val="107"/>
                    <w:widowControl/>
                    <w:ind w:firstLine="0" w:firstLineChars="0"/>
                    <w:jc w:val="center"/>
                    <w:rPr>
                      <w:rFonts w:hint="eastAsia" w:ascii="Times New Roman" w:hAnsi="Times New Roman" w:eastAsia="宋体"/>
                      <w:color w:val="auto"/>
                      <w:sz w:val="21"/>
                      <w:szCs w:val="21"/>
                      <w:highlight w:val="none"/>
                    </w:rPr>
                  </w:pPr>
                </w:p>
              </w:tc>
              <w:tc>
                <w:tcPr>
                  <w:tcW w:w="653" w:type="pct"/>
                  <w:vMerge w:val="continue"/>
                  <w:noWrap w:val="0"/>
                  <w:vAlign w:val="center"/>
                </w:tcPr>
                <w:p w14:paraId="22C20170">
                  <w:pPr>
                    <w:pStyle w:val="107"/>
                    <w:widowControl/>
                    <w:ind w:firstLine="0" w:firstLineChars="0"/>
                    <w:jc w:val="center"/>
                    <w:rPr>
                      <w:rFonts w:hint="eastAsia" w:ascii="Times New Roman" w:hAnsi="Times New Roman" w:eastAsia="宋体"/>
                      <w:color w:val="auto"/>
                      <w:sz w:val="21"/>
                      <w:szCs w:val="21"/>
                      <w:highlight w:val="none"/>
                    </w:rPr>
                  </w:pPr>
                </w:p>
              </w:tc>
              <w:tc>
                <w:tcPr>
                  <w:tcW w:w="355" w:type="pct"/>
                  <w:noWrap w:val="0"/>
                  <w:vAlign w:val="center"/>
                </w:tcPr>
                <w:p w14:paraId="082CB39A">
                  <w:pPr>
                    <w:pStyle w:val="98"/>
                    <w:adjustRightInd/>
                    <w:snapToGrid/>
                    <w:ind w:firstLine="0" w:firstLineChars="0"/>
                    <w:rPr>
                      <w:rFonts w:hint="eastAsia"/>
                      <w:color w:val="auto"/>
                      <w:szCs w:val="21"/>
                      <w:highlight w:val="none"/>
                      <w:lang w:val="en-US" w:eastAsia="zh-CN"/>
                    </w:rPr>
                  </w:pPr>
                  <w:r>
                    <w:rPr>
                      <w:rFonts w:hint="eastAsia"/>
                      <w:color w:val="auto"/>
                      <w:szCs w:val="21"/>
                      <w:highlight w:val="none"/>
                      <w:lang w:val="en-US" w:eastAsia="zh-CN"/>
                    </w:rPr>
                    <w:t>非甲烷总烃</w:t>
                  </w:r>
                </w:p>
              </w:tc>
              <w:tc>
                <w:tcPr>
                  <w:tcW w:w="273" w:type="pct"/>
                  <w:vMerge w:val="continue"/>
                  <w:noWrap w:val="0"/>
                  <w:vAlign w:val="center"/>
                </w:tcPr>
                <w:p w14:paraId="602BECFA">
                  <w:pPr>
                    <w:pStyle w:val="98"/>
                    <w:adjustRightInd/>
                    <w:snapToGrid/>
                    <w:ind w:firstLine="0" w:firstLineChars="0"/>
                    <w:rPr>
                      <w:rFonts w:hint="eastAsia"/>
                      <w:color w:val="auto"/>
                      <w:szCs w:val="21"/>
                      <w:highlight w:val="none"/>
                      <w:lang w:val="en-US" w:eastAsia="zh-CN"/>
                    </w:rPr>
                  </w:pPr>
                </w:p>
              </w:tc>
              <w:tc>
                <w:tcPr>
                  <w:tcW w:w="467" w:type="pct"/>
                  <w:vMerge w:val="continue"/>
                  <w:noWrap w:val="0"/>
                  <w:vAlign w:val="center"/>
                </w:tcPr>
                <w:p w14:paraId="551796E4">
                  <w:pPr>
                    <w:pStyle w:val="107"/>
                    <w:widowControl/>
                    <w:ind w:firstLine="0" w:firstLineChars="0"/>
                    <w:jc w:val="center"/>
                    <w:rPr>
                      <w:rFonts w:hint="eastAsia" w:ascii="Times New Roman" w:hAnsi="Times New Roman" w:eastAsia="宋体"/>
                      <w:color w:val="auto"/>
                      <w:sz w:val="21"/>
                      <w:szCs w:val="21"/>
                      <w:highlight w:val="none"/>
                    </w:rPr>
                  </w:pPr>
                </w:p>
              </w:tc>
              <w:tc>
                <w:tcPr>
                  <w:tcW w:w="638" w:type="pct"/>
                  <w:noWrap w:val="0"/>
                  <w:vAlign w:val="center"/>
                </w:tcPr>
                <w:p w14:paraId="3833C9DD">
                  <w:pPr>
                    <w:pStyle w:val="98"/>
                    <w:adjustRightInd/>
                    <w:snapToGrid/>
                    <w:ind w:firstLine="0" w:firstLineChars="0"/>
                    <w:rPr>
                      <w:rFonts w:hint="default"/>
                      <w:color w:val="auto"/>
                      <w:szCs w:val="21"/>
                      <w:highlight w:val="none"/>
                      <w:lang w:val="en-US" w:eastAsia="zh-CN"/>
                    </w:rPr>
                  </w:pPr>
                  <w:r>
                    <w:rPr>
                      <w:rFonts w:hint="eastAsia"/>
                      <w:color w:val="auto"/>
                      <w:szCs w:val="21"/>
                      <w:highlight w:val="none"/>
                      <w:lang w:val="en-US" w:eastAsia="zh-CN"/>
                    </w:rPr>
                    <w:t>0.0024</w:t>
                  </w:r>
                </w:p>
              </w:tc>
              <w:tc>
                <w:tcPr>
                  <w:tcW w:w="733" w:type="pct"/>
                  <w:noWrap w:val="0"/>
                  <w:vAlign w:val="center"/>
                </w:tcPr>
                <w:p w14:paraId="79C47CEF">
                  <w:pPr>
                    <w:pStyle w:val="98"/>
                    <w:adjustRightInd/>
                    <w:snapToGrid/>
                    <w:ind w:firstLine="0" w:firstLineChars="0"/>
                    <w:rPr>
                      <w:rFonts w:hint="default"/>
                      <w:color w:val="auto"/>
                      <w:szCs w:val="21"/>
                      <w:highlight w:val="none"/>
                      <w:lang w:val="en-US" w:eastAsia="zh-CN"/>
                    </w:rPr>
                  </w:pPr>
                  <w:r>
                    <w:rPr>
                      <w:rFonts w:hint="eastAsia"/>
                      <w:color w:val="auto"/>
                      <w:szCs w:val="21"/>
                      <w:highlight w:val="none"/>
                      <w:lang w:val="en-US" w:eastAsia="zh-CN"/>
                    </w:rPr>
                    <w:t>0.0006</w:t>
                  </w:r>
                </w:p>
              </w:tc>
              <w:tc>
                <w:tcPr>
                  <w:tcW w:w="466" w:type="pct"/>
                  <w:vMerge w:val="continue"/>
                  <w:noWrap w:val="0"/>
                  <w:vAlign w:val="center"/>
                </w:tcPr>
                <w:p w14:paraId="2DB9E361">
                  <w:pPr>
                    <w:pStyle w:val="107"/>
                    <w:widowControl/>
                    <w:ind w:firstLine="0" w:firstLineChars="0"/>
                    <w:jc w:val="center"/>
                    <w:rPr>
                      <w:rFonts w:ascii="Times New Roman" w:hAnsi="Times New Roman" w:eastAsia="宋体"/>
                      <w:color w:val="auto"/>
                      <w:sz w:val="21"/>
                      <w:szCs w:val="21"/>
                      <w:highlight w:val="none"/>
                    </w:rPr>
                  </w:pPr>
                </w:p>
              </w:tc>
              <w:tc>
                <w:tcPr>
                  <w:tcW w:w="466" w:type="pct"/>
                  <w:vMerge w:val="continue"/>
                  <w:noWrap w:val="0"/>
                  <w:vAlign w:val="center"/>
                </w:tcPr>
                <w:p w14:paraId="4903BC1F">
                  <w:pPr>
                    <w:pStyle w:val="107"/>
                    <w:widowControl/>
                    <w:ind w:firstLine="0" w:firstLineChars="0"/>
                    <w:jc w:val="center"/>
                    <w:rPr>
                      <w:rFonts w:ascii="Times New Roman" w:hAnsi="Times New Roman" w:eastAsia="宋体"/>
                      <w:color w:val="auto"/>
                      <w:sz w:val="21"/>
                      <w:szCs w:val="21"/>
                      <w:highlight w:val="none"/>
                    </w:rPr>
                  </w:pPr>
                </w:p>
              </w:tc>
              <w:tc>
                <w:tcPr>
                  <w:tcW w:w="466" w:type="pct"/>
                  <w:vMerge w:val="continue"/>
                  <w:noWrap w:val="0"/>
                  <w:vAlign w:val="center"/>
                </w:tcPr>
                <w:p w14:paraId="66ECBEF9">
                  <w:pPr>
                    <w:pStyle w:val="107"/>
                    <w:widowControl/>
                    <w:ind w:firstLine="0" w:firstLineChars="0"/>
                    <w:jc w:val="center"/>
                    <w:rPr>
                      <w:rFonts w:ascii="Times New Roman" w:hAnsi="Times New Roman" w:eastAsia="宋体"/>
                      <w:color w:val="auto"/>
                      <w:sz w:val="21"/>
                      <w:szCs w:val="21"/>
                      <w:highlight w:val="none"/>
                    </w:rPr>
                  </w:pPr>
                </w:p>
              </w:tc>
            </w:tr>
            <w:tr w14:paraId="69F6B4B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478" w:type="pct"/>
                  <w:noWrap w:val="0"/>
                  <w:vAlign w:val="center"/>
                </w:tcPr>
                <w:p w14:paraId="0F70F815">
                  <w:pPr>
                    <w:pStyle w:val="107"/>
                    <w:widowControl/>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食堂</w:t>
                  </w:r>
                </w:p>
              </w:tc>
              <w:tc>
                <w:tcPr>
                  <w:tcW w:w="653" w:type="pct"/>
                  <w:noWrap w:val="0"/>
                  <w:vAlign w:val="center"/>
                </w:tcPr>
                <w:p w14:paraId="103A9659">
                  <w:pPr>
                    <w:pStyle w:val="107"/>
                    <w:widowControl/>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食堂油烟</w:t>
                  </w:r>
                </w:p>
              </w:tc>
              <w:tc>
                <w:tcPr>
                  <w:tcW w:w="628" w:type="pct"/>
                  <w:gridSpan w:val="2"/>
                  <w:noWrap w:val="0"/>
                  <w:vAlign w:val="center"/>
                </w:tcPr>
                <w:p w14:paraId="63556CED">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油烟</w:t>
                  </w:r>
                </w:p>
              </w:tc>
              <w:tc>
                <w:tcPr>
                  <w:tcW w:w="467" w:type="pct"/>
                  <w:noWrap w:val="0"/>
                  <w:vAlign w:val="center"/>
                </w:tcPr>
                <w:p w14:paraId="57F3A364">
                  <w:pPr>
                    <w:pStyle w:val="107"/>
                    <w:widowControl/>
                    <w:ind w:firstLine="0" w:firstLineChars="0"/>
                    <w:jc w:val="center"/>
                    <w:rPr>
                      <w:rFonts w:hint="default" w:ascii="Times New Roman" w:hAnsi="Times New Roman" w:eastAsia="宋体"/>
                      <w:color w:val="auto"/>
                      <w:sz w:val="21"/>
                      <w:szCs w:val="21"/>
                      <w:highlight w:val="none"/>
                      <w:lang w:val="en-US"/>
                    </w:rPr>
                  </w:pPr>
                  <w:r>
                    <w:rPr>
                      <w:rFonts w:hint="eastAsia" w:ascii="Times New Roman" w:hAnsi="Times New Roman" w:eastAsia="宋体"/>
                      <w:color w:val="auto"/>
                      <w:sz w:val="21"/>
                      <w:szCs w:val="21"/>
                      <w:highlight w:val="none"/>
                      <w:lang w:val="en-US" w:eastAsia="zh-CN"/>
                    </w:rPr>
                    <w:t>480</w:t>
                  </w:r>
                </w:p>
              </w:tc>
              <w:tc>
                <w:tcPr>
                  <w:tcW w:w="638" w:type="pct"/>
                  <w:shd w:val="clear" w:color="auto" w:fill="auto"/>
                  <w:noWrap w:val="0"/>
                  <w:vAlign w:val="center"/>
                </w:tcPr>
                <w:p w14:paraId="03F4FF28">
                  <w:pPr>
                    <w:pStyle w:val="107"/>
                    <w:widowControl/>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8</w:t>
                  </w:r>
                  <w:r>
                    <w:rPr>
                      <w:rFonts w:hint="default" w:ascii="Arial" w:hAnsi="Arial" w:eastAsia="宋体" w:cs="Arial"/>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10</w:t>
                  </w:r>
                  <w:r>
                    <w:rPr>
                      <w:rFonts w:hint="eastAsia" w:ascii="Times New Roman" w:hAnsi="Times New Roman" w:eastAsia="宋体"/>
                      <w:color w:val="auto"/>
                      <w:sz w:val="21"/>
                      <w:szCs w:val="21"/>
                      <w:highlight w:val="none"/>
                      <w:vertAlign w:val="superscript"/>
                      <w:lang w:val="en-US" w:eastAsia="zh-CN"/>
                    </w:rPr>
                    <w:t>-4</w:t>
                  </w:r>
                </w:p>
              </w:tc>
              <w:tc>
                <w:tcPr>
                  <w:tcW w:w="733" w:type="pct"/>
                  <w:shd w:val="clear" w:color="auto" w:fill="auto"/>
                  <w:noWrap w:val="0"/>
                  <w:vAlign w:val="center"/>
                </w:tcPr>
                <w:p w14:paraId="39C3200E">
                  <w:pPr>
                    <w:pStyle w:val="107"/>
                    <w:widowControl/>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1.67</w:t>
                  </w:r>
                  <w:r>
                    <w:rPr>
                      <w:rFonts w:hint="default" w:ascii="Arial" w:hAnsi="Arial" w:eastAsia="宋体" w:cs="Arial"/>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10</w:t>
                  </w:r>
                  <w:r>
                    <w:rPr>
                      <w:rFonts w:hint="eastAsia" w:ascii="Times New Roman" w:hAnsi="Times New Roman" w:eastAsia="宋体"/>
                      <w:color w:val="auto"/>
                      <w:sz w:val="21"/>
                      <w:szCs w:val="21"/>
                      <w:highlight w:val="none"/>
                      <w:vertAlign w:val="superscript"/>
                      <w:lang w:val="en-US" w:eastAsia="zh-CN"/>
                    </w:rPr>
                    <w:t>-3</w:t>
                  </w:r>
                </w:p>
              </w:tc>
              <w:tc>
                <w:tcPr>
                  <w:tcW w:w="466" w:type="pct"/>
                  <w:noWrap w:val="0"/>
                  <w:vAlign w:val="center"/>
                </w:tcPr>
                <w:p w14:paraId="7FAEE750">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7.6</w:t>
                  </w:r>
                </w:p>
              </w:tc>
              <w:tc>
                <w:tcPr>
                  <w:tcW w:w="466" w:type="pct"/>
                  <w:noWrap w:val="0"/>
                  <w:vAlign w:val="center"/>
                </w:tcPr>
                <w:p w14:paraId="5A52EA39">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4.7</w:t>
                  </w:r>
                </w:p>
              </w:tc>
              <w:tc>
                <w:tcPr>
                  <w:tcW w:w="466" w:type="pct"/>
                  <w:noWrap w:val="0"/>
                  <w:vAlign w:val="center"/>
                </w:tcPr>
                <w:p w14:paraId="1717D960">
                  <w:pPr>
                    <w:pStyle w:val="107"/>
                    <w:widowControl/>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4.7</w:t>
                  </w:r>
                </w:p>
              </w:tc>
            </w:tr>
            <w:tr w14:paraId="26FC788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132" w:type="pct"/>
                  <w:gridSpan w:val="2"/>
                  <w:vMerge w:val="restart"/>
                  <w:noWrap w:val="0"/>
                  <w:vAlign w:val="center"/>
                </w:tcPr>
                <w:p w14:paraId="75EBE9C3">
                  <w:pPr>
                    <w:pStyle w:val="107"/>
                    <w:widowControl/>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合计</w:t>
                  </w:r>
                </w:p>
              </w:tc>
              <w:tc>
                <w:tcPr>
                  <w:tcW w:w="628" w:type="pct"/>
                  <w:gridSpan w:val="2"/>
                  <w:noWrap w:val="0"/>
                  <w:vAlign w:val="center"/>
                </w:tcPr>
                <w:p w14:paraId="242AE9CE">
                  <w:pPr>
                    <w:pStyle w:val="98"/>
                    <w:widowControl w:val="0"/>
                    <w:kinsoku/>
                    <w:autoSpaceDE/>
                    <w:autoSpaceDN/>
                    <w:adjustRightInd/>
                    <w:snapToGrid/>
                    <w:ind w:firstLine="0" w:firstLineChars="0"/>
                    <w:jc w:val="center"/>
                    <w:textAlignment w:val="auto"/>
                    <w:rPr>
                      <w:rFonts w:hint="default" w:ascii="Times New Roman" w:hAnsi="Times New Roman" w:eastAsia="宋体" w:cs="Times New Roman"/>
                      <w:snapToGrid/>
                      <w:color w:val="auto"/>
                      <w:kern w:val="2"/>
                      <w:szCs w:val="24"/>
                      <w:highlight w:val="none"/>
                      <w:lang w:val="en-US" w:eastAsia="zh-CN"/>
                    </w:rPr>
                  </w:pPr>
                  <w:r>
                    <w:rPr>
                      <w:rFonts w:hint="eastAsia" w:ascii="Times New Roman" w:hAnsi="Times New Roman" w:eastAsia="宋体" w:cs="Times New Roman"/>
                      <w:snapToGrid/>
                      <w:color w:val="auto"/>
                      <w:kern w:val="2"/>
                      <w:szCs w:val="24"/>
                      <w:highlight w:val="none"/>
                      <w:lang w:val="en-US" w:eastAsia="zh-CN"/>
                    </w:rPr>
                    <w:t>颗粒物</w:t>
                  </w:r>
                </w:p>
              </w:tc>
              <w:tc>
                <w:tcPr>
                  <w:tcW w:w="467" w:type="pct"/>
                  <w:noWrap w:val="0"/>
                  <w:vAlign w:val="center"/>
                </w:tcPr>
                <w:p w14:paraId="336F88A8">
                  <w:pPr>
                    <w:pStyle w:val="107"/>
                    <w:widowControl/>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w:t>
                  </w:r>
                </w:p>
              </w:tc>
              <w:tc>
                <w:tcPr>
                  <w:tcW w:w="638" w:type="pct"/>
                  <w:noWrap w:val="0"/>
                  <w:vAlign w:val="center"/>
                </w:tcPr>
                <w:p w14:paraId="14432B61">
                  <w:pPr>
                    <w:pStyle w:val="98"/>
                    <w:adjustRightInd/>
                    <w:snapToGrid/>
                    <w:ind w:firstLine="0" w:firstLineChars="0"/>
                    <w:rPr>
                      <w:rFonts w:hint="default"/>
                      <w:color w:val="auto"/>
                      <w:szCs w:val="21"/>
                      <w:highlight w:val="none"/>
                      <w:lang w:val="en-US" w:eastAsia="zh-CN"/>
                    </w:rPr>
                  </w:pPr>
                  <w:r>
                    <w:rPr>
                      <w:rFonts w:hint="eastAsia"/>
                      <w:color w:val="auto"/>
                      <w:szCs w:val="21"/>
                      <w:highlight w:val="none"/>
                      <w:lang w:val="en-US" w:eastAsia="zh-CN"/>
                    </w:rPr>
                    <w:t>5.942</w:t>
                  </w:r>
                </w:p>
              </w:tc>
              <w:tc>
                <w:tcPr>
                  <w:tcW w:w="733" w:type="pct"/>
                  <w:noWrap w:val="0"/>
                  <w:vAlign w:val="center"/>
                </w:tcPr>
                <w:p w14:paraId="4CA2033B">
                  <w:pPr>
                    <w:pStyle w:val="107"/>
                    <w:widowControl/>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w:t>
                  </w:r>
                </w:p>
              </w:tc>
              <w:tc>
                <w:tcPr>
                  <w:tcW w:w="466" w:type="pct"/>
                  <w:noWrap w:val="0"/>
                  <w:vAlign w:val="center"/>
                </w:tcPr>
                <w:p w14:paraId="3610A077">
                  <w:pPr>
                    <w:pStyle w:val="107"/>
                    <w:widowControl/>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w:t>
                  </w:r>
                </w:p>
              </w:tc>
              <w:tc>
                <w:tcPr>
                  <w:tcW w:w="466" w:type="pct"/>
                  <w:noWrap w:val="0"/>
                  <w:vAlign w:val="center"/>
                </w:tcPr>
                <w:p w14:paraId="12D11887">
                  <w:pPr>
                    <w:pStyle w:val="107"/>
                    <w:widowControl/>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w:t>
                  </w:r>
                </w:p>
              </w:tc>
              <w:tc>
                <w:tcPr>
                  <w:tcW w:w="466" w:type="pct"/>
                  <w:noWrap w:val="0"/>
                  <w:vAlign w:val="center"/>
                </w:tcPr>
                <w:p w14:paraId="66949B58">
                  <w:pPr>
                    <w:pStyle w:val="107"/>
                    <w:widowControl/>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w:t>
                  </w:r>
                </w:p>
              </w:tc>
            </w:tr>
            <w:tr w14:paraId="531850A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132" w:type="pct"/>
                  <w:gridSpan w:val="2"/>
                  <w:vMerge w:val="continue"/>
                  <w:noWrap w:val="0"/>
                  <w:vAlign w:val="center"/>
                </w:tcPr>
                <w:p w14:paraId="0B87CA34">
                  <w:pPr>
                    <w:pStyle w:val="107"/>
                    <w:widowControl/>
                    <w:ind w:firstLine="0" w:firstLineChars="0"/>
                    <w:jc w:val="center"/>
                    <w:rPr>
                      <w:rFonts w:ascii="Times New Roman" w:hAnsi="Times New Roman" w:eastAsia="宋体"/>
                      <w:color w:val="auto"/>
                      <w:sz w:val="21"/>
                      <w:szCs w:val="21"/>
                      <w:highlight w:val="none"/>
                    </w:rPr>
                  </w:pPr>
                </w:p>
              </w:tc>
              <w:tc>
                <w:tcPr>
                  <w:tcW w:w="628" w:type="pct"/>
                  <w:gridSpan w:val="2"/>
                  <w:noWrap w:val="0"/>
                  <w:vAlign w:val="center"/>
                </w:tcPr>
                <w:p w14:paraId="245EF209">
                  <w:pPr>
                    <w:pStyle w:val="98"/>
                    <w:widowControl w:val="0"/>
                    <w:kinsoku/>
                    <w:autoSpaceDE/>
                    <w:autoSpaceDN/>
                    <w:adjustRightInd/>
                    <w:snapToGrid/>
                    <w:ind w:firstLine="0" w:firstLineChars="0"/>
                    <w:jc w:val="center"/>
                    <w:textAlignment w:val="auto"/>
                    <w:rPr>
                      <w:rFonts w:ascii="Times New Roman" w:hAnsi="Times New Roman" w:eastAsia="宋体"/>
                      <w:color w:val="auto"/>
                      <w:sz w:val="21"/>
                      <w:szCs w:val="21"/>
                      <w:highlight w:val="none"/>
                    </w:rPr>
                  </w:pPr>
                  <w:r>
                    <w:rPr>
                      <w:rFonts w:hint="eastAsia" w:ascii="Times New Roman" w:hAnsi="Times New Roman" w:eastAsia="宋体" w:cs="Times New Roman"/>
                      <w:snapToGrid/>
                      <w:color w:val="auto"/>
                      <w:kern w:val="2"/>
                      <w:szCs w:val="24"/>
                      <w:highlight w:val="none"/>
                      <w:lang w:val="en-US" w:eastAsia="zh-CN"/>
                    </w:rPr>
                    <w:t>沥青烟</w:t>
                  </w:r>
                </w:p>
              </w:tc>
              <w:tc>
                <w:tcPr>
                  <w:tcW w:w="467" w:type="pct"/>
                  <w:vMerge w:val="restart"/>
                  <w:noWrap w:val="0"/>
                  <w:vAlign w:val="center"/>
                </w:tcPr>
                <w:p w14:paraId="1FEB7A62">
                  <w:pPr>
                    <w:pStyle w:val="107"/>
                    <w:widowControl/>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c>
                <w:tcPr>
                  <w:tcW w:w="638" w:type="pct"/>
                  <w:noWrap w:val="0"/>
                  <w:vAlign w:val="center"/>
                </w:tcPr>
                <w:p w14:paraId="40710A1B">
                  <w:pPr>
                    <w:pStyle w:val="98"/>
                    <w:adjustRightInd/>
                    <w:snapToGrid/>
                    <w:ind w:firstLine="0" w:firstLineChars="0"/>
                    <w:rPr>
                      <w:rFonts w:hint="default" w:ascii="Times New Roman" w:hAnsi="Times New Roman" w:eastAsia="宋体"/>
                      <w:color w:val="auto"/>
                      <w:sz w:val="21"/>
                      <w:szCs w:val="21"/>
                      <w:highlight w:val="none"/>
                      <w:lang w:val="en-US" w:eastAsia="zh-CN"/>
                    </w:rPr>
                  </w:pPr>
                  <w:r>
                    <w:rPr>
                      <w:rFonts w:hint="eastAsia"/>
                      <w:color w:val="auto"/>
                      <w:szCs w:val="21"/>
                      <w:highlight w:val="none"/>
                      <w:lang w:val="en-US" w:eastAsia="zh-CN"/>
                    </w:rPr>
                    <w:t>0.1128</w:t>
                  </w:r>
                </w:p>
              </w:tc>
              <w:tc>
                <w:tcPr>
                  <w:tcW w:w="733" w:type="pct"/>
                  <w:noWrap w:val="0"/>
                  <w:vAlign w:val="center"/>
                </w:tcPr>
                <w:p w14:paraId="776BE0A5">
                  <w:pPr>
                    <w:pStyle w:val="107"/>
                    <w:widowControl/>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c>
                <w:tcPr>
                  <w:tcW w:w="466" w:type="pct"/>
                  <w:noWrap w:val="0"/>
                  <w:vAlign w:val="center"/>
                </w:tcPr>
                <w:p w14:paraId="727FAE4C">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c>
                <w:tcPr>
                  <w:tcW w:w="466" w:type="pct"/>
                  <w:noWrap w:val="0"/>
                  <w:vAlign w:val="center"/>
                </w:tcPr>
                <w:p w14:paraId="107E3B61">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c>
                <w:tcPr>
                  <w:tcW w:w="466" w:type="pct"/>
                  <w:noWrap w:val="0"/>
                  <w:vAlign w:val="center"/>
                </w:tcPr>
                <w:p w14:paraId="783FD2B3">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r>
            <w:tr w14:paraId="15DB2A2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132" w:type="pct"/>
                  <w:gridSpan w:val="2"/>
                  <w:vMerge w:val="continue"/>
                  <w:noWrap w:val="0"/>
                  <w:vAlign w:val="center"/>
                </w:tcPr>
                <w:p w14:paraId="750C9B90">
                  <w:pPr>
                    <w:pStyle w:val="107"/>
                    <w:widowControl/>
                    <w:ind w:firstLine="0" w:firstLineChars="0"/>
                    <w:jc w:val="center"/>
                    <w:rPr>
                      <w:rFonts w:hint="eastAsia" w:ascii="Times New Roman" w:hAnsi="Times New Roman" w:eastAsia="宋体"/>
                      <w:color w:val="auto"/>
                      <w:sz w:val="21"/>
                      <w:szCs w:val="21"/>
                      <w:highlight w:val="none"/>
                    </w:rPr>
                  </w:pPr>
                </w:p>
              </w:tc>
              <w:tc>
                <w:tcPr>
                  <w:tcW w:w="628" w:type="pct"/>
                  <w:gridSpan w:val="2"/>
                  <w:noWrap w:val="0"/>
                  <w:vAlign w:val="center"/>
                </w:tcPr>
                <w:p w14:paraId="0D0ACD82">
                  <w:pPr>
                    <w:pStyle w:val="98"/>
                    <w:adjustRightInd/>
                    <w:snapToGrid/>
                    <w:ind w:firstLine="0" w:firstLineChars="0"/>
                    <w:rPr>
                      <w:rFonts w:hint="eastAsia"/>
                      <w:color w:val="auto"/>
                      <w:szCs w:val="21"/>
                      <w:highlight w:val="none"/>
                    </w:rPr>
                  </w:pPr>
                  <w:r>
                    <w:rPr>
                      <w:rFonts w:hint="eastAsia" w:ascii="Times New Roman" w:hAnsi="Times New Roman" w:eastAsia="宋体" w:cs="Times New Roman"/>
                      <w:color w:val="auto"/>
                      <w:highlight w:val="none"/>
                      <w:lang w:val="en-US" w:eastAsia="zh-CN"/>
                    </w:rPr>
                    <w:t>苯并[a]芘</w:t>
                  </w:r>
                </w:p>
              </w:tc>
              <w:tc>
                <w:tcPr>
                  <w:tcW w:w="467" w:type="pct"/>
                  <w:vMerge w:val="continue"/>
                  <w:noWrap w:val="0"/>
                  <w:vAlign w:val="center"/>
                </w:tcPr>
                <w:p w14:paraId="5EF070FA">
                  <w:pPr>
                    <w:pStyle w:val="107"/>
                    <w:widowControl/>
                    <w:ind w:firstLine="0" w:firstLineChars="0"/>
                    <w:jc w:val="center"/>
                    <w:rPr>
                      <w:rFonts w:hint="eastAsia" w:ascii="Times New Roman" w:hAnsi="Times New Roman" w:eastAsia="宋体"/>
                      <w:color w:val="auto"/>
                      <w:sz w:val="21"/>
                      <w:szCs w:val="21"/>
                      <w:highlight w:val="none"/>
                    </w:rPr>
                  </w:pPr>
                </w:p>
              </w:tc>
              <w:tc>
                <w:tcPr>
                  <w:tcW w:w="638" w:type="pct"/>
                  <w:noWrap w:val="0"/>
                  <w:vAlign w:val="center"/>
                </w:tcPr>
                <w:p w14:paraId="17E16380">
                  <w:pPr>
                    <w:pStyle w:val="98"/>
                    <w:adjustRightInd/>
                    <w:snapToGrid/>
                    <w:ind w:firstLine="0" w:firstLineChars="0"/>
                    <w:rPr>
                      <w:color w:val="auto"/>
                      <w:szCs w:val="21"/>
                      <w:highlight w:val="none"/>
                    </w:rPr>
                  </w:pPr>
                  <w:r>
                    <w:rPr>
                      <w:rFonts w:hint="eastAsia"/>
                      <w:color w:val="auto"/>
                      <w:szCs w:val="21"/>
                      <w:highlight w:val="none"/>
                      <w:lang w:val="en-US" w:eastAsia="zh-CN"/>
                    </w:rPr>
                    <w:t>0.00015</w:t>
                  </w:r>
                </w:p>
              </w:tc>
              <w:tc>
                <w:tcPr>
                  <w:tcW w:w="733" w:type="pct"/>
                  <w:noWrap w:val="0"/>
                  <w:vAlign w:val="center"/>
                </w:tcPr>
                <w:p w14:paraId="5CB2D539">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c>
                <w:tcPr>
                  <w:tcW w:w="466" w:type="pct"/>
                  <w:noWrap w:val="0"/>
                  <w:vAlign w:val="center"/>
                </w:tcPr>
                <w:p w14:paraId="0A26AAB4">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c>
                <w:tcPr>
                  <w:tcW w:w="466" w:type="pct"/>
                  <w:noWrap w:val="0"/>
                  <w:vAlign w:val="center"/>
                </w:tcPr>
                <w:p w14:paraId="50050B1B">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c>
                <w:tcPr>
                  <w:tcW w:w="466" w:type="pct"/>
                  <w:noWrap w:val="0"/>
                  <w:vAlign w:val="center"/>
                </w:tcPr>
                <w:p w14:paraId="054F0B9B">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r>
            <w:tr w14:paraId="434377A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132" w:type="pct"/>
                  <w:gridSpan w:val="2"/>
                  <w:vMerge w:val="continue"/>
                  <w:noWrap w:val="0"/>
                  <w:vAlign w:val="center"/>
                </w:tcPr>
                <w:p w14:paraId="688AF57E">
                  <w:pPr>
                    <w:pStyle w:val="107"/>
                    <w:widowControl/>
                    <w:ind w:firstLine="0" w:firstLineChars="0"/>
                    <w:jc w:val="center"/>
                    <w:rPr>
                      <w:rFonts w:hint="eastAsia" w:ascii="Times New Roman" w:hAnsi="Times New Roman" w:eastAsia="宋体"/>
                      <w:color w:val="auto"/>
                      <w:sz w:val="21"/>
                      <w:szCs w:val="21"/>
                      <w:highlight w:val="none"/>
                    </w:rPr>
                  </w:pPr>
                </w:p>
              </w:tc>
              <w:tc>
                <w:tcPr>
                  <w:tcW w:w="628" w:type="pct"/>
                  <w:gridSpan w:val="2"/>
                  <w:noWrap w:val="0"/>
                  <w:vAlign w:val="center"/>
                </w:tcPr>
                <w:p w14:paraId="736CBBB8">
                  <w:pPr>
                    <w:pStyle w:val="98"/>
                    <w:adjustRightInd/>
                    <w:snapToGrid/>
                    <w:ind w:firstLine="0" w:firstLineChars="0"/>
                    <w:rPr>
                      <w:rFonts w:hint="eastAsia"/>
                      <w:color w:val="auto"/>
                      <w:szCs w:val="21"/>
                      <w:highlight w:val="none"/>
                    </w:rPr>
                  </w:pPr>
                  <w:r>
                    <w:rPr>
                      <w:rFonts w:hint="eastAsia"/>
                      <w:color w:val="auto"/>
                      <w:szCs w:val="21"/>
                      <w:highlight w:val="none"/>
                      <w:lang w:val="en-US" w:eastAsia="zh-CN"/>
                    </w:rPr>
                    <w:t>非甲烷总烃</w:t>
                  </w:r>
                </w:p>
              </w:tc>
              <w:tc>
                <w:tcPr>
                  <w:tcW w:w="467" w:type="pct"/>
                  <w:vMerge w:val="continue"/>
                  <w:noWrap w:val="0"/>
                  <w:vAlign w:val="center"/>
                </w:tcPr>
                <w:p w14:paraId="531FEB51">
                  <w:pPr>
                    <w:pStyle w:val="107"/>
                    <w:widowControl/>
                    <w:ind w:firstLine="0" w:firstLineChars="0"/>
                    <w:jc w:val="center"/>
                    <w:rPr>
                      <w:rFonts w:hint="eastAsia" w:ascii="Times New Roman" w:hAnsi="Times New Roman" w:eastAsia="宋体"/>
                      <w:color w:val="auto"/>
                      <w:sz w:val="21"/>
                      <w:szCs w:val="21"/>
                      <w:highlight w:val="none"/>
                    </w:rPr>
                  </w:pPr>
                </w:p>
              </w:tc>
              <w:tc>
                <w:tcPr>
                  <w:tcW w:w="638" w:type="pct"/>
                  <w:noWrap w:val="0"/>
                  <w:vAlign w:val="center"/>
                </w:tcPr>
                <w:p w14:paraId="4CDCF1C2">
                  <w:pPr>
                    <w:pStyle w:val="98"/>
                    <w:adjustRightInd/>
                    <w:snapToGrid/>
                    <w:ind w:firstLine="0" w:firstLineChars="0"/>
                    <w:rPr>
                      <w:rFonts w:hint="default"/>
                      <w:color w:val="auto"/>
                      <w:szCs w:val="21"/>
                      <w:highlight w:val="none"/>
                      <w:lang w:val="en-US"/>
                    </w:rPr>
                  </w:pPr>
                  <w:r>
                    <w:rPr>
                      <w:rFonts w:hint="eastAsia"/>
                      <w:color w:val="auto"/>
                      <w:szCs w:val="21"/>
                      <w:highlight w:val="none"/>
                      <w:lang w:val="en-US" w:eastAsia="zh-CN"/>
                    </w:rPr>
                    <w:t>0.0036</w:t>
                  </w:r>
                </w:p>
              </w:tc>
              <w:tc>
                <w:tcPr>
                  <w:tcW w:w="733" w:type="pct"/>
                  <w:noWrap w:val="0"/>
                  <w:vAlign w:val="center"/>
                </w:tcPr>
                <w:p w14:paraId="1C368B08">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c>
                <w:tcPr>
                  <w:tcW w:w="466" w:type="pct"/>
                  <w:noWrap w:val="0"/>
                  <w:vAlign w:val="center"/>
                </w:tcPr>
                <w:p w14:paraId="3A1D3CE9">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c>
                <w:tcPr>
                  <w:tcW w:w="466" w:type="pct"/>
                  <w:noWrap w:val="0"/>
                  <w:vAlign w:val="center"/>
                </w:tcPr>
                <w:p w14:paraId="5568FAB2">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c>
                <w:tcPr>
                  <w:tcW w:w="466" w:type="pct"/>
                  <w:noWrap w:val="0"/>
                  <w:vAlign w:val="center"/>
                </w:tcPr>
                <w:p w14:paraId="36B89F90">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r>
            <w:tr w14:paraId="00625B4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132" w:type="pct"/>
                  <w:gridSpan w:val="2"/>
                  <w:vMerge w:val="continue"/>
                  <w:noWrap w:val="0"/>
                  <w:vAlign w:val="center"/>
                </w:tcPr>
                <w:p w14:paraId="48E29711">
                  <w:pPr>
                    <w:pStyle w:val="107"/>
                    <w:widowControl/>
                    <w:ind w:firstLine="0" w:firstLineChars="0"/>
                    <w:jc w:val="center"/>
                    <w:rPr>
                      <w:rFonts w:ascii="Times New Roman" w:hAnsi="Times New Roman" w:eastAsia="宋体"/>
                      <w:color w:val="auto"/>
                      <w:sz w:val="21"/>
                      <w:szCs w:val="21"/>
                      <w:highlight w:val="none"/>
                    </w:rPr>
                  </w:pPr>
                </w:p>
              </w:tc>
              <w:tc>
                <w:tcPr>
                  <w:tcW w:w="628" w:type="pct"/>
                  <w:gridSpan w:val="2"/>
                  <w:noWrap w:val="0"/>
                  <w:vAlign w:val="center"/>
                </w:tcPr>
                <w:p w14:paraId="1AA6C7F2">
                  <w:pPr>
                    <w:pStyle w:val="107"/>
                    <w:widowControl/>
                    <w:ind w:firstLine="0" w:firstLineChars="0"/>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油烟</w:t>
                  </w:r>
                </w:p>
              </w:tc>
              <w:tc>
                <w:tcPr>
                  <w:tcW w:w="467" w:type="pct"/>
                  <w:vMerge w:val="continue"/>
                  <w:noWrap w:val="0"/>
                  <w:vAlign w:val="center"/>
                </w:tcPr>
                <w:p w14:paraId="1D0DEE7A">
                  <w:pPr>
                    <w:pStyle w:val="107"/>
                    <w:widowControl/>
                    <w:ind w:firstLine="0" w:firstLineChars="0"/>
                    <w:jc w:val="center"/>
                    <w:rPr>
                      <w:rFonts w:ascii="Times New Roman" w:hAnsi="Times New Roman" w:eastAsia="宋体"/>
                      <w:color w:val="auto"/>
                      <w:sz w:val="21"/>
                      <w:szCs w:val="21"/>
                      <w:highlight w:val="none"/>
                    </w:rPr>
                  </w:pPr>
                </w:p>
              </w:tc>
              <w:tc>
                <w:tcPr>
                  <w:tcW w:w="638" w:type="pct"/>
                  <w:noWrap w:val="0"/>
                  <w:vAlign w:val="center"/>
                </w:tcPr>
                <w:p w14:paraId="267AB151">
                  <w:pPr>
                    <w:pStyle w:val="98"/>
                    <w:adjustRightInd/>
                    <w:snapToGrid/>
                    <w:ind w:firstLine="0" w:firstLineChars="0"/>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8</w:t>
                  </w:r>
                  <w:r>
                    <w:rPr>
                      <w:rFonts w:hint="default" w:ascii="Arial" w:hAnsi="Arial" w:eastAsia="宋体" w:cs="Arial"/>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10</w:t>
                  </w:r>
                  <w:r>
                    <w:rPr>
                      <w:rFonts w:hint="eastAsia" w:ascii="Times New Roman" w:hAnsi="Times New Roman" w:eastAsia="宋体"/>
                      <w:color w:val="auto"/>
                      <w:sz w:val="21"/>
                      <w:szCs w:val="21"/>
                      <w:highlight w:val="none"/>
                      <w:vertAlign w:val="superscript"/>
                      <w:lang w:val="en-US" w:eastAsia="zh-CN"/>
                    </w:rPr>
                    <w:t>-4</w:t>
                  </w:r>
                </w:p>
              </w:tc>
              <w:tc>
                <w:tcPr>
                  <w:tcW w:w="733" w:type="pct"/>
                  <w:noWrap w:val="0"/>
                  <w:vAlign w:val="center"/>
                </w:tcPr>
                <w:p w14:paraId="02834D57">
                  <w:pPr>
                    <w:pStyle w:val="107"/>
                    <w:widowControl/>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c>
                <w:tcPr>
                  <w:tcW w:w="466" w:type="pct"/>
                  <w:noWrap w:val="0"/>
                  <w:vAlign w:val="center"/>
                </w:tcPr>
                <w:p w14:paraId="131C8D0B">
                  <w:pPr>
                    <w:pStyle w:val="107"/>
                    <w:widowControl/>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c>
                <w:tcPr>
                  <w:tcW w:w="466" w:type="pct"/>
                  <w:noWrap w:val="0"/>
                  <w:vAlign w:val="center"/>
                </w:tcPr>
                <w:p w14:paraId="6CDA3523">
                  <w:pPr>
                    <w:pStyle w:val="107"/>
                    <w:widowControl/>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c>
                <w:tcPr>
                  <w:tcW w:w="466" w:type="pct"/>
                  <w:noWrap w:val="0"/>
                  <w:vAlign w:val="center"/>
                </w:tcPr>
                <w:p w14:paraId="577A4CFD">
                  <w:pPr>
                    <w:pStyle w:val="107"/>
                    <w:widowControl/>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r>
          </w:tbl>
          <w:p w14:paraId="43A60D5C">
            <w:pPr>
              <w:widowControl/>
              <w:ind w:firstLine="480"/>
              <w:jc w:val="left"/>
              <w:rPr>
                <w:color w:val="auto"/>
                <w:highlight w:val="none"/>
              </w:rPr>
            </w:pPr>
          </w:p>
        </w:tc>
      </w:tr>
    </w:tbl>
    <w:p w14:paraId="5F637ABC">
      <w:pPr>
        <w:adjustRightInd w:val="0"/>
        <w:snapToGrid w:val="0"/>
        <w:ind w:firstLine="562"/>
        <w:rPr>
          <w:b/>
          <w:color w:val="auto"/>
          <w:kern w:val="0"/>
          <w:sz w:val="28"/>
          <w:szCs w:val="28"/>
          <w:highlight w:val="none"/>
        </w:rPr>
        <w:sectPr>
          <w:pgSz w:w="16840" w:h="11907" w:orient="landscape"/>
          <w:pgMar w:top="1418" w:right="1418" w:bottom="1418" w:left="1418" w:header="851" w:footer="851" w:gutter="0"/>
          <w:pgBorders>
            <w:top w:val="none" w:sz="0" w:space="0"/>
            <w:left w:val="none" w:sz="0" w:space="0"/>
            <w:bottom w:val="none" w:sz="0" w:space="0"/>
            <w:right w:val="none" w:sz="0" w:space="0"/>
          </w:pgBorders>
          <w:cols w:space="720" w:num="1"/>
          <w:docGrid w:linePitch="312" w:charSpace="0"/>
        </w:sectPr>
      </w:pPr>
    </w:p>
    <w:tbl>
      <w:tblPr>
        <w:tblStyle w:val="27"/>
        <w:tblW w:w="953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99"/>
        <w:gridCol w:w="8638"/>
      </w:tblGrid>
      <w:tr w14:paraId="663710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19" w:hRule="atLeast"/>
          <w:jc w:val="center"/>
        </w:trPr>
        <w:tc>
          <w:tcPr>
            <w:tcW w:w="899" w:type="dxa"/>
            <w:noWrap w:val="0"/>
            <w:tcMar>
              <w:left w:w="28" w:type="dxa"/>
              <w:right w:w="28" w:type="dxa"/>
            </w:tcMar>
            <w:vAlign w:val="center"/>
          </w:tcPr>
          <w:p w14:paraId="06C49E78">
            <w:pPr>
              <w:pStyle w:val="73"/>
              <w:spacing w:line="240" w:lineRule="auto"/>
              <w:ind w:firstLine="0" w:firstLineChars="0"/>
              <w:rPr>
                <w:color w:val="auto"/>
                <w:highlight w:val="none"/>
              </w:rPr>
            </w:pPr>
            <w:r>
              <w:rPr>
                <w:color w:val="auto"/>
                <w:highlight w:val="none"/>
              </w:rPr>
              <w:t>运营期环境影响和保护措施</w:t>
            </w:r>
          </w:p>
        </w:tc>
        <w:tc>
          <w:tcPr>
            <w:tcW w:w="8638" w:type="dxa"/>
            <w:noWrap w:val="0"/>
            <w:vAlign w:val="center"/>
          </w:tcPr>
          <w:p w14:paraId="126DCDC4">
            <w:pPr>
              <w:pStyle w:val="5"/>
              <w:rPr>
                <w:color w:val="auto"/>
                <w:highlight w:val="none"/>
              </w:rPr>
            </w:pPr>
            <w:r>
              <w:rPr>
                <w:color w:val="auto"/>
                <w:highlight w:val="none"/>
              </w:rPr>
              <w:t>4.</w:t>
            </w:r>
            <w:r>
              <w:rPr>
                <w:rFonts w:hint="eastAsia"/>
                <w:color w:val="auto"/>
                <w:highlight w:val="none"/>
              </w:rPr>
              <w:t>2.1.2</w:t>
            </w:r>
            <w:r>
              <w:rPr>
                <w:color w:val="auto"/>
                <w:highlight w:val="none"/>
              </w:rPr>
              <w:t>运营期大气影响和污染防治措施</w:t>
            </w:r>
            <w:r>
              <w:rPr>
                <w:rFonts w:hint="eastAsia"/>
                <w:color w:val="auto"/>
                <w:highlight w:val="none"/>
              </w:rPr>
              <w:t>可行性</w:t>
            </w:r>
            <w:r>
              <w:rPr>
                <w:color w:val="auto"/>
                <w:highlight w:val="none"/>
              </w:rPr>
              <w:t>分析</w:t>
            </w:r>
          </w:p>
          <w:p w14:paraId="2AFC1284">
            <w:pPr>
              <w:keepNext w:val="0"/>
              <w:keepLines w:val="0"/>
              <w:widowControl/>
              <w:suppressLineNumbers w:val="0"/>
              <w:jc w:val="left"/>
              <w:rPr>
                <w:color w:val="auto"/>
                <w:highlight w:val="none"/>
              </w:rPr>
            </w:pPr>
            <w:r>
              <w:rPr>
                <w:rFonts w:hint="eastAsia"/>
                <w:color w:val="auto"/>
                <w:highlight w:val="none"/>
              </w:rPr>
              <w:t>根据《排污许可证申请与核发技术规范 石墨及其他非金属矿物制品制造》（HJ1119-2020）</w:t>
            </w:r>
            <w:r>
              <w:rPr>
                <w:color w:val="auto"/>
                <w:highlight w:val="none"/>
              </w:rPr>
              <w:t>中</w:t>
            </w:r>
            <w:r>
              <w:rPr>
                <w:color w:val="auto"/>
                <w:highlight w:val="none"/>
                <w:lang w:val="en-US" w:eastAsia="zh-CN"/>
              </w:rPr>
              <w:t xml:space="preserve">表 A.5 </w:t>
            </w:r>
            <w:r>
              <w:rPr>
                <w:rFonts w:hint="default"/>
                <w:color w:val="auto"/>
                <w:highlight w:val="none"/>
                <w:lang w:val="en-US" w:eastAsia="zh-CN"/>
              </w:rPr>
              <w:t>沥青混合料生产排污单位废气污染防治可行技术参考表</w:t>
            </w:r>
            <w:r>
              <w:rPr>
                <w:rFonts w:hint="eastAsia"/>
                <w:color w:val="auto"/>
                <w:highlight w:val="none"/>
              </w:rPr>
              <w:t>（详见表4.2-</w:t>
            </w:r>
            <w:r>
              <w:rPr>
                <w:rFonts w:hint="eastAsia"/>
                <w:color w:val="auto"/>
                <w:highlight w:val="none"/>
                <w:lang w:val="en-US" w:eastAsia="zh-CN"/>
              </w:rPr>
              <w:t>15</w:t>
            </w:r>
            <w:r>
              <w:rPr>
                <w:rFonts w:hint="eastAsia"/>
                <w:color w:val="auto"/>
                <w:highlight w:val="none"/>
              </w:rPr>
              <w:t>），</w:t>
            </w:r>
            <w:r>
              <w:rPr>
                <w:rFonts w:hint="eastAsia" w:ascii="Times New Roman" w:hAnsi="Times New Roman" w:eastAsia="宋体" w:cs="Times New Roman"/>
                <w:color w:val="auto"/>
                <w:highlight w:val="none"/>
                <w:lang w:val="en-US" w:eastAsia="zh-CN"/>
              </w:rPr>
              <w:t>骨料加热过程产生的颗粒物和粉料仓产生的颗粒物，其</w:t>
            </w:r>
            <w:r>
              <w:rPr>
                <w:rFonts w:hint="eastAsia" w:ascii="Times New Roman" w:hAnsi="Times New Roman" w:eastAsia="宋体" w:cs="Times New Roman"/>
                <w:color w:val="auto"/>
                <w:highlight w:val="none"/>
              </w:rPr>
              <w:t>收集治理设施</w:t>
            </w:r>
            <w:r>
              <w:rPr>
                <w:rFonts w:hint="eastAsia" w:cs="Times New Roman"/>
                <w:color w:val="auto"/>
                <w:highlight w:val="none"/>
                <w:lang w:val="en-US" w:eastAsia="zh-CN"/>
              </w:rPr>
              <w:t>均</w:t>
            </w:r>
            <w:r>
              <w:rPr>
                <w:rFonts w:hint="eastAsia" w:ascii="Times New Roman" w:hAnsi="Times New Roman" w:eastAsia="宋体" w:cs="Times New Roman"/>
                <w:color w:val="auto"/>
                <w:highlight w:val="none"/>
                <w:lang w:val="en-US" w:eastAsia="zh-CN"/>
              </w:rPr>
              <w:t>为</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rPr>
              <w:t>布袋除尘</w:t>
            </w:r>
            <w:r>
              <w:rPr>
                <w:rFonts w:hint="eastAsia" w:ascii="Times New Roman" w:hAnsi="Times New Roman" w:eastAsia="宋体" w:cs="Times New Roman"/>
                <w:color w:val="auto"/>
                <w:highlight w:val="none"/>
                <w:lang w:val="en-US" w:eastAsia="zh-CN"/>
              </w:rPr>
              <w:t>器”</w:t>
            </w:r>
            <w:r>
              <w:rPr>
                <w:rFonts w:hint="eastAsia"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也</w:t>
            </w:r>
            <w:r>
              <w:rPr>
                <w:rFonts w:hint="eastAsia" w:ascii="Times New Roman" w:hAnsi="Times New Roman" w:eastAsia="宋体" w:cs="Times New Roman"/>
                <w:color w:val="auto"/>
                <w:highlight w:val="none"/>
              </w:rPr>
              <w:t>属于可行技术</w:t>
            </w:r>
            <w:r>
              <w:rPr>
                <w:rFonts w:hint="eastAsia" w:ascii="Times New Roman" w:hAnsi="Times New Roman" w:eastAsia="宋体" w:cs="Times New Roman"/>
                <w:color w:val="auto"/>
                <w:highlight w:val="none"/>
                <w:lang w:eastAsia="zh-CN"/>
              </w:rPr>
              <w:t>；</w:t>
            </w:r>
            <w:r>
              <w:rPr>
                <w:rFonts w:hint="eastAsia"/>
                <w:color w:val="auto"/>
                <w:highlight w:val="none"/>
              </w:rPr>
              <w:t>对</w:t>
            </w:r>
            <w:r>
              <w:rPr>
                <w:color w:val="auto"/>
                <w:highlight w:val="none"/>
                <w:lang w:val="en-US" w:eastAsia="zh-CN"/>
              </w:rPr>
              <w:t>沥青罐</w:t>
            </w:r>
            <w:r>
              <w:rPr>
                <w:rFonts w:hint="eastAsia"/>
                <w:color w:val="auto"/>
                <w:highlight w:val="none"/>
                <w:lang w:val="en-US" w:eastAsia="zh-CN"/>
              </w:rPr>
              <w:t>加热以及沥青搅拌过程</w:t>
            </w:r>
            <w:r>
              <w:rPr>
                <w:rFonts w:hint="eastAsia"/>
                <w:color w:val="auto"/>
                <w:highlight w:val="none"/>
              </w:rPr>
              <w:t>产生的</w:t>
            </w:r>
            <w:r>
              <w:rPr>
                <w:color w:val="auto"/>
                <w:highlight w:val="none"/>
                <w:lang w:val="en-US" w:eastAsia="zh-CN"/>
              </w:rPr>
              <w:t>沥青烟、苯并[a]</w:t>
            </w:r>
            <w:r>
              <w:rPr>
                <w:rFonts w:hint="default"/>
                <w:color w:val="auto"/>
                <w:highlight w:val="none"/>
                <w:lang w:val="en-US" w:eastAsia="zh-CN"/>
              </w:rPr>
              <w:t>芘</w:t>
            </w:r>
            <w:r>
              <w:rPr>
                <w:rFonts w:hint="eastAsia"/>
                <w:color w:val="auto"/>
                <w:highlight w:val="none"/>
              </w:rPr>
              <w:t>，其</w:t>
            </w:r>
            <w:r>
              <w:rPr>
                <w:color w:val="auto"/>
                <w:highlight w:val="none"/>
              </w:rPr>
              <w:t>收集治理设施</w:t>
            </w:r>
            <w:r>
              <w:rPr>
                <w:rFonts w:hint="eastAsia"/>
                <w:color w:val="auto"/>
                <w:highlight w:val="none"/>
                <w:lang w:val="en-US" w:eastAsia="zh-CN"/>
              </w:rPr>
              <w:t>为“喷淋塔+除雾器+</w:t>
            </w:r>
            <w:r>
              <w:rPr>
                <w:rFonts w:hint="eastAsia"/>
                <w:color w:val="auto"/>
                <w:highlight w:val="none"/>
              </w:rPr>
              <w:t>活性炭吸附</w:t>
            </w:r>
            <w:r>
              <w:rPr>
                <w:rFonts w:hint="eastAsia"/>
                <w:color w:val="auto"/>
                <w:highlight w:val="none"/>
                <w:lang w:val="en-US" w:eastAsia="zh-CN"/>
              </w:rPr>
              <w:t>装置”</w:t>
            </w:r>
            <w:r>
              <w:rPr>
                <w:color w:val="auto"/>
                <w:highlight w:val="none"/>
              </w:rPr>
              <w:t>，属于可行技术。</w:t>
            </w:r>
          </w:p>
          <w:p w14:paraId="4415DE3D">
            <w:pPr>
              <w:ind w:firstLine="0" w:firstLineChars="0"/>
              <w:jc w:val="center"/>
              <w:rPr>
                <w:rFonts w:hint="eastAsia" w:ascii="Times New Roman" w:hAnsi="Times New Roman" w:eastAsia="宋体" w:cs="Times New Roman"/>
                <w:b/>
                <w:bCs/>
                <w:color w:val="auto"/>
                <w:highlight w:val="none"/>
              </w:rPr>
            </w:pPr>
            <w:r>
              <w:rPr>
                <w:rFonts w:hint="eastAsia" w:ascii="Times New Roman" w:hAnsi="Times New Roman" w:eastAsia="宋体" w:cs="Times New Roman"/>
                <w:b/>
                <w:bCs/>
                <w:color w:val="auto"/>
                <w:highlight w:val="none"/>
              </w:rPr>
              <w:t>表4.2-</w:t>
            </w:r>
            <w:r>
              <w:rPr>
                <w:rFonts w:hint="eastAsia" w:cs="Times New Roman"/>
                <w:b/>
                <w:bCs/>
                <w:color w:val="auto"/>
                <w:highlight w:val="none"/>
                <w:lang w:val="en-US" w:eastAsia="zh-CN"/>
              </w:rPr>
              <w:t>16</w:t>
            </w:r>
            <w:r>
              <w:rPr>
                <w:rFonts w:hint="eastAsia" w:ascii="Times New Roman" w:hAnsi="Times New Roman" w:eastAsia="宋体" w:cs="Times New Roman"/>
                <w:b/>
                <w:bCs/>
                <w:color w:val="auto"/>
                <w:highlight w:val="none"/>
              </w:rPr>
              <w:t xml:space="preserve"> </w:t>
            </w:r>
            <w:r>
              <w:rPr>
                <w:rFonts w:hint="default" w:ascii="Times New Roman" w:hAnsi="Times New Roman" w:eastAsia="宋体" w:cs="Times New Roman"/>
                <w:b/>
                <w:bCs/>
                <w:color w:val="auto"/>
                <w:highlight w:val="none"/>
                <w:lang w:val="en-US" w:eastAsia="zh-CN"/>
              </w:rPr>
              <w:t>沥青混合料生产排污单位废气污染防治可行技术参考表</w:t>
            </w:r>
          </w:p>
          <w:tbl>
            <w:tblPr>
              <w:tblStyle w:val="27"/>
              <w:tblW w:w="845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620"/>
              <w:gridCol w:w="1723"/>
              <w:gridCol w:w="3115"/>
            </w:tblGrid>
            <w:tr w14:paraId="6F2061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3620" w:type="dxa"/>
                  <w:noWrap w:val="0"/>
                  <w:vAlign w:val="center"/>
                </w:tcPr>
                <w:p w14:paraId="0F00B6DD">
                  <w:pPr>
                    <w:pStyle w:val="107"/>
                    <w:widowControl/>
                    <w:ind w:firstLine="0" w:firstLineChars="0"/>
                    <w:jc w:val="center"/>
                    <w:rPr>
                      <w:rFonts w:hint="default" w:ascii="Times New Roman" w:hAnsi="Times New Roman" w:eastAsia="宋体"/>
                      <w:b/>
                      <w:bCs/>
                      <w:color w:val="auto"/>
                      <w:sz w:val="21"/>
                      <w:szCs w:val="21"/>
                      <w:highlight w:val="none"/>
                      <w:lang w:val="en-US" w:eastAsia="zh-CN"/>
                    </w:rPr>
                  </w:pPr>
                  <w:r>
                    <w:rPr>
                      <w:rFonts w:hint="eastAsia" w:ascii="Times New Roman" w:hAnsi="Times New Roman" w:eastAsia="宋体"/>
                      <w:b/>
                      <w:bCs/>
                      <w:color w:val="auto"/>
                      <w:sz w:val="21"/>
                      <w:szCs w:val="21"/>
                      <w:highlight w:val="none"/>
                      <w:lang w:val="en-US" w:eastAsia="zh-CN"/>
                    </w:rPr>
                    <w:t>废气类别</w:t>
                  </w:r>
                </w:p>
              </w:tc>
              <w:tc>
                <w:tcPr>
                  <w:tcW w:w="1723" w:type="dxa"/>
                  <w:noWrap w:val="0"/>
                  <w:vAlign w:val="center"/>
                </w:tcPr>
                <w:p w14:paraId="49192889">
                  <w:pPr>
                    <w:pStyle w:val="107"/>
                    <w:widowControl/>
                    <w:ind w:firstLine="0" w:firstLineChars="0"/>
                    <w:jc w:val="center"/>
                    <w:rPr>
                      <w:rFonts w:ascii="Times New Roman" w:hAnsi="Times New Roman" w:eastAsia="宋体"/>
                      <w:b/>
                      <w:bCs/>
                      <w:color w:val="auto"/>
                      <w:sz w:val="21"/>
                      <w:szCs w:val="21"/>
                      <w:highlight w:val="none"/>
                    </w:rPr>
                  </w:pPr>
                  <w:r>
                    <w:rPr>
                      <w:rFonts w:hint="eastAsia" w:ascii="Times New Roman" w:hAnsi="Times New Roman" w:eastAsia="宋体"/>
                      <w:b/>
                      <w:bCs/>
                      <w:color w:val="auto"/>
                      <w:sz w:val="21"/>
                      <w:szCs w:val="21"/>
                      <w:highlight w:val="none"/>
                      <w:lang w:val="en-US" w:eastAsia="zh-CN"/>
                    </w:rPr>
                    <w:t>主要</w:t>
                  </w:r>
                  <w:r>
                    <w:rPr>
                      <w:rFonts w:hint="eastAsia" w:ascii="Times New Roman" w:hAnsi="Times New Roman" w:eastAsia="宋体"/>
                      <w:b/>
                      <w:bCs/>
                      <w:color w:val="auto"/>
                      <w:sz w:val="21"/>
                      <w:szCs w:val="21"/>
                      <w:highlight w:val="none"/>
                    </w:rPr>
                    <w:t>污染物</w:t>
                  </w:r>
                </w:p>
              </w:tc>
              <w:tc>
                <w:tcPr>
                  <w:tcW w:w="3115" w:type="dxa"/>
                  <w:noWrap w:val="0"/>
                  <w:vAlign w:val="center"/>
                </w:tcPr>
                <w:p w14:paraId="0258D814">
                  <w:pPr>
                    <w:pStyle w:val="107"/>
                    <w:widowControl/>
                    <w:ind w:firstLine="0" w:firstLineChars="0"/>
                    <w:jc w:val="center"/>
                    <w:rPr>
                      <w:rFonts w:ascii="Times New Roman" w:hAnsi="Times New Roman" w:eastAsia="宋体"/>
                      <w:b/>
                      <w:bCs/>
                      <w:color w:val="auto"/>
                      <w:sz w:val="21"/>
                      <w:szCs w:val="21"/>
                      <w:highlight w:val="none"/>
                    </w:rPr>
                  </w:pPr>
                  <w:r>
                    <w:rPr>
                      <w:rFonts w:hint="eastAsia" w:ascii="Times New Roman" w:hAnsi="Times New Roman" w:eastAsia="宋体"/>
                      <w:b/>
                      <w:bCs/>
                      <w:color w:val="auto"/>
                      <w:sz w:val="21"/>
                      <w:szCs w:val="21"/>
                      <w:highlight w:val="none"/>
                    </w:rPr>
                    <w:t>可行技术</w:t>
                  </w:r>
                </w:p>
              </w:tc>
            </w:tr>
            <w:tr w14:paraId="7A035B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3620" w:type="dxa"/>
                  <w:noWrap w:val="0"/>
                  <w:vAlign w:val="center"/>
                </w:tcPr>
                <w:p w14:paraId="113781A8">
                  <w:pPr>
                    <w:pStyle w:val="107"/>
                    <w:widowControl/>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骨料干燥系统废气</w:t>
                  </w:r>
                </w:p>
              </w:tc>
              <w:tc>
                <w:tcPr>
                  <w:tcW w:w="1723" w:type="dxa"/>
                  <w:noWrap w:val="0"/>
                  <w:vAlign w:val="center"/>
                </w:tcPr>
                <w:p w14:paraId="79471E36">
                  <w:pPr>
                    <w:pStyle w:val="107"/>
                    <w:widowControl/>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颗粒物</w:t>
                  </w:r>
                </w:p>
              </w:tc>
              <w:tc>
                <w:tcPr>
                  <w:tcW w:w="3115" w:type="dxa"/>
                  <w:noWrap w:val="0"/>
                  <w:vAlign w:val="center"/>
                </w:tcPr>
                <w:p w14:paraId="7C4EF1D1">
                  <w:pPr>
                    <w:pStyle w:val="107"/>
                    <w:widowControl/>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旋风除尘+</w:t>
                  </w:r>
                  <w:r>
                    <w:rPr>
                      <w:rFonts w:hint="default" w:ascii="Times New Roman" w:hAnsi="Times New Roman" w:eastAsia="宋体" w:cs="Times New Roman"/>
                      <w:color w:val="auto"/>
                      <w:sz w:val="21"/>
                      <w:szCs w:val="21"/>
                      <w:highlight w:val="none"/>
                      <w:lang w:val="en-US" w:eastAsia="zh-CN"/>
                    </w:rPr>
                    <w:t>布袋除尘、旋风除尘+静电除尘</w:t>
                  </w:r>
                  <w:r>
                    <w:rPr>
                      <w:rFonts w:hint="eastAsia" w:ascii="Times New Roman" w:hAnsi="Times New Roman" w:eastAsia="宋体" w:cs="Times New Roman"/>
                      <w:color w:val="auto"/>
                      <w:sz w:val="21"/>
                      <w:szCs w:val="21"/>
                      <w:highlight w:val="none"/>
                      <w:lang w:val="en-US" w:eastAsia="zh-CN"/>
                    </w:rPr>
                    <w:t xml:space="preserve"> </w:t>
                  </w:r>
                </w:p>
              </w:tc>
            </w:tr>
            <w:tr w14:paraId="66B7B4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3620" w:type="dxa"/>
                  <w:noWrap w:val="0"/>
                  <w:vAlign w:val="center"/>
                </w:tcPr>
                <w:p w14:paraId="57A08902">
                  <w:pPr>
                    <w:pStyle w:val="107"/>
                    <w:widowControl/>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沥青罐呼吸废气、成品</w:t>
                  </w:r>
                  <w:r>
                    <w:rPr>
                      <w:rFonts w:hint="default" w:ascii="Times New Roman" w:hAnsi="Times New Roman" w:eastAsia="宋体" w:cs="Times New Roman"/>
                      <w:color w:val="auto"/>
                      <w:sz w:val="21"/>
                      <w:szCs w:val="21"/>
                      <w:highlight w:val="none"/>
                      <w:lang w:val="en-US" w:eastAsia="zh-CN"/>
                    </w:rPr>
                    <w:t>出料废气</w:t>
                  </w:r>
                </w:p>
              </w:tc>
              <w:tc>
                <w:tcPr>
                  <w:tcW w:w="1723" w:type="dxa"/>
                  <w:noWrap w:val="0"/>
                  <w:vAlign w:val="center"/>
                </w:tcPr>
                <w:p w14:paraId="651A8AC4">
                  <w:pPr>
                    <w:pStyle w:val="107"/>
                    <w:widowControl/>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沥青烟、苯并[a]</w:t>
                  </w:r>
                  <w:r>
                    <w:rPr>
                      <w:rFonts w:hint="default" w:ascii="Times New Roman" w:hAnsi="Times New Roman" w:eastAsia="宋体" w:cs="Times New Roman"/>
                      <w:color w:val="auto"/>
                      <w:sz w:val="21"/>
                      <w:szCs w:val="21"/>
                      <w:highlight w:val="none"/>
                      <w:lang w:val="en-US" w:eastAsia="zh-CN"/>
                    </w:rPr>
                    <w:t>芘</w:t>
                  </w:r>
                </w:p>
              </w:tc>
              <w:tc>
                <w:tcPr>
                  <w:tcW w:w="3115" w:type="dxa"/>
                  <w:noWrap w:val="0"/>
                  <w:vAlign w:val="center"/>
                </w:tcPr>
                <w:p w14:paraId="747BD503">
                  <w:pPr>
                    <w:pStyle w:val="107"/>
                    <w:widowControl/>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活性炭吸附、电捕焦油器、电捕焦油器+</w:t>
                  </w:r>
                  <w:r>
                    <w:rPr>
                      <w:rFonts w:hint="default" w:ascii="Times New Roman" w:hAnsi="Times New Roman" w:eastAsia="宋体" w:cs="Times New Roman"/>
                      <w:color w:val="auto"/>
                      <w:sz w:val="21"/>
                      <w:szCs w:val="21"/>
                      <w:highlight w:val="none"/>
                      <w:lang w:val="en-US" w:eastAsia="zh-CN"/>
                    </w:rPr>
                    <w:t>活性炭吸附</w:t>
                  </w:r>
                </w:p>
              </w:tc>
            </w:tr>
            <w:tr w14:paraId="5530F8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3620" w:type="dxa"/>
                  <w:noWrap w:val="0"/>
                  <w:vAlign w:val="center"/>
                </w:tcPr>
                <w:p w14:paraId="40495AD1">
                  <w:pPr>
                    <w:pStyle w:val="107"/>
                    <w:widowControl/>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粉料仓废气</w:t>
                  </w:r>
                </w:p>
              </w:tc>
              <w:tc>
                <w:tcPr>
                  <w:tcW w:w="1723" w:type="dxa"/>
                  <w:noWrap w:val="0"/>
                  <w:vAlign w:val="center"/>
                </w:tcPr>
                <w:p w14:paraId="2F82B4C9">
                  <w:pPr>
                    <w:pStyle w:val="107"/>
                    <w:widowControl/>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颗粒物</w:t>
                  </w:r>
                </w:p>
              </w:tc>
              <w:tc>
                <w:tcPr>
                  <w:tcW w:w="3115" w:type="dxa"/>
                  <w:noWrap w:val="0"/>
                  <w:vAlign w:val="center"/>
                </w:tcPr>
                <w:p w14:paraId="5DFE31D0">
                  <w:pPr>
                    <w:pStyle w:val="107"/>
                    <w:widowControl/>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布袋除尘、旋风除尘、静电除尘</w:t>
                  </w:r>
                </w:p>
              </w:tc>
            </w:tr>
          </w:tbl>
          <w:p w14:paraId="64920BB4">
            <w:pPr>
              <w:pStyle w:val="5"/>
              <w:rPr>
                <w:color w:val="auto"/>
                <w:highlight w:val="none"/>
              </w:rPr>
            </w:pPr>
            <w:r>
              <w:rPr>
                <w:color w:val="auto"/>
                <w:highlight w:val="none"/>
              </w:rPr>
              <w:t>4.</w:t>
            </w:r>
            <w:r>
              <w:rPr>
                <w:rFonts w:hint="eastAsia"/>
                <w:color w:val="auto"/>
                <w:highlight w:val="none"/>
              </w:rPr>
              <w:t>2.1</w:t>
            </w:r>
            <w:r>
              <w:rPr>
                <w:color w:val="auto"/>
                <w:highlight w:val="none"/>
              </w:rPr>
              <w:t>.</w:t>
            </w:r>
            <w:r>
              <w:rPr>
                <w:rFonts w:hint="eastAsia"/>
                <w:color w:val="auto"/>
                <w:highlight w:val="none"/>
              </w:rPr>
              <w:t>3</w:t>
            </w:r>
            <w:r>
              <w:rPr>
                <w:color w:val="auto"/>
                <w:highlight w:val="none"/>
              </w:rPr>
              <w:t xml:space="preserve"> 自行监测计划</w:t>
            </w:r>
          </w:p>
          <w:p w14:paraId="29CF0D73">
            <w:pPr>
              <w:bidi w:val="0"/>
              <w:rPr>
                <w:rFonts w:hint="eastAsia"/>
                <w:color w:val="auto"/>
                <w:highlight w:val="none"/>
              </w:rPr>
            </w:pPr>
            <w:r>
              <w:rPr>
                <w:rFonts w:hint="eastAsia"/>
                <w:color w:val="auto"/>
                <w:highlight w:val="none"/>
              </w:rPr>
              <w:t>本评价根据</w:t>
            </w:r>
            <w:r>
              <w:rPr>
                <w:rFonts w:hint="eastAsia"/>
                <w:color w:val="auto"/>
                <w:highlight w:val="none"/>
                <w:lang w:val="en-US" w:eastAsia="zh-CN"/>
              </w:rPr>
              <w:t>《排污许可证申请与核发技术规范 石墨及其他非金属矿物制品制造》（</w:t>
            </w:r>
            <w:r>
              <w:rPr>
                <w:rFonts w:hint="default"/>
                <w:color w:val="auto"/>
                <w:highlight w:val="none"/>
                <w:lang w:val="en-US" w:eastAsia="zh-CN"/>
              </w:rPr>
              <w:t>HJ1119-2020</w:t>
            </w:r>
            <w:r>
              <w:rPr>
                <w:rFonts w:hint="eastAsia"/>
                <w:color w:val="auto"/>
                <w:highlight w:val="none"/>
                <w:lang w:val="en-US" w:eastAsia="zh-CN"/>
              </w:rPr>
              <w:t>）、《排污许可证申请与核发技术规范</w:t>
            </w:r>
            <w:r>
              <w:rPr>
                <w:rFonts w:hint="default"/>
                <w:color w:val="auto"/>
                <w:highlight w:val="none"/>
                <w:lang w:val="en-US" w:eastAsia="zh-CN"/>
              </w:rPr>
              <w:t>-</w:t>
            </w:r>
            <w:r>
              <w:rPr>
                <w:rFonts w:hint="eastAsia"/>
                <w:color w:val="auto"/>
                <w:highlight w:val="none"/>
                <w:lang w:val="en-US" w:eastAsia="zh-CN"/>
              </w:rPr>
              <w:t>锅炉》（</w:t>
            </w:r>
            <w:r>
              <w:rPr>
                <w:rFonts w:hint="default"/>
                <w:color w:val="auto"/>
                <w:highlight w:val="none"/>
                <w:lang w:val="en-US" w:eastAsia="zh-CN"/>
              </w:rPr>
              <w:t>HJ953-2018</w:t>
            </w:r>
            <w:r>
              <w:rPr>
                <w:rFonts w:hint="eastAsia"/>
                <w:color w:val="auto"/>
                <w:highlight w:val="none"/>
                <w:lang w:val="en-US" w:eastAsia="zh-CN"/>
              </w:rPr>
              <w:t>）、《排污许可证申请与核发技术规范</w:t>
            </w:r>
            <w:r>
              <w:rPr>
                <w:rFonts w:hint="default"/>
                <w:color w:val="auto"/>
                <w:highlight w:val="none"/>
                <w:lang w:val="en-US" w:eastAsia="zh-CN"/>
              </w:rPr>
              <w:t>-</w:t>
            </w:r>
            <w:r>
              <w:rPr>
                <w:rFonts w:hint="eastAsia"/>
                <w:color w:val="auto"/>
                <w:highlight w:val="none"/>
                <w:lang w:val="en-US" w:eastAsia="zh-CN"/>
              </w:rPr>
              <w:t>工业炉窑》（</w:t>
            </w:r>
            <w:r>
              <w:rPr>
                <w:rFonts w:hint="default"/>
                <w:color w:val="auto"/>
                <w:highlight w:val="none"/>
                <w:lang w:val="en-US" w:eastAsia="zh-CN"/>
              </w:rPr>
              <w:t>HJ1121-2020</w:t>
            </w:r>
            <w:r>
              <w:rPr>
                <w:rFonts w:hint="eastAsia"/>
                <w:color w:val="auto"/>
                <w:highlight w:val="none"/>
                <w:lang w:val="en-US" w:eastAsia="zh-CN"/>
              </w:rPr>
              <w:t>）、《排污单位自行监测技术指南 火力发电及锅炉》（HJ 820-2017）以及</w:t>
            </w:r>
            <w:r>
              <w:rPr>
                <w:rFonts w:hint="eastAsia"/>
                <w:color w:val="auto"/>
                <w:highlight w:val="none"/>
              </w:rPr>
              <w:t>《排污单位自行监测技术指南 总则》（HJ 819-2017）等文件要求，提出项目运营期废气自行监测计划，具体详见表4.2-</w:t>
            </w:r>
            <w:r>
              <w:rPr>
                <w:rFonts w:hint="eastAsia"/>
                <w:color w:val="auto"/>
                <w:highlight w:val="none"/>
                <w:lang w:val="en-US" w:eastAsia="zh-CN"/>
              </w:rPr>
              <w:t>17</w:t>
            </w:r>
            <w:r>
              <w:rPr>
                <w:rFonts w:hint="eastAsia"/>
                <w:color w:val="auto"/>
                <w:highlight w:val="none"/>
              </w:rPr>
              <w:t>。</w:t>
            </w:r>
          </w:p>
          <w:p w14:paraId="228C743B">
            <w:pPr>
              <w:ind w:firstLine="0" w:firstLineChars="0"/>
              <w:jc w:val="center"/>
              <w:rPr>
                <w:b/>
                <w:bCs/>
                <w:color w:val="auto"/>
                <w:highlight w:val="none"/>
              </w:rPr>
            </w:pPr>
            <w:r>
              <w:rPr>
                <w:b/>
                <w:bCs/>
                <w:color w:val="auto"/>
                <w:highlight w:val="none"/>
              </w:rPr>
              <w:t>表4.</w:t>
            </w:r>
            <w:r>
              <w:rPr>
                <w:rFonts w:hint="eastAsia"/>
                <w:b/>
                <w:bCs/>
                <w:color w:val="auto"/>
                <w:highlight w:val="none"/>
              </w:rPr>
              <w:t>2</w:t>
            </w:r>
            <w:r>
              <w:rPr>
                <w:b/>
                <w:bCs/>
                <w:color w:val="auto"/>
                <w:highlight w:val="none"/>
              </w:rPr>
              <w:t>-</w:t>
            </w:r>
            <w:r>
              <w:rPr>
                <w:rFonts w:hint="eastAsia"/>
                <w:b/>
                <w:bCs/>
                <w:color w:val="auto"/>
                <w:highlight w:val="none"/>
                <w:lang w:val="en-US" w:eastAsia="zh-CN"/>
              </w:rPr>
              <w:t>17</w:t>
            </w:r>
            <w:r>
              <w:rPr>
                <w:b/>
                <w:bCs/>
                <w:color w:val="auto"/>
                <w:highlight w:val="none"/>
              </w:rPr>
              <w:t xml:space="preserve"> </w:t>
            </w:r>
            <w:r>
              <w:rPr>
                <w:rFonts w:hint="eastAsia"/>
                <w:b/>
                <w:bCs/>
                <w:color w:val="auto"/>
                <w:highlight w:val="none"/>
              </w:rPr>
              <w:t xml:space="preserve"> 本</w:t>
            </w:r>
            <w:r>
              <w:rPr>
                <w:b/>
                <w:bCs/>
                <w:color w:val="auto"/>
                <w:highlight w:val="none"/>
              </w:rPr>
              <w:t>项目废气自行监测计划</w:t>
            </w:r>
          </w:p>
          <w:tbl>
            <w:tblPr>
              <w:tblStyle w:val="2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68"/>
              <w:gridCol w:w="1545"/>
              <w:gridCol w:w="4227"/>
              <w:gridCol w:w="1276"/>
            </w:tblGrid>
            <w:tr w14:paraId="0DBA0D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noWrap w:val="0"/>
                  <w:vAlign w:val="center"/>
                </w:tcPr>
                <w:p w14:paraId="0A0A9DB6">
                  <w:pPr>
                    <w:spacing w:line="340" w:lineRule="exact"/>
                    <w:ind w:firstLine="0" w:firstLineChars="0"/>
                    <w:jc w:val="center"/>
                    <w:rPr>
                      <w:b/>
                      <w:bCs/>
                      <w:color w:val="auto"/>
                      <w:sz w:val="21"/>
                      <w:szCs w:val="21"/>
                      <w:highlight w:val="none"/>
                      <w:lang w:bidi="ar"/>
                    </w:rPr>
                  </w:pPr>
                  <w:r>
                    <w:rPr>
                      <w:rFonts w:hint="eastAsia"/>
                      <w:b/>
                      <w:bCs/>
                      <w:color w:val="auto"/>
                      <w:sz w:val="21"/>
                      <w:szCs w:val="21"/>
                      <w:highlight w:val="none"/>
                      <w:lang w:bidi="ar"/>
                    </w:rPr>
                    <w:t>类别</w:t>
                  </w:r>
                </w:p>
              </w:tc>
              <w:tc>
                <w:tcPr>
                  <w:tcW w:w="1545" w:type="dxa"/>
                  <w:noWrap w:val="0"/>
                  <w:vAlign w:val="center"/>
                </w:tcPr>
                <w:p w14:paraId="058F3662">
                  <w:pPr>
                    <w:spacing w:line="340" w:lineRule="exact"/>
                    <w:ind w:firstLine="0" w:firstLineChars="0"/>
                    <w:jc w:val="center"/>
                    <w:rPr>
                      <w:b/>
                      <w:bCs/>
                      <w:color w:val="auto"/>
                      <w:sz w:val="21"/>
                      <w:szCs w:val="21"/>
                      <w:highlight w:val="none"/>
                      <w:lang w:bidi="ar"/>
                    </w:rPr>
                  </w:pPr>
                  <w:r>
                    <w:rPr>
                      <w:rFonts w:hint="eastAsia"/>
                      <w:b/>
                      <w:bCs/>
                      <w:color w:val="auto"/>
                      <w:sz w:val="21"/>
                      <w:szCs w:val="21"/>
                      <w:highlight w:val="none"/>
                      <w:lang w:bidi="ar"/>
                    </w:rPr>
                    <w:t>监测点位</w:t>
                  </w:r>
                </w:p>
              </w:tc>
              <w:tc>
                <w:tcPr>
                  <w:tcW w:w="4227" w:type="dxa"/>
                  <w:noWrap w:val="0"/>
                  <w:vAlign w:val="center"/>
                </w:tcPr>
                <w:p w14:paraId="28599A35">
                  <w:pPr>
                    <w:spacing w:line="340" w:lineRule="exact"/>
                    <w:ind w:firstLine="0" w:firstLineChars="0"/>
                    <w:jc w:val="center"/>
                    <w:rPr>
                      <w:b/>
                      <w:bCs/>
                      <w:color w:val="auto"/>
                      <w:sz w:val="21"/>
                      <w:szCs w:val="21"/>
                      <w:highlight w:val="none"/>
                      <w:lang w:bidi="ar"/>
                    </w:rPr>
                  </w:pPr>
                  <w:r>
                    <w:rPr>
                      <w:rFonts w:hint="eastAsia"/>
                      <w:b/>
                      <w:bCs/>
                      <w:color w:val="auto"/>
                      <w:sz w:val="21"/>
                      <w:szCs w:val="21"/>
                      <w:highlight w:val="none"/>
                      <w:lang w:bidi="ar"/>
                    </w:rPr>
                    <w:t>监测指标</w:t>
                  </w:r>
                </w:p>
              </w:tc>
              <w:tc>
                <w:tcPr>
                  <w:tcW w:w="1276" w:type="dxa"/>
                  <w:noWrap w:val="0"/>
                  <w:vAlign w:val="center"/>
                </w:tcPr>
                <w:p w14:paraId="5E11775B">
                  <w:pPr>
                    <w:spacing w:line="340" w:lineRule="exact"/>
                    <w:ind w:firstLine="0" w:firstLineChars="0"/>
                    <w:jc w:val="center"/>
                    <w:rPr>
                      <w:b/>
                      <w:bCs/>
                      <w:color w:val="auto"/>
                      <w:sz w:val="21"/>
                      <w:szCs w:val="21"/>
                      <w:highlight w:val="none"/>
                      <w:lang w:bidi="ar"/>
                    </w:rPr>
                  </w:pPr>
                  <w:r>
                    <w:rPr>
                      <w:rFonts w:hint="eastAsia"/>
                      <w:b/>
                      <w:bCs/>
                      <w:color w:val="auto"/>
                      <w:sz w:val="21"/>
                      <w:szCs w:val="21"/>
                      <w:highlight w:val="none"/>
                      <w:lang w:bidi="ar"/>
                    </w:rPr>
                    <w:t>监测频次</w:t>
                  </w:r>
                </w:p>
              </w:tc>
            </w:tr>
            <w:tr w14:paraId="6DA894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268" w:type="dxa"/>
                  <w:vMerge w:val="restart"/>
                  <w:noWrap w:val="0"/>
                  <w:vAlign w:val="center"/>
                </w:tcPr>
                <w:p w14:paraId="25D8CDEE">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 xml:space="preserve">有组织废气 </w:t>
                  </w:r>
                </w:p>
              </w:tc>
              <w:tc>
                <w:tcPr>
                  <w:tcW w:w="1545" w:type="dxa"/>
                  <w:noWrap w:val="0"/>
                  <w:vAlign w:val="center"/>
                </w:tcPr>
                <w:p w14:paraId="361D4087">
                  <w:pPr>
                    <w:spacing w:line="340" w:lineRule="exact"/>
                    <w:ind w:firstLine="0" w:firstLineChars="0"/>
                    <w:jc w:val="center"/>
                    <w:rPr>
                      <w:rFonts w:hint="eastAsia" w:ascii="Times New Roman" w:hAnsi="Times New Roman" w:eastAsia="宋体" w:cs="Times New Roman"/>
                      <w:color w:val="auto"/>
                      <w:sz w:val="21"/>
                      <w:szCs w:val="21"/>
                      <w:highlight w:val="none"/>
                      <w:lang w:bidi="ar"/>
                    </w:rPr>
                  </w:pPr>
                  <w:r>
                    <w:rPr>
                      <w:rFonts w:hint="eastAsia" w:ascii="Times New Roman" w:hAnsi="Times New Roman" w:eastAsia="宋体" w:cs="Times New Roman"/>
                      <w:color w:val="auto"/>
                      <w:sz w:val="21"/>
                      <w:szCs w:val="21"/>
                      <w:highlight w:val="none"/>
                      <w:lang w:bidi="ar"/>
                    </w:rPr>
                    <w:t>排气筒DA001</w:t>
                  </w:r>
                </w:p>
                <w:p w14:paraId="7C419451">
                  <w:pPr>
                    <w:spacing w:line="340" w:lineRule="exact"/>
                    <w:ind w:firstLine="0" w:firstLineChars="0"/>
                    <w:jc w:val="center"/>
                    <w:rPr>
                      <w:rFonts w:hint="eastAsia" w:ascii="Times New Roman" w:hAnsi="Times New Roman" w:eastAsia="宋体" w:cs="Times New Roman"/>
                      <w:color w:val="auto"/>
                      <w:sz w:val="21"/>
                      <w:szCs w:val="21"/>
                      <w:highlight w:val="none"/>
                      <w:lang w:bidi="ar"/>
                    </w:rPr>
                  </w:pPr>
                  <w:r>
                    <w:rPr>
                      <w:rFonts w:hint="eastAsia" w:ascii="Times New Roman" w:hAnsi="Times New Roman" w:eastAsia="宋体" w:cs="Times New Roman"/>
                      <w:color w:val="auto"/>
                      <w:sz w:val="21"/>
                      <w:szCs w:val="21"/>
                      <w:highlight w:val="none"/>
                      <w:lang w:val="en-US" w:eastAsia="zh-CN" w:bidi="ar"/>
                    </w:rPr>
                    <w:t>排气筒DA004</w:t>
                  </w:r>
                  <w:r>
                    <w:rPr>
                      <w:rFonts w:hint="eastAsia" w:ascii="Times New Roman" w:hAnsi="Times New Roman" w:eastAsia="宋体" w:cs="Times New Roman"/>
                      <w:color w:val="auto"/>
                      <w:sz w:val="21"/>
                      <w:szCs w:val="21"/>
                      <w:highlight w:val="none"/>
                      <w:lang w:bidi="ar"/>
                    </w:rPr>
                    <w:t xml:space="preserve"> </w:t>
                  </w:r>
                </w:p>
              </w:tc>
              <w:tc>
                <w:tcPr>
                  <w:tcW w:w="4227" w:type="dxa"/>
                  <w:noWrap w:val="0"/>
                  <w:vAlign w:val="center"/>
                </w:tcPr>
                <w:p w14:paraId="174D6659">
                  <w:pPr>
                    <w:spacing w:line="340" w:lineRule="exact"/>
                    <w:ind w:firstLine="0" w:firstLineChars="0"/>
                    <w:jc w:val="center"/>
                    <w:rPr>
                      <w:rFonts w:hint="eastAsia"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bidi="ar"/>
                    </w:rPr>
                    <w:t>颗粒物、二氧化硫、氮氧化物</w:t>
                  </w:r>
                </w:p>
              </w:tc>
              <w:tc>
                <w:tcPr>
                  <w:tcW w:w="1276" w:type="dxa"/>
                  <w:noWrap w:val="0"/>
                  <w:vAlign w:val="center"/>
                </w:tcPr>
                <w:p w14:paraId="5E8F2968">
                  <w:pPr>
                    <w:spacing w:line="340" w:lineRule="exact"/>
                    <w:ind w:firstLine="0" w:firstLineChars="0"/>
                    <w:jc w:val="center"/>
                    <w:rPr>
                      <w:color w:val="auto"/>
                      <w:sz w:val="21"/>
                      <w:szCs w:val="21"/>
                      <w:highlight w:val="none"/>
                      <w:lang w:bidi="ar"/>
                    </w:rPr>
                  </w:pPr>
                  <w:r>
                    <w:rPr>
                      <w:rFonts w:hint="eastAsia"/>
                      <w:color w:val="auto"/>
                      <w:sz w:val="21"/>
                      <w:szCs w:val="21"/>
                      <w:highlight w:val="none"/>
                      <w:lang w:bidi="ar"/>
                    </w:rPr>
                    <w:t>1次/半年</w:t>
                  </w:r>
                </w:p>
              </w:tc>
            </w:tr>
            <w:tr w14:paraId="019C0C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268" w:type="dxa"/>
                  <w:vMerge w:val="continue"/>
                  <w:noWrap w:val="0"/>
                  <w:vAlign w:val="center"/>
                </w:tcPr>
                <w:p w14:paraId="3E91BE26">
                  <w:pPr>
                    <w:spacing w:line="340" w:lineRule="exact"/>
                    <w:ind w:firstLine="0" w:firstLineChars="0"/>
                    <w:jc w:val="center"/>
                    <w:rPr>
                      <w:rFonts w:hint="eastAsia"/>
                      <w:color w:val="auto"/>
                      <w:sz w:val="21"/>
                      <w:szCs w:val="21"/>
                      <w:highlight w:val="none"/>
                      <w:lang w:bidi="ar"/>
                    </w:rPr>
                  </w:pPr>
                </w:p>
              </w:tc>
              <w:tc>
                <w:tcPr>
                  <w:tcW w:w="1545" w:type="dxa"/>
                  <w:vMerge w:val="restart"/>
                  <w:noWrap w:val="0"/>
                  <w:vAlign w:val="center"/>
                </w:tcPr>
                <w:p w14:paraId="2DF748ED">
                  <w:pPr>
                    <w:spacing w:line="340" w:lineRule="exact"/>
                    <w:ind w:firstLine="0" w:firstLineChars="0"/>
                    <w:jc w:val="center"/>
                    <w:rPr>
                      <w:rFonts w:hint="eastAsia"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sz w:val="21"/>
                      <w:szCs w:val="21"/>
                      <w:highlight w:val="none"/>
                      <w:lang w:bidi="ar"/>
                    </w:rPr>
                    <w:t>排气筒DA00</w:t>
                  </w:r>
                  <w:r>
                    <w:rPr>
                      <w:rFonts w:hint="eastAsia" w:ascii="Times New Roman" w:hAnsi="Times New Roman" w:eastAsia="宋体" w:cs="Times New Roman"/>
                      <w:color w:val="auto"/>
                      <w:sz w:val="21"/>
                      <w:szCs w:val="21"/>
                      <w:highlight w:val="none"/>
                      <w:lang w:val="en-US" w:eastAsia="zh-CN" w:bidi="ar"/>
                    </w:rPr>
                    <w:t>2</w:t>
                  </w:r>
                </w:p>
                <w:p w14:paraId="4CD2F028">
                  <w:pPr>
                    <w:spacing w:line="340" w:lineRule="exact"/>
                    <w:ind w:firstLine="0" w:firstLineChars="0"/>
                    <w:jc w:val="center"/>
                    <w:rPr>
                      <w:rFonts w:hint="default"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bidi="ar"/>
                    </w:rPr>
                    <w:t>排气筒DA005</w:t>
                  </w:r>
                </w:p>
              </w:tc>
              <w:tc>
                <w:tcPr>
                  <w:tcW w:w="4227" w:type="dxa"/>
                  <w:noWrap w:val="0"/>
                  <w:vAlign w:val="center"/>
                </w:tcPr>
                <w:p w14:paraId="65E8A117">
                  <w:pPr>
                    <w:pStyle w:val="73"/>
                    <w:spacing w:line="240" w:lineRule="auto"/>
                    <w:ind w:firstLine="0" w:firstLineChars="0"/>
                    <w:jc w:val="center"/>
                    <w:rPr>
                      <w:rFonts w:hint="default" w:ascii="Times New Roman" w:hAnsi="Times New Roman" w:eastAsia="宋体" w:cs="Times New Roman"/>
                      <w:color w:val="auto"/>
                      <w:sz w:val="21"/>
                      <w:szCs w:val="21"/>
                      <w:highlight w:val="none"/>
                      <w:lang w:val="en-US" w:eastAsia="zh-CN" w:bidi="ar"/>
                    </w:rPr>
                  </w:pPr>
                  <w:r>
                    <w:rPr>
                      <w:rFonts w:hint="eastAsia" w:cs="Times New Roman"/>
                      <w:color w:val="auto"/>
                      <w:kern w:val="0"/>
                      <w:sz w:val="21"/>
                      <w:szCs w:val="21"/>
                      <w:highlight w:val="none"/>
                      <w:lang w:val="en-US" w:eastAsia="zh-CN" w:bidi="ar-SA"/>
                    </w:rPr>
                    <w:t>颗粒物、二氧化硫、林格曼黑度</w:t>
                  </w:r>
                </w:p>
              </w:tc>
              <w:tc>
                <w:tcPr>
                  <w:tcW w:w="1276" w:type="dxa"/>
                  <w:noWrap w:val="0"/>
                  <w:vAlign w:val="center"/>
                </w:tcPr>
                <w:p w14:paraId="0A1B2E6D">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1次/年</w:t>
                  </w:r>
                </w:p>
              </w:tc>
            </w:tr>
            <w:tr w14:paraId="079989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268" w:type="dxa"/>
                  <w:vMerge w:val="continue"/>
                  <w:noWrap w:val="0"/>
                  <w:vAlign w:val="center"/>
                </w:tcPr>
                <w:p w14:paraId="3E6C28F3">
                  <w:pPr>
                    <w:spacing w:line="340" w:lineRule="exact"/>
                    <w:ind w:firstLine="0" w:firstLineChars="0"/>
                    <w:jc w:val="center"/>
                    <w:rPr>
                      <w:rFonts w:hint="eastAsia"/>
                      <w:color w:val="auto"/>
                      <w:sz w:val="21"/>
                      <w:szCs w:val="21"/>
                      <w:highlight w:val="none"/>
                      <w:lang w:bidi="ar"/>
                    </w:rPr>
                  </w:pPr>
                </w:p>
              </w:tc>
              <w:tc>
                <w:tcPr>
                  <w:tcW w:w="1545" w:type="dxa"/>
                  <w:vMerge w:val="continue"/>
                  <w:noWrap w:val="0"/>
                  <w:vAlign w:val="center"/>
                </w:tcPr>
                <w:p w14:paraId="5DABF6B8">
                  <w:pPr>
                    <w:spacing w:line="340" w:lineRule="exact"/>
                    <w:ind w:firstLine="0" w:firstLineChars="0"/>
                    <w:jc w:val="center"/>
                    <w:rPr>
                      <w:rFonts w:hint="eastAsia" w:ascii="Times New Roman" w:hAnsi="Times New Roman" w:eastAsia="宋体" w:cs="Times New Roman"/>
                      <w:color w:val="auto"/>
                      <w:sz w:val="21"/>
                      <w:szCs w:val="21"/>
                      <w:highlight w:val="none"/>
                      <w:lang w:bidi="ar"/>
                    </w:rPr>
                  </w:pPr>
                </w:p>
              </w:tc>
              <w:tc>
                <w:tcPr>
                  <w:tcW w:w="4227" w:type="dxa"/>
                  <w:noWrap w:val="0"/>
                  <w:vAlign w:val="center"/>
                </w:tcPr>
                <w:p w14:paraId="0C3539F3">
                  <w:pPr>
                    <w:pStyle w:val="73"/>
                    <w:spacing w:line="240" w:lineRule="auto"/>
                    <w:ind w:firstLine="0" w:firstLineChars="0"/>
                    <w:jc w:val="center"/>
                    <w:rPr>
                      <w:rFonts w:hint="eastAsia"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氮氧化物</w:t>
                  </w:r>
                </w:p>
              </w:tc>
              <w:tc>
                <w:tcPr>
                  <w:tcW w:w="1276" w:type="dxa"/>
                  <w:noWrap w:val="0"/>
                  <w:vAlign w:val="center"/>
                </w:tcPr>
                <w:p w14:paraId="7A594E64">
                  <w:pPr>
                    <w:spacing w:line="340" w:lineRule="exact"/>
                    <w:ind w:firstLine="0" w:firstLineChars="0"/>
                    <w:jc w:val="center"/>
                    <w:rPr>
                      <w:rFonts w:hint="eastAsia" w:eastAsia="宋体"/>
                      <w:color w:val="auto"/>
                      <w:sz w:val="21"/>
                      <w:szCs w:val="21"/>
                      <w:highlight w:val="none"/>
                      <w:lang w:val="en-US" w:eastAsia="zh-CN" w:bidi="ar"/>
                    </w:rPr>
                  </w:pPr>
                  <w:r>
                    <w:rPr>
                      <w:rFonts w:hint="eastAsia"/>
                      <w:color w:val="auto"/>
                      <w:sz w:val="21"/>
                      <w:szCs w:val="21"/>
                      <w:highlight w:val="none"/>
                      <w:lang w:bidi="ar"/>
                    </w:rPr>
                    <w:t>1次/</w:t>
                  </w:r>
                  <w:r>
                    <w:rPr>
                      <w:rFonts w:hint="eastAsia"/>
                      <w:color w:val="auto"/>
                      <w:sz w:val="21"/>
                      <w:szCs w:val="21"/>
                      <w:highlight w:val="none"/>
                      <w:lang w:val="en-US" w:eastAsia="zh-CN" w:bidi="ar"/>
                    </w:rPr>
                    <w:t>月</w:t>
                  </w:r>
                </w:p>
              </w:tc>
            </w:tr>
            <w:tr w14:paraId="16BD61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268" w:type="dxa"/>
                  <w:vMerge w:val="continue"/>
                  <w:noWrap w:val="0"/>
                  <w:vAlign w:val="center"/>
                </w:tcPr>
                <w:p w14:paraId="0A4B0299">
                  <w:pPr>
                    <w:spacing w:line="340" w:lineRule="exact"/>
                    <w:ind w:firstLine="0" w:firstLineChars="0"/>
                    <w:jc w:val="center"/>
                    <w:rPr>
                      <w:rFonts w:hint="eastAsia"/>
                      <w:color w:val="auto"/>
                      <w:sz w:val="21"/>
                      <w:szCs w:val="21"/>
                      <w:highlight w:val="none"/>
                      <w:lang w:bidi="ar"/>
                    </w:rPr>
                  </w:pPr>
                </w:p>
              </w:tc>
              <w:tc>
                <w:tcPr>
                  <w:tcW w:w="1545" w:type="dxa"/>
                  <w:noWrap w:val="0"/>
                  <w:vAlign w:val="center"/>
                </w:tcPr>
                <w:p w14:paraId="552265A7">
                  <w:pPr>
                    <w:spacing w:line="340" w:lineRule="exact"/>
                    <w:ind w:firstLine="0" w:firstLineChars="0"/>
                    <w:jc w:val="center"/>
                    <w:rPr>
                      <w:rFonts w:hint="eastAsia"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sz w:val="21"/>
                      <w:szCs w:val="21"/>
                      <w:highlight w:val="none"/>
                      <w:lang w:bidi="ar"/>
                    </w:rPr>
                    <w:t>排气筒DA00</w:t>
                  </w:r>
                  <w:r>
                    <w:rPr>
                      <w:rFonts w:hint="eastAsia" w:ascii="Times New Roman" w:hAnsi="Times New Roman" w:eastAsia="宋体" w:cs="Times New Roman"/>
                      <w:color w:val="auto"/>
                      <w:sz w:val="21"/>
                      <w:szCs w:val="21"/>
                      <w:highlight w:val="none"/>
                      <w:lang w:val="en-US" w:eastAsia="zh-CN" w:bidi="ar"/>
                    </w:rPr>
                    <w:t>3</w:t>
                  </w:r>
                </w:p>
                <w:p w14:paraId="0B5A6B6F">
                  <w:pPr>
                    <w:spacing w:line="340" w:lineRule="exact"/>
                    <w:ind w:firstLine="0" w:firstLineChars="0"/>
                    <w:jc w:val="center"/>
                    <w:rPr>
                      <w:rFonts w:hint="default"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bidi="ar"/>
                    </w:rPr>
                    <w:t>排气筒DA006</w:t>
                  </w:r>
                </w:p>
              </w:tc>
              <w:tc>
                <w:tcPr>
                  <w:tcW w:w="4227" w:type="dxa"/>
                  <w:noWrap w:val="0"/>
                  <w:vAlign w:val="center"/>
                </w:tcPr>
                <w:p w14:paraId="4A45B91C">
                  <w:pPr>
                    <w:spacing w:line="340" w:lineRule="exact"/>
                    <w:ind w:firstLine="0" w:firstLineChars="0"/>
                    <w:jc w:val="center"/>
                    <w:rPr>
                      <w:rFonts w:hint="default"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bidi="ar"/>
                    </w:rPr>
                    <w:t>沥青烟、苯并[a]</w:t>
                  </w:r>
                  <w:r>
                    <w:rPr>
                      <w:rFonts w:hint="default" w:ascii="Times New Roman" w:hAnsi="Times New Roman" w:eastAsia="宋体" w:cs="Times New Roman"/>
                      <w:color w:val="auto"/>
                      <w:sz w:val="21"/>
                      <w:szCs w:val="21"/>
                      <w:highlight w:val="none"/>
                      <w:lang w:val="en-US" w:eastAsia="zh-CN" w:bidi="ar"/>
                    </w:rPr>
                    <w:t>芘</w:t>
                  </w:r>
                </w:p>
              </w:tc>
              <w:tc>
                <w:tcPr>
                  <w:tcW w:w="1276" w:type="dxa"/>
                  <w:noWrap w:val="0"/>
                  <w:vAlign w:val="center"/>
                </w:tcPr>
                <w:p w14:paraId="19F50750">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1次/年</w:t>
                  </w:r>
                </w:p>
              </w:tc>
            </w:tr>
            <w:tr w14:paraId="2E6E25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268" w:type="dxa"/>
                  <w:noWrap w:val="0"/>
                  <w:vAlign w:val="center"/>
                </w:tcPr>
                <w:p w14:paraId="523439B4">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 xml:space="preserve">无组织废气 </w:t>
                  </w:r>
                </w:p>
              </w:tc>
              <w:tc>
                <w:tcPr>
                  <w:tcW w:w="1545" w:type="dxa"/>
                  <w:noWrap w:val="0"/>
                  <w:vAlign w:val="center"/>
                </w:tcPr>
                <w:p w14:paraId="491857B0">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厂界</w:t>
                  </w:r>
                </w:p>
              </w:tc>
              <w:tc>
                <w:tcPr>
                  <w:tcW w:w="4227" w:type="dxa"/>
                  <w:noWrap w:val="0"/>
                  <w:vAlign w:val="center"/>
                </w:tcPr>
                <w:p w14:paraId="3234CF3F">
                  <w:pPr>
                    <w:spacing w:line="340" w:lineRule="exact"/>
                    <w:ind w:firstLine="0" w:firstLineChars="0"/>
                    <w:jc w:val="center"/>
                    <w:rPr>
                      <w:rFonts w:hint="eastAsia"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bidi="ar"/>
                    </w:rPr>
                    <w:t>颗粒物、苯并[a]</w:t>
                  </w:r>
                  <w:r>
                    <w:rPr>
                      <w:rFonts w:hint="default" w:ascii="Times New Roman" w:hAnsi="Times New Roman" w:eastAsia="宋体" w:cs="Times New Roman"/>
                      <w:color w:val="auto"/>
                      <w:sz w:val="21"/>
                      <w:szCs w:val="21"/>
                      <w:highlight w:val="none"/>
                      <w:lang w:val="en-US" w:eastAsia="zh-CN" w:bidi="ar"/>
                    </w:rPr>
                    <w:t>芘</w:t>
                  </w:r>
                </w:p>
              </w:tc>
              <w:tc>
                <w:tcPr>
                  <w:tcW w:w="1276" w:type="dxa"/>
                  <w:noWrap w:val="0"/>
                  <w:vAlign w:val="center"/>
                </w:tcPr>
                <w:p w14:paraId="47CF817B">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1次/年</w:t>
                  </w:r>
                </w:p>
              </w:tc>
            </w:tr>
          </w:tbl>
          <w:p w14:paraId="78C50FBA">
            <w:pPr>
              <w:pStyle w:val="4"/>
              <w:rPr>
                <w:color w:val="auto"/>
                <w:highlight w:val="none"/>
              </w:rPr>
            </w:pPr>
            <w:r>
              <w:rPr>
                <w:color w:val="auto"/>
                <w:highlight w:val="none"/>
              </w:rPr>
              <w:t>4.</w:t>
            </w:r>
            <w:r>
              <w:rPr>
                <w:rFonts w:hint="eastAsia"/>
                <w:color w:val="auto"/>
                <w:highlight w:val="none"/>
              </w:rPr>
              <w:t>2.2</w:t>
            </w:r>
            <w:r>
              <w:rPr>
                <w:color w:val="auto"/>
                <w:highlight w:val="none"/>
              </w:rPr>
              <w:t>运营期水环境影响分析和污染防治措施</w:t>
            </w:r>
          </w:p>
          <w:p w14:paraId="73AB1269">
            <w:pPr>
              <w:pStyle w:val="5"/>
              <w:rPr>
                <w:rFonts w:hint="eastAsia" w:ascii="Times New Roman" w:hAnsi="Times New Roman"/>
                <w:color w:val="auto"/>
                <w:szCs w:val="24"/>
                <w:highlight w:val="none"/>
                <w:lang w:eastAsia="zh-CN"/>
              </w:rPr>
            </w:pPr>
            <w:r>
              <w:rPr>
                <w:rFonts w:hint="eastAsia"/>
                <w:color w:val="auto"/>
                <w:highlight w:val="none"/>
              </w:rPr>
              <w:t>4.2.2.1废水污染源强分析</w:t>
            </w:r>
          </w:p>
          <w:p w14:paraId="7765E911">
            <w:pPr>
              <w:keepNext w:val="0"/>
              <w:keepLines w:val="0"/>
              <w:widowControl/>
              <w:suppressLineNumbers w:val="0"/>
              <w:jc w:val="left"/>
              <w:rPr>
                <w:color w:val="auto"/>
                <w:highlight w:val="none"/>
              </w:rPr>
            </w:pPr>
            <w:r>
              <w:rPr>
                <w:rFonts w:hint="eastAsia" w:ascii="Times New Roman" w:hAnsi="Times New Roman" w:eastAsia="宋体" w:cs="Times New Roman"/>
                <w:color w:val="auto"/>
                <w:kern w:val="0"/>
                <w:sz w:val="24"/>
                <w:szCs w:val="24"/>
                <w:highlight w:val="none"/>
                <w:lang w:val="en-US" w:eastAsia="zh-CN" w:bidi="ar"/>
              </w:rPr>
              <w:t>（1）</w:t>
            </w:r>
            <w:r>
              <w:rPr>
                <w:rFonts w:hint="eastAsia" w:ascii="宋体" w:hAnsi="宋体" w:eastAsia="宋体" w:cs="宋体"/>
                <w:color w:val="auto"/>
                <w:kern w:val="0"/>
                <w:sz w:val="24"/>
                <w:szCs w:val="24"/>
                <w:highlight w:val="none"/>
                <w:lang w:val="en-US" w:eastAsia="zh-CN" w:bidi="ar"/>
              </w:rPr>
              <w:t>车辆冲洗</w:t>
            </w:r>
            <w:r>
              <w:rPr>
                <w:rFonts w:hint="eastAsia" w:ascii="宋体" w:hAnsi="宋体" w:cs="宋体"/>
                <w:color w:val="auto"/>
                <w:kern w:val="0"/>
                <w:sz w:val="24"/>
                <w:szCs w:val="24"/>
                <w:highlight w:val="none"/>
                <w:lang w:val="en-US" w:eastAsia="zh-CN" w:bidi="ar"/>
              </w:rPr>
              <w:t>废水</w:t>
            </w:r>
            <w:r>
              <w:rPr>
                <w:rFonts w:hint="eastAsia" w:ascii="宋体" w:hAnsi="宋体" w:eastAsia="宋体" w:cs="宋体"/>
                <w:color w:val="auto"/>
                <w:kern w:val="0"/>
                <w:sz w:val="24"/>
                <w:szCs w:val="24"/>
                <w:highlight w:val="none"/>
                <w:lang w:val="en-US" w:eastAsia="zh-CN" w:bidi="ar"/>
              </w:rPr>
              <w:t xml:space="preserve"> </w:t>
            </w:r>
          </w:p>
          <w:p w14:paraId="478699CF">
            <w:pPr>
              <w:keepNext w:val="0"/>
              <w:keepLines w:val="0"/>
              <w:widowControl/>
              <w:suppressLineNumbers w:val="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项目</w:t>
            </w:r>
            <w:r>
              <w:rPr>
                <w:rFonts w:hint="eastAsia" w:ascii="宋体" w:hAnsi="宋体" w:cs="宋体"/>
                <w:color w:val="auto"/>
                <w:kern w:val="0"/>
                <w:sz w:val="24"/>
                <w:szCs w:val="24"/>
                <w:highlight w:val="none"/>
                <w:lang w:val="en-US" w:eastAsia="zh-CN" w:bidi="ar"/>
              </w:rPr>
              <w:t>一期</w:t>
            </w:r>
            <w:r>
              <w:rPr>
                <w:rFonts w:hint="eastAsia" w:ascii="宋体" w:hAnsi="宋体" w:eastAsia="宋体" w:cs="宋体"/>
                <w:color w:val="auto"/>
                <w:kern w:val="0"/>
                <w:sz w:val="24"/>
                <w:szCs w:val="24"/>
                <w:highlight w:val="none"/>
                <w:lang w:val="en-US" w:eastAsia="zh-CN" w:bidi="ar"/>
              </w:rPr>
              <w:t>沥青混凝土生产规模为</w:t>
            </w:r>
            <w:r>
              <w:rPr>
                <w:rFonts w:hint="default" w:ascii="Times New Roman" w:hAnsi="Times New Roman" w:eastAsia="宋体" w:cs="Times New Roman"/>
                <w:color w:val="auto"/>
                <w:kern w:val="0"/>
                <w:sz w:val="24"/>
                <w:szCs w:val="24"/>
                <w:highlight w:val="none"/>
                <w:lang w:val="en-US" w:eastAsia="zh-CN" w:bidi="ar"/>
              </w:rPr>
              <w:t>9</w:t>
            </w:r>
            <w:r>
              <w:rPr>
                <w:rFonts w:hint="eastAsia" w:ascii="Times New Roman" w:hAnsi="Times New Roman" w:eastAsia="宋体" w:cs="Times New Roman"/>
                <w:color w:val="auto"/>
                <w:kern w:val="0"/>
                <w:sz w:val="24"/>
                <w:szCs w:val="24"/>
                <w:highlight w:val="none"/>
                <w:lang w:val="en-US" w:eastAsia="zh-CN" w:bidi="ar"/>
              </w:rPr>
              <w:t>.5</w:t>
            </w:r>
            <w:r>
              <w:rPr>
                <w:rFonts w:hint="eastAsia" w:ascii="宋体" w:hAnsi="宋体" w:eastAsia="宋体" w:cs="宋体"/>
                <w:color w:val="auto"/>
                <w:kern w:val="0"/>
                <w:sz w:val="24"/>
                <w:szCs w:val="24"/>
                <w:highlight w:val="none"/>
                <w:lang w:val="en-US" w:eastAsia="zh-CN" w:bidi="ar"/>
              </w:rPr>
              <w:t>万</w:t>
            </w:r>
            <w:r>
              <w:rPr>
                <w:rFonts w:hint="default" w:ascii="Times New Roman" w:hAnsi="Times New Roman" w:eastAsia="宋体" w:cs="Times New Roman"/>
                <w:color w:val="auto"/>
                <w:kern w:val="0"/>
                <w:sz w:val="24"/>
                <w:szCs w:val="24"/>
                <w:highlight w:val="none"/>
                <w:lang w:val="en-US" w:eastAsia="zh-CN" w:bidi="ar"/>
              </w:rPr>
              <w:t>t/a</w:t>
            </w:r>
            <w:r>
              <w:rPr>
                <w:rFonts w:hint="eastAsia" w:ascii="Times New Roman" w:hAnsi="Times New Roman" w:eastAsia="宋体" w:cs="Times New Roman"/>
                <w:color w:val="auto"/>
                <w:kern w:val="0"/>
                <w:sz w:val="24"/>
                <w:szCs w:val="24"/>
                <w:highlight w:val="none"/>
                <w:lang w:val="en-US" w:eastAsia="zh-CN" w:bidi="ar"/>
              </w:rPr>
              <w:t>，</w:t>
            </w:r>
            <w:r>
              <w:rPr>
                <w:rFonts w:hint="eastAsia"/>
                <w:color w:val="auto"/>
                <w:highlight w:val="none"/>
                <w:lang w:val="en-US" w:eastAsia="zh-CN"/>
              </w:rPr>
              <w:t>碎石使用量为86440</w:t>
            </w:r>
            <w:r>
              <w:rPr>
                <w:rFonts w:hint="default"/>
                <w:color w:val="auto"/>
                <w:highlight w:val="none"/>
                <w:lang w:val="en-US" w:eastAsia="zh-CN"/>
              </w:rPr>
              <w:t>t/a</w:t>
            </w:r>
            <w:r>
              <w:rPr>
                <w:rFonts w:hint="eastAsia"/>
                <w:color w:val="auto"/>
                <w:highlight w:val="none"/>
                <w:lang w:val="en-US" w:eastAsia="zh-CN"/>
              </w:rPr>
              <w:t>；</w:t>
            </w:r>
            <w:r>
              <w:rPr>
                <w:rFonts w:hint="eastAsia" w:ascii="宋体" w:hAnsi="宋体" w:cs="宋体"/>
                <w:color w:val="auto"/>
                <w:kern w:val="0"/>
                <w:sz w:val="24"/>
                <w:szCs w:val="24"/>
                <w:highlight w:val="none"/>
                <w:lang w:val="en-US" w:eastAsia="zh-CN" w:bidi="ar"/>
              </w:rPr>
              <w:t>二期</w:t>
            </w:r>
            <w:r>
              <w:rPr>
                <w:rFonts w:hint="eastAsia" w:ascii="宋体" w:hAnsi="宋体" w:eastAsia="宋体" w:cs="宋体"/>
                <w:color w:val="auto"/>
                <w:kern w:val="0"/>
                <w:sz w:val="24"/>
                <w:szCs w:val="24"/>
                <w:highlight w:val="none"/>
                <w:lang w:val="en-US" w:eastAsia="zh-CN" w:bidi="ar"/>
              </w:rPr>
              <w:t>沥青混凝土生产规模为</w:t>
            </w:r>
            <w:r>
              <w:rPr>
                <w:rFonts w:hint="eastAsia" w:ascii="Times New Roman" w:hAnsi="Times New Roman" w:eastAsia="宋体" w:cs="Times New Roman"/>
                <w:color w:val="auto"/>
                <w:kern w:val="0"/>
                <w:sz w:val="24"/>
                <w:szCs w:val="24"/>
                <w:highlight w:val="none"/>
                <w:lang w:val="en-US" w:eastAsia="zh-CN" w:bidi="ar"/>
              </w:rPr>
              <w:t>19</w:t>
            </w:r>
            <w:r>
              <w:rPr>
                <w:rFonts w:hint="eastAsia" w:ascii="宋体" w:hAnsi="宋体" w:eastAsia="宋体" w:cs="宋体"/>
                <w:color w:val="auto"/>
                <w:kern w:val="0"/>
                <w:sz w:val="24"/>
                <w:szCs w:val="24"/>
                <w:highlight w:val="none"/>
                <w:lang w:val="en-US" w:eastAsia="zh-CN" w:bidi="ar"/>
              </w:rPr>
              <w:t>万</w:t>
            </w:r>
            <w:r>
              <w:rPr>
                <w:rFonts w:hint="default" w:ascii="Times New Roman" w:hAnsi="Times New Roman" w:eastAsia="宋体" w:cs="Times New Roman"/>
                <w:color w:val="auto"/>
                <w:kern w:val="0"/>
                <w:sz w:val="24"/>
                <w:szCs w:val="24"/>
                <w:highlight w:val="none"/>
                <w:lang w:val="en-US" w:eastAsia="zh-CN" w:bidi="ar"/>
              </w:rPr>
              <w:t>t/a</w:t>
            </w:r>
            <w:r>
              <w:rPr>
                <w:rFonts w:hint="eastAsia" w:ascii="Times New Roman" w:hAnsi="Times New Roman" w:eastAsia="宋体" w:cs="Times New Roman"/>
                <w:color w:val="auto"/>
                <w:kern w:val="0"/>
                <w:sz w:val="24"/>
                <w:szCs w:val="24"/>
                <w:highlight w:val="none"/>
                <w:lang w:val="en-US" w:eastAsia="zh-CN" w:bidi="ar"/>
              </w:rPr>
              <w:t>，</w:t>
            </w:r>
            <w:r>
              <w:rPr>
                <w:rFonts w:hint="eastAsia"/>
                <w:color w:val="auto"/>
                <w:highlight w:val="none"/>
                <w:lang w:val="en-US" w:eastAsia="zh-CN"/>
              </w:rPr>
              <w:t>碎石使用量为172880</w:t>
            </w:r>
            <w:r>
              <w:rPr>
                <w:rFonts w:hint="default"/>
                <w:color w:val="auto"/>
                <w:highlight w:val="none"/>
                <w:lang w:val="en-US" w:eastAsia="zh-CN"/>
              </w:rPr>
              <w:t>t/a</w:t>
            </w:r>
            <w:r>
              <w:rPr>
                <w:rFonts w:hint="eastAsia"/>
                <w:color w:val="auto"/>
                <w:highlight w:val="none"/>
                <w:lang w:val="en-US" w:eastAsia="zh-CN"/>
              </w:rPr>
              <w:t>。</w:t>
            </w:r>
            <w:r>
              <w:rPr>
                <w:rFonts w:hint="eastAsia" w:ascii="宋体" w:hAnsi="宋体" w:eastAsia="宋体" w:cs="宋体"/>
                <w:color w:val="auto"/>
                <w:kern w:val="0"/>
                <w:sz w:val="24"/>
                <w:szCs w:val="24"/>
                <w:highlight w:val="none"/>
                <w:lang w:val="en-US" w:eastAsia="zh-CN" w:bidi="ar"/>
              </w:rPr>
              <w:t>厂区工作时间为</w:t>
            </w:r>
            <w:r>
              <w:rPr>
                <w:rFonts w:hint="eastAsia" w:ascii="Times New Roman" w:hAnsi="Times New Roman" w:eastAsia="宋体" w:cs="Times New Roman"/>
                <w:color w:val="auto"/>
                <w:kern w:val="0"/>
                <w:sz w:val="24"/>
                <w:szCs w:val="24"/>
                <w:highlight w:val="none"/>
                <w:lang w:val="en-US" w:eastAsia="zh-CN" w:bidi="ar"/>
              </w:rPr>
              <w:t>240d</w:t>
            </w:r>
            <w:r>
              <w:rPr>
                <w:rFonts w:hint="eastAsia"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根据建设单位提供资料，每车次运输量最</w:t>
            </w:r>
            <w:r>
              <w:rPr>
                <w:rFonts w:hint="eastAsia"/>
                <w:color w:val="auto"/>
                <w:highlight w:val="none"/>
                <w:lang w:val="en-US" w:eastAsia="zh-CN"/>
              </w:rPr>
              <w:t>大为3</w:t>
            </w:r>
            <w:r>
              <w:rPr>
                <w:rFonts w:hint="default"/>
                <w:color w:val="auto"/>
                <w:highlight w:val="none"/>
                <w:lang w:val="en-US" w:eastAsia="zh-CN"/>
              </w:rPr>
              <w:t>0</w:t>
            </w:r>
            <w:r>
              <w:rPr>
                <w:rFonts w:hint="eastAsia" w:ascii="Times New Roman" w:hAnsi="Times New Roman" w:eastAsia="宋体" w:cs="Times New Roman"/>
                <w:color w:val="auto"/>
                <w:kern w:val="0"/>
                <w:sz w:val="24"/>
                <w:szCs w:val="24"/>
                <w:highlight w:val="none"/>
                <w:lang w:val="en-US" w:eastAsia="zh-CN" w:bidi="ar"/>
              </w:rPr>
              <w:t>t</w:t>
            </w:r>
            <w:r>
              <w:rPr>
                <w:rFonts w:hint="eastAsia"/>
                <w:color w:val="auto"/>
                <w:highlight w:val="none"/>
                <w:lang w:val="en-US" w:eastAsia="zh-CN"/>
              </w:rPr>
              <w:t>，</w:t>
            </w:r>
            <w:r>
              <w:rPr>
                <w:rFonts w:hint="eastAsia" w:ascii="宋体" w:hAnsi="宋体" w:eastAsia="宋体" w:cs="宋体"/>
                <w:color w:val="auto"/>
                <w:kern w:val="0"/>
                <w:sz w:val="24"/>
                <w:szCs w:val="24"/>
                <w:highlight w:val="none"/>
                <w:lang w:val="en-US" w:eastAsia="zh-CN" w:bidi="ar"/>
              </w:rPr>
              <w:t>则</w:t>
            </w:r>
            <w:r>
              <w:rPr>
                <w:rFonts w:hint="eastAsia" w:ascii="宋体" w:hAnsi="宋体" w:cs="宋体"/>
                <w:color w:val="auto"/>
                <w:kern w:val="0"/>
                <w:sz w:val="24"/>
                <w:szCs w:val="24"/>
                <w:highlight w:val="none"/>
                <w:lang w:val="en-US" w:eastAsia="zh-CN" w:bidi="ar"/>
              </w:rPr>
              <w:t>项目一期</w:t>
            </w:r>
            <w:r>
              <w:rPr>
                <w:rFonts w:hint="eastAsia" w:ascii="宋体" w:hAnsi="宋体" w:eastAsia="宋体" w:cs="宋体"/>
                <w:color w:val="auto"/>
                <w:kern w:val="0"/>
                <w:sz w:val="24"/>
                <w:szCs w:val="24"/>
                <w:highlight w:val="none"/>
                <w:lang w:val="en-US" w:eastAsia="zh-CN" w:bidi="ar"/>
              </w:rPr>
              <w:t>每天运输需</w:t>
            </w:r>
            <w:r>
              <w:rPr>
                <w:rFonts w:hint="eastAsia" w:ascii="Times New Roman" w:hAnsi="Times New Roman" w:eastAsia="宋体" w:cs="Times New Roman"/>
                <w:color w:val="auto"/>
                <w:kern w:val="0"/>
                <w:sz w:val="24"/>
                <w:szCs w:val="24"/>
                <w:highlight w:val="none"/>
                <w:lang w:val="en-US" w:eastAsia="zh-CN" w:bidi="ar"/>
              </w:rPr>
              <w:t>26</w:t>
            </w:r>
            <w:r>
              <w:rPr>
                <w:rFonts w:hint="eastAsia" w:ascii="宋体" w:hAnsi="宋体" w:eastAsia="宋体" w:cs="宋体"/>
                <w:color w:val="auto"/>
                <w:kern w:val="0"/>
                <w:sz w:val="24"/>
                <w:szCs w:val="24"/>
                <w:highlight w:val="none"/>
                <w:lang w:val="en-US" w:eastAsia="zh-CN" w:bidi="ar"/>
              </w:rPr>
              <w:t>辆车次</w:t>
            </w:r>
            <w:r>
              <w:rPr>
                <w:rFonts w:hint="eastAsia" w:ascii="宋体" w:hAnsi="宋体" w:cs="宋体"/>
                <w:color w:val="auto"/>
                <w:kern w:val="0"/>
                <w:sz w:val="24"/>
                <w:szCs w:val="24"/>
                <w:highlight w:val="none"/>
                <w:lang w:val="en-US" w:eastAsia="zh-CN" w:bidi="ar"/>
              </w:rPr>
              <w:t>，二期</w:t>
            </w:r>
            <w:r>
              <w:rPr>
                <w:rFonts w:hint="eastAsia" w:ascii="宋体" w:hAnsi="宋体" w:eastAsia="宋体" w:cs="宋体"/>
                <w:color w:val="auto"/>
                <w:kern w:val="0"/>
                <w:sz w:val="24"/>
                <w:szCs w:val="24"/>
                <w:highlight w:val="none"/>
                <w:lang w:val="en-US" w:eastAsia="zh-CN" w:bidi="ar"/>
              </w:rPr>
              <w:t>每天运输需</w:t>
            </w:r>
            <w:r>
              <w:rPr>
                <w:rFonts w:hint="eastAsia" w:ascii="Times New Roman" w:hAnsi="Times New Roman" w:eastAsia="宋体" w:cs="Times New Roman"/>
                <w:color w:val="auto"/>
                <w:kern w:val="0"/>
                <w:sz w:val="24"/>
                <w:szCs w:val="24"/>
                <w:highlight w:val="none"/>
                <w:lang w:val="en-US" w:eastAsia="zh-CN" w:bidi="ar"/>
              </w:rPr>
              <w:t>51</w:t>
            </w:r>
            <w:r>
              <w:rPr>
                <w:rFonts w:hint="eastAsia" w:ascii="宋体" w:hAnsi="宋体" w:eastAsia="宋体" w:cs="宋体"/>
                <w:color w:val="auto"/>
                <w:kern w:val="0"/>
                <w:sz w:val="24"/>
                <w:szCs w:val="24"/>
                <w:highlight w:val="none"/>
                <w:lang w:val="en-US" w:eastAsia="zh-CN" w:bidi="ar"/>
              </w:rPr>
              <w:t>辆车次。场内运输路线基本水泥硬化，正常情况下车辆轮胎不会沾染泥土及物料，为确保车辆出厂后轮胎保持干净，降低扬尘的产生，要求出厂时对轮胎进行冲洗。根据建设单位提供资料，车辆冲洗水量约为</w:t>
            </w:r>
            <w:r>
              <w:rPr>
                <w:rFonts w:hint="default" w:ascii="Times New Roman" w:hAnsi="Times New Roman" w:eastAsia="宋体" w:cs="Times New Roman"/>
                <w:color w:val="auto"/>
                <w:kern w:val="0"/>
                <w:sz w:val="24"/>
                <w:szCs w:val="24"/>
                <w:highlight w:val="none"/>
                <w:lang w:val="en-US" w:eastAsia="zh-CN" w:bidi="ar"/>
              </w:rPr>
              <w:t>0.2t/</w:t>
            </w:r>
            <w:r>
              <w:rPr>
                <w:rFonts w:hint="eastAsia" w:ascii="宋体" w:hAnsi="宋体" w:eastAsia="宋体" w:cs="宋体"/>
                <w:color w:val="auto"/>
                <w:kern w:val="0"/>
                <w:sz w:val="24"/>
                <w:szCs w:val="24"/>
                <w:highlight w:val="none"/>
                <w:lang w:val="en-US" w:eastAsia="zh-CN" w:bidi="ar"/>
              </w:rPr>
              <w:t>辆</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次，</w:t>
            </w:r>
            <w:r>
              <w:rPr>
                <w:rFonts w:hint="eastAsia" w:ascii="宋体" w:hAnsi="宋体" w:cs="宋体"/>
                <w:color w:val="auto"/>
                <w:kern w:val="0"/>
                <w:sz w:val="24"/>
                <w:szCs w:val="24"/>
                <w:highlight w:val="none"/>
                <w:lang w:val="en-US" w:eastAsia="zh-CN" w:bidi="ar"/>
              </w:rPr>
              <w:t>废水</w:t>
            </w:r>
            <w:r>
              <w:rPr>
                <w:rFonts w:hint="eastAsia" w:ascii="宋体" w:hAnsi="宋体" w:eastAsia="宋体" w:cs="宋体"/>
                <w:color w:val="auto"/>
                <w:kern w:val="0"/>
                <w:sz w:val="24"/>
                <w:szCs w:val="24"/>
                <w:highlight w:val="none"/>
                <w:lang w:val="en-US" w:eastAsia="zh-CN" w:bidi="ar"/>
              </w:rPr>
              <w:t>损耗以</w:t>
            </w:r>
            <w:r>
              <w:rPr>
                <w:rFonts w:hint="default" w:ascii="Times New Roman" w:hAnsi="Times New Roman" w:eastAsia="宋体" w:cs="Times New Roman"/>
                <w:color w:val="auto"/>
                <w:kern w:val="0"/>
                <w:sz w:val="24"/>
                <w:szCs w:val="24"/>
                <w:highlight w:val="none"/>
                <w:lang w:val="en-US" w:eastAsia="zh-CN" w:bidi="ar"/>
              </w:rPr>
              <w:t>10%</w:t>
            </w:r>
            <w:r>
              <w:rPr>
                <w:rFonts w:hint="eastAsia" w:ascii="宋体" w:hAnsi="宋体" w:eastAsia="宋体" w:cs="宋体"/>
                <w:color w:val="auto"/>
                <w:kern w:val="0"/>
                <w:sz w:val="24"/>
                <w:szCs w:val="24"/>
                <w:highlight w:val="none"/>
                <w:lang w:val="en-US" w:eastAsia="zh-CN" w:bidi="ar"/>
              </w:rPr>
              <w:t>计，该废水的主要污染因子为</w:t>
            </w:r>
            <w:r>
              <w:rPr>
                <w:rFonts w:hint="default" w:ascii="Times New Roman" w:hAnsi="Times New Roman" w:eastAsia="宋体" w:cs="Times New Roman"/>
                <w:color w:val="auto"/>
                <w:kern w:val="0"/>
                <w:sz w:val="24"/>
                <w:szCs w:val="24"/>
                <w:highlight w:val="none"/>
                <w:lang w:val="en-US" w:eastAsia="zh-CN" w:bidi="ar"/>
              </w:rPr>
              <w:t>SS</w:t>
            </w:r>
            <w:r>
              <w:rPr>
                <w:rFonts w:hint="eastAsia" w:ascii="宋体" w:hAnsi="宋体" w:eastAsia="宋体" w:cs="宋体"/>
                <w:color w:val="auto"/>
                <w:kern w:val="0"/>
                <w:sz w:val="24"/>
                <w:szCs w:val="24"/>
                <w:highlight w:val="none"/>
                <w:lang w:val="en-US" w:eastAsia="zh-CN" w:bidi="ar"/>
              </w:rPr>
              <w:t>，其浓度大约</w:t>
            </w:r>
            <w:r>
              <w:rPr>
                <w:rFonts w:hint="default" w:ascii="Times New Roman" w:hAnsi="Times New Roman" w:eastAsia="宋体" w:cs="Times New Roman"/>
                <w:color w:val="auto"/>
                <w:kern w:val="0"/>
                <w:sz w:val="24"/>
                <w:szCs w:val="24"/>
                <w:highlight w:val="none"/>
                <w:lang w:val="en-US" w:eastAsia="zh-CN" w:bidi="ar"/>
              </w:rPr>
              <w:t>1500mg/L</w:t>
            </w:r>
            <w:r>
              <w:rPr>
                <w:rFonts w:hint="eastAsia" w:ascii="宋体" w:hAnsi="宋体" w:eastAsia="宋体" w:cs="宋体"/>
                <w:color w:val="auto"/>
                <w:kern w:val="0"/>
                <w:sz w:val="24"/>
                <w:szCs w:val="24"/>
                <w:highlight w:val="none"/>
                <w:lang w:val="en-US" w:eastAsia="zh-CN" w:bidi="ar"/>
              </w:rPr>
              <w:t>，经沉淀后循环使用，定期补充新水。</w:t>
            </w:r>
            <w:r>
              <w:rPr>
                <w:rFonts w:hint="default" w:ascii="Times New Roman" w:hAnsi="Times New Roman" w:cs="Times New Roman"/>
                <w:color w:val="auto"/>
                <w:highlight w:val="none"/>
                <w:lang w:val="en-US" w:eastAsia="zh-CN"/>
              </w:rPr>
              <w:t>本项目</w:t>
            </w:r>
            <w:r>
              <w:rPr>
                <w:rFonts w:hint="eastAsia" w:ascii="宋体" w:hAnsi="宋体" w:eastAsia="宋体" w:cs="宋体"/>
                <w:color w:val="auto"/>
                <w:kern w:val="0"/>
                <w:sz w:val="24"/>
                <w:szCs w:val="24"/>
                <w:highlight w:val="none"/>
                <w:lang w:val="en-US" w:eastAsia="zh-CN" w:bidi="ar"/>
              </w:rPr>
              <w:t>车辆冲洗废水</w:t>
            </w:r>
            <w:r>
              <w:rPr>
                <w:rFonts w:hint="eastAsia" w:ascii="Times New Roman" w:hAnsi="Times New Roman" w:cs="Times New Roman"/>
                <w:color w:val="auto"/>
                <w:highlight w:val="none"/>
                <w:lang w:val="en-US" w:eastAsia="zh-CN"/>
              </w:rPr>
              <w:t>产排</w:t>
            </w:r>
            <w:r>
              <w:rPr>
                <w:rFonts w:hint="default" w:ascii="Times New Roman" w:hAnsi="Times New Roman" w:cs="Times New Roman"/>
                <w:color w:val="auto"/>
                <w:highlight w:val="none"/>
                <w:lang w:val="en-US" w:eastAsia="zh-CN"/>
              </w:rPr>
              <w:t>情况见表4.2-</w:t>
            </w:r>
            <w:r>
              <w:rPr>
                <w:rFonts w:hint="eastAsia" w:ascii="Times New Roman" w:hAnsi="Times New Roman" w:cs="Times New Roman"/>
                <w:color w:val="auto"/>
                <w:highlight w:val="none"/>
                <w:lang w:val="en-US" w:eastAsia="zh-CN"/>
              </w:rPr>
              <w:t>1</w:t>
            </w:r>
            <w:r>
              <w:rPr>
                <w:rFonts w:hint="eastAsia" w:cs="Times New Roman"/>
                <w:color w:val="auto"/>
                <w:highlight w:val="none"/>
                <w:lang w:val="en-US" w:eastAsia="zh-CN"/>
              </w:rPr>
              <w:t>8</w:t>
            </w:r>
            <w:r>
              <w:rPr>
                <w:rFonts w:hint="default" w:ascii="Times New Roman" w:hAnsi="Times New Roman" w:cs="Times New Roman"/>
                <w:color w:val="auto"/>
                <w:highlight w:val="none"/>
                <w:lang w:val="en-US" w:eastAsia="zh-CN"/>
              </w:rPr>
              <w:t>。</w:t>
            </w:r>
          </w:p>
          <w:p w14:paraId="31F96081">
            <w:pPr>
              <w:ind w:firstLine="0" w:firstLineChars="0"/>
              <w:jc w:val="center"/>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表4.2-1</w:t>
            </w:r>
            <w:r>
              <w:rPr>
                <w:rFonts w:hint="eastAsia" w:cs="Times New Roman"/>
                <w:b/>
                <w:bCs/>
                <w:color w:val="auto"/>
                <w:highlight w:val="none"/>
                <w:lang w:val="en-US" w:eastAsia="zh-CN"/>
              </w:rPr>
              <w:t>8</w:t>
            </w:r>
            <w:r>
              <w:rPr>
                <w:rFonts w:hint="eastAsia" w:ascii="Times New Roman" w:hAnsi="Times New Roman" w:eastAsia="宋体" w:cs="Times New Roman"/>
                <w:b/>
                <w:bCs/>
                <w:color w:val="auto"/>
                <w:highlight w:val="none"/>
                <w:lang w:val="en-US" w:eastAsia="zh-CN"/>
              </w:rPr>
              <w:t xml:space="preserve"> 车辆冲洗废水产排</w:t>
            </w:r>
            <w:r>
              <w:rPr>
                <w:rFonts w:hint="default" w:ascii="Times New Roman" w:hAnsi="Times New Roman" w:eastAsia="宋体" w:cs="Times New Roman"/>
                <w:b/>
                <w:bCs/>
                <w:color w:val="auto"/>
                <w:highlight w:val="none"/>
                <w:lang w:val="en-US" w:eastAsia="zh-CN"/>
              </w:rPr>
              <w:t>情况</w:t>
            </w:r>
            <w:r>
              <w:rPr>
                <w:rFonts w:hint="eastAsia" w:ascii="Times New Roman" w:hAnsi="Times New Roman" w:eastAsia="宋体" w:cs="Times New Roman"/>
                <w:b/>
                <w:bCs/>
                <w:color w:val="auto"/>
                <w:highlight w:val="none"/>
                <w:lang w:val="en-US" w:eastAsia="zh-CN"/>
              </w:rPr>
              <w:t>一览表</w:t>
            </w:r>
          </w:p>
          <w:tbl>
            <w:tblPr>
              <w:tblStyle w:val="129"/>
              <w:tblW w:w="8456"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815"/>
              <w:gridCol w:w="736"/>
              <w:gridCol w:w="1196"/>
              <w:gridCol w:w="1112"/>
              <w:gridCol w:w="910"/>
              <w:gridCol w:w="854"/>
              <w:gridCol w:w="1052"/>
              <w:gridCol w:w="871"/>
              <w:gridCol w:w="910"/>
            </w:tblGrid>
            <w:tr w14:paraId="7ABA51C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92" w:hRule="atLeast"/>
                <w:jc w:val="center"/>
              </w:trPr>
              <w:tc>
                <w:tcPr>
                  <w:tcW w:w="917" w:type="pct"/>
                  <w:gridSpan w:val="2"/>
                  <w:tcBorders>
                    <w:tl2br w:val="nil"/>
                    <w:tr2bl w:val="nil"/>
                  </w:tcBorders>
                  <w:noWrap w:val="0"/>
                  <w:vAlign w:val="center"/>
                </w:tcPr>
                <w:p w14:paraId="0A745862">
                  <w:pPr>
                    <w:pStyle w:val="98"/>
                    <w:widowControl w:val="0"/>
                    <w:kinsoku/>
                    <w:autoSpaceDE/>
                    <w:autoSpaceDN/>
                    <w:adjustRightInd/>
                    <w:snapToGrid/>
                    <w:jc w:val="center"/>
                    <w:textAlignment w:val="auto"/>
                    <w:rPr>
                      <w:rFonts w:hint="eastAsia" w:ascii="Times New Roman" w:hAnsi="Times New Roman" w:eastAsia="宋体" w:cs="Times New Roman"/>
                      <w:b/>
                      <w:bCs/>
                      <w:snapToGrid/>
                      <w:color w:val="auto"/>
                      <w:kern w:val="2"/>
                      <w:szCs w:val="24"/>
                      <w:highlight w:val="none"/>
                      <w:lang w:eastAsia="zh-CN"/>
                    </w:rPr>
                  </w:pPr>
                  <w:r>
                    <w:rPr>
                      <w:rFonts w:hint="eastAsia" w:ascii="Times New Roman" w:hAnsi="Times New Roman" w:eastAsia="宋体" w:cs="Times New Roman"/>
                      <w:b/>
                      <w:bCs/>
                      <w:snapToGrid/>
                      <w:color w:val="auto"/>
                      <w:kern w:val="2"/>
                      <w:szCs w:val="24"/>
                      <w:highlight w:val="none"/>
                      <w:lang w:eastAsia="zh-CN"/>
                    </w:rPr>
                    <w:t>污染物</w:t>
                  </w:r>
                </w:p>
              </w:tc>
              <w:tc>
                <w:tcPr>
                  <w:tcW w:w="707" w:type="pct"/>
                  <w:tcBorders>
                    <w:tl2br w:val="nil"/>
                    <w:tr2bl w:val="nil"/>
                  </w:tcBorders>
                  <w:noWrap w:val="0"/>
                  <w:vAlign w:val="center"/>
                </w:tcPr>
                <w:p w14:paraId="29859E53">
                  <w:pPr>
                    <w:pStyle w:val="98"/>
                    <w:widowControl w:val="0"/>
                    <w:kinsoku/>
                    <w:autoSpaceDE/>
                    <w:autoSpaceDN/>
                    <w:adjustRightInd/>
                    <w:snapToGrid/>
                    <w:jc w:val="center"/>
                    <w:textAlignment w:val="auto"/>
                    <w:rPr>
                      <w:rFonts w:hint="eastAsia" w:ascii="Times New Roman" w:hAnsi="Times New Roman" w:eastAsia="宋体" w:cs="Times New Roman"/>
                      <w:b/>
                      <w:bCs/>
                      <w:snapToGrid/>
                      <w:color w:val="auto"/>
                      <w:kern w:val="2"/>
                      <w:szCs w:val="24"/>
                      <w:highlight w:val="none"/>
                      <w:lang w:val="en-US" w:eastAsia="zh-CN"/>
                    </w:rPr>
                  </w:pPr>
                  <w:r>
                    <w:rPr>
                      <w:rFonts w:hint="eastAsia" w:ascii="Times New Roman" w:hAnsi="Times New Roman" w:eastAsia="宋体" w:cs="Times New Roman"/>
                      <w:b/>
                      <w:bCs/>
                      <w:snapToGrid/>
                      <w:color w:val="auto"/>
                      <w:kern w:val="2"/>
                      <w:szCs w:val="24"/>
                      <w:highlight w:val="none"/>
                      <w:lang w:val="en-US" w:eastAsia="zh-CN"/>
                    </w:rPr>
                    <w:t>沥青混凝土生产规模</w:t>
                  </w:r>
                </w:p>
                <w:p w14:paraId="019AC257">
                  <w:pPr>
                    <w:pStyle w:val="98"/>
                    <w:widowControl w:val="0"/>
                    <w:kinsoku/>
                    <w:autoSpaceDE/>
                    <w:autoSpaceDN/>
                    <w:adjustRightInd/>
                    <w:snapToGrid/>
                    <w:jc w:val="center"/>
                    <w:textAlignment w:val="auto"/>
                    <w:rPr>
                      <w:rFonts w:hint="default" w:ascii="Times New Roman" w:hAnsi="Times New Roman" w:eastAsia="宋体" w:cs="Times New Roman"/>
                      <w:b/>
                      <w:bCs/>
                      <w:snapToGrid/>
                      <w:color w:val="auto"/>
                      <w:kern w:val="2"/>
                      <w:szCs w:val="24"/>
                      <w:highlight w:val="none"/>
                      <w:lang w:val="en-US" w:eastAsia="zh-CN"/>
                    </w:rPr>
                  </w:pPr>
                  <w:r>
                    <w:rPr>
                      <w:rFonts w:hint="eastAsia" w:ascii="Times New Roman" w:hAnsi="Times New Roman" w:eastAsia="宋体" w:cs="Times New Roman"/>
                      <w:b/>
                      <w:bCs/>
                      <w:snapToGrid/>
                      <w:color w:val="auto"/>
                      <w:kern w:val="2"/>
                      <w:szCs w:val="24"/>
                      <w:highlight w:val="none"/>
                      <w:lang w:val="en-US" w:eastAsia="zh-CN"/>
                    </w:rPr>
                    <w:t>（t/a）</w:t>
                  </w:r>
                </w:p>
              </w:tc>
              <w:tc>
                <w:tcPr>
                  <w:tcW w:w="657" w:type="pct"/>
                  <w:tcBorders>
                    <w:tl2br w:val="nil"/>
                    <w:tr2bl w:val="nil"/>
                  </w:tcBorders>
                  <w:noWrap w:val="0"/>
                  <w:vAlign w:val="center"/>
                </w:tcPr>
                <w:p w14:paraId="188F655F">
                  <w:pPr>
                    <w:pStyle w:val="98"/>
                    <w:widowControl w:val="0"/>
                    <w:kinsoku/>
                    <w:autoSpaceDE/>
                    <w:autoSpaceDN/>
                    <w:adjustRightInd/>
                    <w:snapToGrid/>
                    <w:jc w:val="center"/>
                    <w:textAlignment w:val="auto"/>
                    <w:rPr>
                      <w:rFonts w:hint="eastAsia" w:ascii="Times New Roman" w:hAnsi="Times New Roman" w:eastAsia="宋体" w:cs="Times New Roman"/>
                      <w:b/>
                      <w:bCs/>
                      <w:snapToGrid/>
                      <w:color w:val="auto"/>
                      <w:kern w:val="2"/>
                      <w:szCs w:val="24"/>
                      <w:highlight w:val="none"/>
                      <w:lang w:val="en-US" w:eastAsia="zh-CN"/>
                    </w:rPr>
                  </w:pPr>
                  <w:r>
                    <w:rPr>
                      <w:rFonts w:hint="eastAsia" w:ascii="Times New Roman" w:hAnsi="Times New Roman" w:eastAsia="宋体" w:cs="Times New Roman"/>
                      <w:b/>
                      <w:bCs/>
                      <w:snapToGrid/>
                      <w:color w:val="auto"/>
                      <w:kern w:val="2"/>
                      <w:szCs w:val="24"/>
                      <w:highlight w:val="none"/>
                      <w:lang w:val="en-US" w:eastAsia="zh-CN"/>
                    </w:rPr>
                    <w:t>碎石使用量</w:t>
                  </w:r>
                </w:p>
                <w:p w14:paraId="496FAFA0">
                  <w:pPr>
                    <w:pStyle w:val="98"/>
                    <w:widowControl w:val="0"/>
                    <w:kinsoku/>
                    <w:autoSpaceDE/>
                    <w:autoSpaceDN/>
                    <w:adjustRightInd/>
                    <w:snapToGrid/>
                    <w:jc w:val="center"/>
                    <w:textAlignment w:val="auto"/>
                    <w:rPr>
                      <w:rFonts w:hint="default" w:ascii="Times New Roman" w:hAnsi="Times New Roman" w:eastAsia="宋体" w:cs="Times New Roman"/>
                      <w:b/>
                      <w:bCs/>
                      <w:snapToGrid/>
                      <w:color w:val="auto"/>
                      <w:kern w:val="2"/>
                      <w:szCs w:val="24"/>
                      <w:highlight w:val="none"/>
                      <w:lang w:val="en-US" w:eastAsia="zh-CN"/>
                    </w:rPr>
                  </w:pPr>
                  <w:r>
                    <w:rPr>
                      <w:rFonts w:hint="eastAsia" w:ascii="Times New Roman" w:hAnsi="Times New Roman" w:eastAsia="宋体" w:cs="Times New Roman"/>
                      <w:b/>
                      <w:bCs/>
                      <w:snapToGrid/>
                      <w:color w:val="auto"/>
                      <w:kern w:val="2"/>
                      <w:szCs w:val="24"/>
                      <w:highlight w:val="none"/>
                      <w:lang w:val="en-US" w:eastAsia="zh-CN"/>
                    </w:rPr>
                    <w:t>（t/a）</w:t>
                  </w:r>
                </w:p>
              </w:tc>
              <w:tc>
                <w:tcPr>
                  <w:tcW w:w="538" w:type="pct"/>
                  <w:tcBorders>
                    <w:tl2br w:val="nil"/>
                    <w:tr2bl w:val="nil"/>
                  </w:tcBorders>
                  <w:noWrap w:val="0"/>
                  <w:vAlign w:val="center"/>
                </w:tcPr>
                <w:p w14:paraId="2E843B78">
                  <w:pPr>
                    <w:pStyle w:val="98"/>
                    <w:widowControl w:val="0"/>
                    <w:kinsoku/>
                    <w:autoSpaceDE/>
                    <w:autoSpaceDN/>
                    <w:adjustRightInd/>
                    <w:snapToGrid/>
                    <w:jc w:val="center"/>
                    <w:textAlignment w:val="auto"/>
                    <w:rPr>
                      <w:rFonts w:hint="default" w:ascii="Times New Roman" w:hAnsi="Times New Roman" w:eastAsia="宋体" w:cs="Times New Roman"/>
                      <w:b/>
                      <w:bCs/>
                      <w:snapToGrid/>
                      <w:color w:val="auto"/>
                      <w:kern w:val="2"/>
                      <w:szCs w:val="24"/>
                      <w:highlight w:val="none"/>
                      <w:lang w:val="en-US" w:eastAsia="zh-CN"/>
                    </w:rPr>
                  </w:pPr>
                  <w:r>
                    <w:rPr>
                      <w:rFonts w:hint="eastAsia" w:ascii="Times New Roman" w:hAnsi="Times New Roman" w:eastAsia="宋体" w:cs="Times New Roman"/>
                      <w:b/>
                      <w:bCs/>
                      <w:snapToGrid/>
                      <w:color w:val="auto"/>
                      <w:kern w:val="2"/>
                      <w:szCs w:val="24"/>
                      <w:highlight w:val="none"/>
                      <w:lang w:val="en-US" w:eastAsia="zh-CN"/>
                    </w:rPr>
                    <w:t>每车次运输量（t）</w:t>
                  </w:r>
                </w:p>
              </w:tc>
              <w:tc>
                <w:tcPr>
                  <w:tcW w:w="504" w:type="pct"/>
                  <w:tcBorders>
                    <w:tl2br w:val="nil"/>
                    <w:tr2bl w:val="nil"/>
                  </w:tcBorders>
                  <w:noWrap w:val="0"/>
                  <w:vAlign w:val="center"/>
                </w:tcPr>
                <w:p w14:paraId="002245A4">
                  <w:pPr>
                    <w:pStyle w:val="98"/>
                    <w:widowControl w:val="0"/>
                    <w:kinsoku/>
                    <w:autoSpaceDE/>
                    <w:autoSpaceDN/>
                    <w:adjustRightInd/>
                    <w:snapToGrid/>
                    <w:jc w:val="center"/>
                    <w:textAlignment w:val="auto"/>
                    <w:rPr>
                      <w:rFonts w:hint="eastAsia" w:ascii="Times New Roman" w:hAnsi="Times New Roman" w:eastAsia="宋体" w:cs="Times New Roman"/>
                      <w:b/>
                      <w:bCs/>
                      <w:snapToGrid/>
                      <w:color w:val="auto"/>
                      <w:kern w:val="2"/>
                      <w:szCs w:val="24"/>
                      <w:highlight w:val="none"/>
                      <w:lang w:val="en-US" w:eastAsia="zh-CN"/>
                    </w:rPr>
                  </w:pPr>
                  <w:r>
                    <w:rPr>
                      <w:rFonts w:hint="eastAsia" w:ascii="Times New Roman" w:hAnsi="Times New Roman" w:eastAsia="宋体" w:cs="Times New Roman"/>
                      <w:b/>
                      <w:bCs/>
                      <w:snapToGrid/>
                      <w:color w:val="auto"/>
                      <w:kern w:val="2"/>
                      <w:szCs w:val="24"/>
                      <w:highlight w:val="none"/>
                      <w:lang w:val="en-US" w:eastAsia="zh-CN"/>
                    </w:rPr>
                    <w:t>运输车次</w:t>
                  </w:r>
                </w:p>
                <w:p w14:paraId="125B61ED">
                  <w:pPr>
                    <w:pStyle w:val="98"/>
                    <w:widowControl w:val="0"/>
                    <w:kinsoku/>
                    <w:autoSpaceDE/>
                    <w:autoSpaceDN/>
                    <w:adjustRightInd/>
                    <w:snapToGrid/>
                    <w:jc w:val="center"/>
                    <w:textAlignment w:val="auto"/>
                    <w:rPr>
                      <w:rFonts w:hint="default" w:ascii="Times New Roman" w:hAnsi="Times New Roman" w:eastAsia="宋体" w:cs="Times New Roman"/>
                      <w:b/>
                      <w:bCs/>
                      <w:snapToGrid/>
                      <w:color w:val="auto"/>
                      <w:kern w:val="2"/>
                      <w:szCs w:val="24"/>
                      <w:highlight w:val="none"/>
                      <w:lang w:val="en-US" w:eastAsia="zh-CN"/>
                    </w:rPr>
                  </w:pPr>
                  <w:r>
                    <w:rPr>
                      <w:rFonts w:hint="eastAsia" w:ascii="Times New Roman" w:hAnsi="Times New Roman" w:eastAsia="宋体" w:cs="Times New Roman"/>
                      <w:b/>
                      <w:bCs/>
                      <w:snapToGrid/>
                      <w:color w:val="auto"/>
                      <w:kern w:val="2"/>
                      <w:szCs w:val="24"/>
                      <w:highlight w:val="none"/>
                      <w:lang w:val="en-US" w:eastAsia="zh-CN"/>
                    </w:rPr>
                    <w:t>（辆）</w:t>
                  </w:r>
                </w:p>
              </w:tc>
              <w:tc>
                <w:tcPr>
                  <w:tcW w:w="622" w:type="pct"/>
                  <w:tcBorders>
                    <w:tl2br w:val="nil"/>
                    <w:tr2bl w:val="nil"/>
                  </w:tcBorders>
                  <w:noWrap w:val="0"/>
                  <w:vAlign w:val="center"/>
                </w:tcPr>
                <w:p w14:paraId="44283B03">
                  <w:pPr>
                    <w:pStyle w:val="98"/>
                    <w:widowControl w:val="0"/>
                    <w:kinsoku/>
                    <w:autoSpaceDE/>
                    <w:autoSpaceDN/>
                    <w:adjustRightInd/>
                    <w:snapToGrid/>
                    <w:jc w:val="center"/>
                    <w:textAlignment w:val="auto"/>
                    <w:rPr>
                      <w:rFonts w:hint="eastAsia" w:ascii="Times New Roman" w:hAnsi="Times New Roman" w:eastAsia="宋体" w:cs="Times New Roman"/>
                      <w:b/>
                      <w:bCs/>
                      <w:snapToGrid/>
                      <w:color w:val="auto"/>
                      <w:kern w:val="2"/>
                      <w:szCs w:val="24"/>
                      <w:highlight w:val="none"/>
                      <w:lang w:val="en-US" w:eastAsia="zh-CN"/>
                    </w:rPr>
                  </w:pPr>
                  <w:r>
                    <w:rPr>
                      <w:rFonts w:hint="eastAsia" w:ascii="Times New Roman" w:hAnsi="Times New Roman" w:eastAsia="宋体" w:cs="Times New Roman"/>
                      <w:b/>
                      <w:bCs/>
                      <w:snapToGrid/>
                      <w:color w:val="auto"/>
                      <w:kern w:val="2"/>
                      <w:szCs w:val="24"/>
                      <w:highlight w:val="none"/>
                      <w:lang w:val="en-US" w:eastAsia="zh-CN"/>
                    </w:rPr>
                    <w:t>车辆冲洗水量</w:t>
                  </w:r>
                </w:p>
                <w:p w14:paraId="74D6DDFE">
                  <w:pPr>
                    <w:pStyle w:val="98"/>
                    <w:widowControl w:val="0"/>
                    <w:kinsoku/>
                    <w:autoSpaceDE/>
                    <w:autoSpaceDN/>
                    <w:adjustRightInd/>
                    <w:snapToGrid/>
                    <w:jc w:val="center"/>
                    <w:textAlignment w:val="auto"/>
                    <w:rPr>
                      <w:rFonts w:hint="default" w:ascii="Times New Roman" w:hAnsi="Times New Roman" w:eastAsia="宋体" w:cs="Times New Roman"/>
                      <w:b/>
                      <w:bCs/>
                      <w:snapToGrid/>
                      <w:color w:val="auto"/>
                      <w:kern w:val="2"/>
                      <w:szCs w:val="24"/>
                      <w:highlight w:val="none"/>
                      <w:lang w:val="en-US" w:eastAsia="zh-CN"/>
                    </w:rPr>
                  </w:pPr>
                  <w:r>
                    <w:rPr>
                      <w:rFonts w:hint="eastAsia" w:ascii="Times New Roman" w:hAnsi="Times New Roman" w:eastAsia="宋体" w:cs="Times New Roman"/>
                      <w:b/>
                      <w:bCs/>
                      <w:snapToGrid/>
                      <w:color w:val="auto"/>
                      <w:kern w:val="2"/>
                      <w:szCs w:val="24"/>
                      <w:highlight w:val="none"/>
                      <w:lang w:val="en-US" w:eastAsia="zh-CN"/>
                    </w:rPr>
                    <w:t>（t/辆</w:t>
                  </w:r>
                  <w:r>
                    <w:rPr>
                      <w:rFonts w:hint="default" w:ascii="Times New Roman" w:hAnsi="Times New Roman" w:eastAsia="宋体" w:cs="Times New Roman"/>
                      <w:b/>
                      <w:bCs/>
                      <w:snapToGrid/>
                      <w:color w:val="auto"/>
                      <w:kern w:val="2"/>
                      <w:szCs w:val="24"/>
                      <w:highlight w:val="none"/>
                      <w:lang w:val="en-US" w:eastAsia="zh-CN"/>
                    </w:rPr>
                    <w:t>·</w:t>
                  </w:r>
                  <w:r>
                    <w:rPr>
                      <w:rFonts w:hint="eastAsia" w:ascii="Times New Roman" w:hAnsi="Times New Roman" w:eastAsia="宋体" w:cs="Times New Roman"/>
                      <w:b/>
                      <w:bCs/>
                      <w:snapToGrid/>
                      <w:color w:val="auto"/>
                      <w:kern w:val="2"/>
                      <w:szCs w:val="24"/>
                      <w:highlight w:val="none"/>
                      <w:lang w:val="en-US" w:eastAsia="zh-CN"/>
                    </w:rPr>
                    <w:t>次）</w:t>
                  </w:r>
                </w:p>
              </w:tc>
              <w:tc>
                <w:tcPr>
                  <w:tcW w:w="515" w:type="pct"/>
                  <w:tcBorders>
                    <w:tl2br w:val="nil"/>
                    <w:tr2bl w:val="nil"/>
                  </w:tcBorders>
                  <w:noWrap w:val="0"/>
                  <w:vAlign w:val="center"/>
                </w:tcPr>
                <w:p w14:paraId="36B0749E">
                  <w:pPr>
                    <w:pStyle w:val="98"/>
                    <w:widowControl w:val="0"/>
                    <w:kinsoku/>
                    <w:autoSpaceDE/>
                    <w:autoSpaceDN/>
                    <w:adjustRightInd/>
                    <w:snapToGrid/>
                    <w:jc w:val="center"/>
                    <w:textAlignment w:val="auto"/>
                    <w:rPr>
                      <w:rFonts w:hint="default" w:ascii="Times New Roman" w:hAnsi="Times New Roman" w:eastAsia="宋体" w:cs="Times New Roman"/>
                      <w:b/>
                      <w:bCs/>
                      <w:snapToGrid/>
                      <w:color w:val="auto"/>
                      <w:kern w:val="2"/>
                      <w:szCs w:val="24"/>
                      <w:highlight w:val="none"/>
                      <w:lang w:val="en-US" w:eastAsia="zh-CN"/>
                    </w:rPr>
                  </w:pPr>
                  <w:r>
                    <w:rPr>
                      <w:rFonts w:hint="eastAsia" w:ascii="Times New Roman" w:hAnsi="Times New Roman" w:eastAsia="宋体" w:cs="Times New Roman"/>
                      <w:b/>
                      <w:bCs/>
                      <w:snapToGrid/>
                      <w:color w:val="auto"/>
                      <w:kern w:val="2"/>
                      <w:szCs w:val="24"/>
                      <w:highlight w:val="none"/>
                      <w:lang w:val="en-US" w:eastAsia="zh-CN"/>
                    </w:rPr>
                    <w:t>车辆冲洗用水量（t/d）</w:t>
                  </w:r>
                </w:p>
              </w:tc>
              <w:tc>
                <w:tcPr>
                  <w:tcW w:w="538" w:type="pct"/>
                  <w:tcBorders>
                    <w:tl2br w:val="nil"/>
                    <w:tr2bl w:val="nil"/>
                  </w:tcBorders>
                  <w:noWrap w:val="0"/>
                  <w:vAlign w:val="center"/>
                </w:tcPr>
                <w:p w14:paraId="2B3B852E">
                  <w:pPr>
                    <w:pStyle w:val="98"/>
                    <w:widowControl w:val="0"/>
                    <w:kinsoku/>
                    <w:autoSpaceDE/>
                    <w:autoSpaceDN/>
                    <w:adjustRightInd/>
                    <w:snapToGrid/>
                    <w:jc w:val="center"/>
                    <w:textAlignment w:val="auto"/>
                    <w:rPr>
                      <w:rFonts w:hint="eastAsia" w:ascii="Times New Roman" w:hAnsi="Times New Roman" w:cs="Times New Roman"/>
                      <w:b/>
                      <w:bCs/>
                      <w:snapToGrid/>
                      <w:color w:val="auto"/>
                      <w:kern w:val="2"/>
                      <w:szCs w:val="24"/>
                      <w:highlight w:val="none"/>
                      <w:lang w:val="en-US" w:eastAsia="zh-CN"/>
                    </w:rPr>
                  </w:pPr>
                  <w:r>
                    <w:rPr>
                      <w:rFonts w:hint="eastAsia" w:ascii="Times New Roman" w:hAnsi="Times New Roman" w:cs="Times New Roman"/>
                      <w:b/>
                      <w:bCs/>
                      <w:snapToGrid/>
                      <w:color w:val="auto"/>
                      <w:kern w:val="2"/>
                      <w:szCs w:val="24"/>
                      <w:highlight w:val="none"/>
                      <w:lang w:val="en-US" w:eastAsia="zh-CN"/>
                    </w:rPr>
                    <w:t>产生量</w:t>
                  </w:r>
                </w:p>
                <w:p w14:paraId="005B7056">
                  <w:pPr>
                    <w:pStyle w:val="98"/>
                    <w:widowControl w:val="0"/>
                    <w:kinsoku/>
                    <w:autoSpaceDE/>
                    <w:autoSpaceDN/>
                    <w:adjustRightInd/>
                    <w:snapToGrid/>
                    <w:jc w:val="center"/>
                    <w:textAlignment w:val="auto"/>
                    <w:rPr>
                      <w:rFonts w:hint="default" w:ascii="Times New Roman" w:hAnsi="Times New Roman" w:cs="Times New Roman"/>
                      <w:b/>
                      <w:bCs/>
                      <w:snapToGrid/>
                      <w:color w:val="auto"/>
                      <w:kern w:val="2"/>
                      <w:szCs w:val="24"/>
                      <w:highlight w:val="none"/>
                      <w:lang w:val="en-US" w:eastAsia="zh-CN"/>
                    </w:rPr>
                  </w:pPr>
                  <w:r>
                    <w:rPr>
                      <w:rFonts w:hint="eastAsia" w:ascii="Times New Roman" w:hAnsi="Times New Roman" w:cs="Times New Roman"/>
                      <w:b/>
                      <w:bCs/>
                      <w:snapToGrid/>
                      <w:color w:val="auto"/>
                      <w:kern w:val="2"/>
                      <w:szCs w:val="24"/>
                      <w:highlight w:val="none"/>
                      <w:lang w:val="en-US" w:eastAsia="zh-CN"/>
                    </w:rPr>
                    <w:t>（</w:t>
                  </w:r>
                  <w:r>
                    <w:rPr>
                      <w:rFonts w:hint="eastAsia" w:ascii="Times New Roman" w:hAnsi="Times New Roman" w:eastAsia="宋体" w:cs="Times New Roman"/>
                      <w:b/>
                      <w:bCs/>
                      <w:snapToGrid/>
                      <w:color w:val="auto"/>
                      <w:kern w:val="2"/>
                      <w:szCs w:val="24"/>
                      <w:highlight w:val="none"/>
                      <w:lang w:val="en-US" w:eastAsia="zh-CN"/>
                    </w:rPr>
                    <w:t>t/d</w:t>
                  </w:r>
                  <w:r>
                    <w:rPr>
                      <w:rFonts w:hint="eastAsia" w:ascii="Times New Roman" w:hAnsi="Times New Roman" w:cs="Times New Roman"/>
                      <w:b/>
                      <w:bCs/>
                      <w:snapToGrid/>
                      <w:color w:val="auto"/>
                      <w:kern w:val="2"/>
                      <w:szCs w:val="24"/>
                      <w:highlight w:val="none"/>
                      <w:lang w:val="en-US" w:eastAsia="zh-CN"/>
                    </w:rPr>
                    <w:t>）</w:t>
                  </w:r>
                </w:p>
              </w:tc>
            </w:tr>
            <w:tr w14:paraId="79EC9D7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98" w:hRule="atLeast"/>
                <w:jc w:val="center"/>
              </w:trPr>
              <w:tc>
                <w:tcPr>
                  <w:tcW w:w="481" w:type="pct"/>
                  <w:vMerge w:val="restart"/>
                  <w:tcBorders>
                    <w:tl2br w:val="nil"/>
                    <w:tr2bl w:val="nil"/>
                  </w:tcBorders>
                  <w:noWrap w:val="0"/>
                  <w:vAlign w:val="center"/>
                </w:tcPr>
                <w:p w14:paraId="67C80D1F">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车辆冲洗废水</w:t>
                  </w:r>
                </w:p>
              </w:tc>
              <w:tc>
                <w:tcPr>
                  <w:tcW w:w="435" w:type="pct"/>
                  <w:tcBorders>
                    <w:tl2br w:val="nil"/>
                    <w:tr2bl w:val="nil"/>
                  </w:tcBorders>
                  <w:noWrap w:val="0"/>
                  <w:vAlign w:val="center"/>
                </w:tcPr>
                <w:p w14:paraId="7550043D">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一期</w:t>
                  </w:r>
                </w:p>
              </w:tc>
              <w:tc>
                <w:tcPr>
                  <w:tcW w:w="707" w:type="pct"/>
                  <w:tcBorders>
                    <w:tl2br w:val="nil"/>
                    <w:tr2bl w:val="nil"/>
                  </w:tcBorders>
                  <w:noWrap w:val="0"/>
                  <w:vAlign w:val="center"/>
                </w:tcPr>
                <w:p w14:paraId="1FBC7CC7">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9.5万</w:t>
                  </w:r>
                </w:p>
              </w:tc>
              <w:tc>
                <w:tcPr>
                  <w:tcW w:w="657" w:type="pct"/>
                  <w:tcBorders>
                    <w:tl2br w:val="nil"/>
                    <w:tr2bl w:val="nil"/>
                  </w:tcBorders>
                  <w:noWrap w:val="0"/>
                  <w:vAlign w:val="center"/>
                </w:tcPr>
                <w:p w14:paraId="7A0D380B">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86440</w:t>
                  </w:r>
                </w:p>
              </w:tc>
              <w:tc>
                <w:tcPr>
                  <w:tcW w:w="538" w:type="pct"/>
                  <w:vMerge w:val="restart"/>
                  <w:tcBorders>
                    <w:tl2br w:val="nil"/>
                    <w:tr2bl w:val="nil"/>
                  </w:tcBorders>
                  <w:noWrap w:val="0"/>
                  <w:vAlign w:val="center"/>
                </w:tcPr>
                <w:p w14:paraId="7031F50F">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30</w:t>
                  </w:r>
                </w:p>
              </w:tc>
              <w:tc>
                <w:tcPr>
                  <w:tcW w:w="504" w:type="pct"/>
                  <w:tcBorders>
                    <w:tl2br w:val="nil"/>
                    <w:tr2bl w:val="nil"/>
                  </w:tcBorders>
                  <w:noWrap w:val="0"/>
                  <w:vAlign w:val="center"/>
                </w:tcPr>
                <w:p w14:paraId="1BD4C8F2">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26</w:t>
                  </w:r>
                </w:p>
              </w:tc>
              <w:tc>
                <w:tcPr>
                  <w:tcW w:w="622" w:type="pct"/>
                  <w:vMerge w:val="restart"/>
                  <w:tcBorders>
                    <w:tl2br w:val="nil"/>
                    <w:tr2bl w:val="nil"/>
                  </w:tcBorders>
                  <w:noWrap w:val="0"/>
                  <w:vAlign w:val="center"/>
                </w:tcPr>
                <w:p w14:paraId="5877EE26">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0.2</w:t>
                  </w:r>
                </w:p>
              </w:tc>
              <w:tc>
                <w:tcPr>
                  <w:tcW w:w="515" w:type="pct"/>
                  <w:tcBorders>
                    <w:tl2br w:val="nil"/>
                    <w:tr2bl w:val="nil"/>
                  </w:tcBorders>
                  <w:noWrap w:val="0"/>
                  <w:vAlign w:val="center"/>
                </w:tcPr>
                <w:p w14:paraId="01521F37">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5.2</w:t>
                  </w:r>
                </w:p>
              </w:tc>
              <w:tc>
                <w:tcPr>
                  <w:tcW w:w="538" w:type="pct"/>
                  <w:tcBorders>
                    <w:tl2br w:val="nil"/>
                    <w:tr2bl w:val="nil"/>
                  </w:tcBorders>
                  <w:noWrap w:val="0"/>
                  <w:vAlign w:val="center"/>
                </w:tcPr>
                <w:p w14:paraId="14E6CC8A">
                  <w:pPr>
                    <w:pStyle w:val="98"/>
                    <w:widowControl w:val="0"/>
                    <w:kinsoku/>
                    <w:autoSpaceDE/>
                    <w:autoSpaceDN/>
                    <w:adjustRightInd/>
                    <w:snapToGrid/>
                    <w:ind w:firstLine="0" w:firstLineChars="0"/>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4.68</w:t>
                  </w:r>
                </w:p>
              </w:tc>
            </w:tr>
            <w:tr w14:paraId="5B68F30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98" w:hRule="atLeast"/>
                <w:jc w:val="center"/>
              </w:trPr>
              <w:tc>
                <w:tcPr>
                  <w:tcW w:w="481" w:type="pct"/>
                  <w:vMerge w:val="continue"/>
                  <w:tcBorders>
                    <w:tl2br w:val="nil"/>
                    <w:tr2bl w:val="nil"/>
                  </w:tcBorders>
                  <w:noWrap w:val="0"/>
                  <w:vAlign w:val="center"/>
                </w:tcPr>
                <w:p w14:paraId="48F73826">
                  <w:pPr>
                    <w:pStyle w:val="98"/>
                    <w:widowControl w:val="0"/>
                    <w:kinsoku/>
                    <w:autoSpaceDE/>
                    <w:autoSpaceDN/>
                    <w:adjustRightInd/>
                    <w:snapToGrid/>
                    <w:jc w:val="center"/>
                    <w:textAlignment w:val="auto"/>
                    <w:rPr>
                      <w:rFonts w:hint="eastAsia" w:ascii="Times New Roman" w:hAnsi="Times New Roman" w:cs="Times New Roman"/>
                      <w:snapToGrid/>
                      <w:color w:val="auto"/>
                      <w:kern w:val="2"/>
                      <w:szCs w:val="24"/>
                      <w:highlight w:val="none"/>
                      <w:lang w:eastAsia="zh-CN"/>
                    </w:rPr>
                  </w:pPr>
                </w:p>
              </w:tc>
              <w:tc>
                <w:tcPr>
                  <w:tcW w:w="435" w:type="pct"/>
                  <w:tcBorders>
                    <w:tl2br w:val="nil"/>
                    <w:tr2bl w:val="nil"/>
                  </w:tcBorders>
                  <w:noWrap w:val="0"/>
                  <w:vAlign w:val="center"/>
                </w:tcPr>
                <w:p w14:paraId="5FC8D0E2">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二期</w:t>
                  </w:r>
                </w:p>
              </w:tc>
              <w:tc>
                <w:tcPr>
                  <w:tcW w:w="707" w:type="pct"/>
                  <w:tcBorders>
                    <w:tl2br w:val="nil"/>
                    <w:tr2bl w:val="nil"/>
                  </w:tcBorders>
                  <w:noWrap w:val="0"/>
                  <w:vAlign w:val="center"/>
                </w:tcPr>
                <w:p w14:paraId="2DEDA972">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19万</w:t>
                  </w:r>
                </w:p>
              </w:tc>
              <w:tc>
                <w:tcPr>
                  <w:tcW w:w="657" w:type="pct"/>
                  <w:tcBorders>
                    <w:tl2br w:val="nil"/>
                    <w:tr2bl w:val="nil"/>
                  </w:tcBorders>
                  <w:noWrap w:val="0"/>
                  <w:vAlign w:val="center"/>
                </w:tcPr>
                <w:p w14:paraId="2B916B7D">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172880</w:t>
                  </w:r>
                </w:p>
              </w:tc>
              <w:tc>
                <w:tcPr>
                  <w:tcW w:w="538" w:type="pct"/>
                  <w:vMerge w:val="continue"/>
                  <w:tcBorders>
                    <w:tl2br w:val="nil"/>
                    <w:tr2bl w:val="nil"/>
                  </w:tcBorders>
                  <w:noWrap w:val="0"/>
                  <w:vAlign w:val="center"/>
                </w:tcPr>
                <w:p w14:paraId="4E91DE82">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p>
              </w:tc>
              <w:tc>
                <w:tcPr>
                  <w:tcW w:w="504" w:type="pct"/>
                  <w:tcBorders>
                    <w:tl2br w:val="nil"/>
                    <w:tr2bl w:val="nil"/>
                  </w:tcBorders>
                  <w:noWrap w:val="0"/>
                  <w:vAlign w:val="center"/>
                </w:tcPr>
                <w:p w14:paraId="3ED33E7D">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31</w:t>
                  </w:r>
                </w:p>
              </w:tc>
              <w:tc>
                <w:tcPr>
                  <w:tcW w:w="622" w:type="pct"/>
                  <w:vMerge w:val="continue"/>
                  <w:tcBorders>
                    <w:tl2br w:val="nil"/>
                    <w:tr2bl w:val="nil"/>
                  </w:tcBorders>
                  <w:noWrap w:val="0"/>
                  <w:vAlign w:val="center"/>
                </w:tcPr>
                <w:p w14:paraId="11B3A9A7">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p>
              </w:tc>
              <w:tc>
                <w:tcPr>
                  <w:tcW w:w="515" w:type="pct"/>
                  <w:tcBorders>
                    <w:tl2br w:val="nil"/>
                    <w:tr2bl w:val="nil"/>
                  </w:tcBorders>
                  <w:noWrap w:val="0"/>
                  <w:vAlign w:val="center"/>
                </w:tcPr>
                <w:p w14:paraId="7601D8CF">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10.2</w:t>
                  </w:r>
                </w:p>
              </w:tc>
              <w:tc>
                <w:tcPr>
                  <w:tcW w:w="538" w:type="pct"/>
                  <w:tcBorders>
                    <w:tl2br w:val="nil"/>
                    <w:tr2bl w:val="nil"/>
                  </w:tcBorders>
                  <w:noWrap w:val="0"/>
                  <w:vAlign w:val="center"/>
                </w:tcPr>
                <w:p w14:paraId="2350A42E">
                  <w:pPr>
                    <w:pStyle w:val="98"/>
                    <w:widowControl w:val="0"/>
                    <w:kinsoku/>
                    <w:autoSpaceDE/>
                    <w:autoSpaceDN/>
                    <w:adjustRightInd/>
                    <w:snapToGrid/>
                    <w:ind w:firstLine="0" w:firstLineChars="0"/>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9.18</w:t>
                  </w:r>
                </w:p>
              </w:tc>
            </w:tr>
            <w:tr w14:paraId="6EF40E3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97" w:hRule="atLeast"/>
                <w:jc w:val="center"/>
              </w:trPr>
              <w:tc>
                <w:tcPr>
                  <w:tcW w:w="481" w:type="pct"/>
                  <w:vMerge w:val="continue"/>
                  <w:tcBorders>
                    <w:tl2br w:val="nil"/>
                    <w:tr2bl w:val="nil"/>
                  </w:tcBorders>
                  <w:noWrap w:val="0"/>
                  <w:vAlign w:val="center"/>
                </w:tcPr>
                <w:p w14:paraId="533ADD15">
                  <w:pPr>
                    <w:pStyle w:val="98"/>
                    <w:widowControl w:val="0"/>
                    <w:kinsoku/>
                    <w:autoSpaceDE/>
                    <w:autoSpaceDN/>
                    <w:adjustRightInd/>
                    <w:snapToGrid/>
                    <w:jc w:val="center"/>
                    <w:textAlignment w:val="auto"/>
                    <w:rPr>
                      <w:rFonts w:hint="eastAsia" w:ascii="Times New Roman" w:hAnsi="Times New Roman" w:cs="Times New Roman"/>
                      <w:snapToGrid/>
                      <w:color w:val="auto"/>
                      <w:kern w:val="2"/>
                      <w:szCs w:val="24"/>
                      <w:highlight w:val="none"/>
                      <w:lang w:eastAsia="zh-CN"/>
                    </w:rPr>
                  </w:pPr>
                </w:p>
              </w:tc>
              <w:tc>
                <w:tcPr>
                  <w:tcW w:w="435" w:type="pct"/>
                  <w:tcBorders>
                    <w:tl2br w:val="nil"/>
                    <w:tr2bl w:val="nil"/>
                  </w:tcBorders>
                  <w:noWrap w:val="0"/>
                  <w:vAlign w:val="center"/>
                </w:tcPr>
                <w:p w14:paraId="2126E399">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合计</w:t>
                  </w:r>
                </w:p>
              </w:tc>
              <w:tc>
                <w:tcPr>
                  <w:tcW w:w="707" w:type="pct"/>
                  <w:tcBorders>
                    <w:tl2br w:val="nil"/>
                    <w:tr2bl w:val="nil"/>
                  </w:tcBorders>
                  <w:noWrap w:val="0"/>
                  <w:vAlign w:val="center"/>
                </w:tcPr>
                <w:p w14:paraId="1D0C69CB">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w:t>
                  </w:r>
                </w:p>
              </w:tc>
              <w:tc>
                <w:tcPr>
                  <w:tcW w:w="657" w:type="pct"/>
                  <w:tcBorders>
                    <w:tl2br w:val="nil"/>
                    <w:tr2bl w:val="nil"/>
                  </w:tcBorders>
                  <w:noWrap w:val="0"/>
                  <w:vAlign w:val="center"/>
                </w:tcPr>
                <w:p w14:paraId="79441E4F">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w:t>
                  </w:r>
                </w:p>
              </w:tc>
              <w:tc>
                <w:tcPr>
                  <w:tcW w:w="538" w:type="pct"/>
                  <w:tcBorders>
                    <w:tl2br w:val="nil"/>
                    <w:tr2bl w:val="nil"/>
                  </w:tcBorders>
                  <w:noWrap w:val="0"/>
                  <w:vAlign w:val="center"/>
                </w:tcPr>
                <w:p w14:paraId="3CA89A91">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w:t>
                  </w:r>
                </w:p>
              </w:tc>
              <w:tc>
                <w:tcPr>
                  <w:tcW w:w="504" w:type="pct"/>
                  <w:tcBorders>
                    <w:tl2br w:val="nil"/>
                    <w:tr2bl w:val="nil"/>
                  </w:tcBorders>
                  <w:noWrap w:val="0"/>
                  <w:vAlign w:val="center"/>
                </w:tcPr>
                <w:p w14:paraId="3360D9A0">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w:t>
                  </w:r>
                </w:p>
              </w:tc>
              <w:tc>
                <w:tcPr>
                  <w:tcW w:w="622" w:type="pct"/>
                  <w:tcBorders>
                    <w:tl2br w:val="nil"/>
                    <w:tr2bl w:val="nil"/>
                  </w:tcBorders>
                  <w:noWrap w:val="0"/>
                  <w:vAlign w:val="center"/>
                </w:tcPr>
                <w:p w14:paraId="358F1080">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w:t>
                  </w:r>
                </w:p>
              </w:tc>
              <w:tc>
                <w:tcPr>
                  <w:tcW w:w="515" w:type="pct"/>
                  <w:tcBorders>
                    <w:tl2br w:val="nil"/>
                    <w:tr2bl w:val="nil"/>
                  </w:tcBorders>
                  <w:noWrap w:val="0"/>
                  <w:vAlign w:val="center"/>
                </w:tcPr>
                <w:p w14:paraId="555DF454">
                  <w:pPr>
                    <w:pStyle w:val="98"/>
                    <w:widowControl w:val="0"/>
                    <w:kinsoku/>
                    <w:autoSpaceDE/>
                    <w:autoSpaceDN/>
                    <w:adjustRightInd/>
                    <w:snapToGrid/>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15.4</w:t>
                  </w:r>
                </w:p>
              </w:tc>
              <w:tc>
                <w:tcPr>
                  <w:tcW w:w="538" w:type="pct"/>
                  <w:tcBorders>
                    <w:tl2br w:val="nil"/>
                    <w:tr2bl w:val="nil"/>
                  </w:tcBorders>
                  <w:noWrap w:val="0"/>
                  <w:vAlign w:val="center"/>
                </w:tcPr>
                <w:p w14:paraId="341351AE">
                  <w:pPr>
                    <w:pStyle w:val="98"/>
                    <w:widowControl w:val="0"/>
                    <w:kinsoku/>
                    <w:autoSpaceDE/>
                    <w:autoSpaceDN/>
                    <w:adjustRightInd/>
                    <w:snapToGrid/>
                    <w:ind w:firstLine="0" w:firstLineChars="0"/>
                    <w:jc w:val="center"/>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cs="Times New Roman"/>
                      <w:snapToGrid/>
                      <w:color w:val="auto"/>
                      <w:kern w:val="2"/>
                      <w:szCs w:val="24"/>
                      <w:highlight w:val="none"/>
                      <w:lang w:val="en-US" w:eastAsia="zh-CN"/>
                    </w:rPr>
                    <w:t>13.86</w:t>
                  </w:r>
                </w:p>
              </w:tc>
            </w:tr>
            <w:tr w14:paraId="1D91B8C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97" w:hRule="atLeast"/>
                <w:jc w:val="center"/>
              </w:trPr>
              <w:tc>
                <w:tcPr>
                  <w:tcW w:w="5000" w:type="pct"/>
                  <w:gridSpan w:val="9"/>
                  <w:tcBorders>
                    <w:tl2br w:val="nil"/>
                    <w:tr2bl w:val="nil"/>
                  </w:tcBorders>
                  <w:noWrap w:val="0"/>
                  <w:vAlign w:val="center"/>
                </w:tcPr>
                <w:p w14:paraId="4036EC27">
                  <w:pPr>
                    <w:pStyle w:val="98"/>
                    <w:widowControl w:val="0"/>
                    <w:kinsoku/>
                    <w:autoSpaceDE/>
                    <w:autoSpaceDN/>
                    <w:adjustRightInd/>
                    <w:snapToGrid/>
                    <w:jc w:val="both"/>
                    <w:textAlignment w:val="auto"/>
                    <w:rPr>
                      <w:rFonts w:hint="default" w:ascii="Times New Roman" w:hAnsi="Times New Roman" w:cs="Times New Roman"/>
                      <w:snapToGrid/>
                      <w:color w:val="auto"/>
                      <w:kern w:val="2"/>
                      <w:szCs w:val="24"/>
                      <w:highlight w:val="none"/>
                      <w:lang w:val="en-US" w:eastAsia="zh-CN"/>
                    </w:rPr>
                  </w:pPr>
                  <w:r>
                    <w:rPr>
                      <w:rFonts w:hint="eastAsia" w:ascii="Times New Roman" w:hAnsi="Times New Roman" w:eastAsia="宋体" w:cs="Times New Roman"/>
                      <w:snapToGrid/>
                      <w:color w:val="auto"/>
                      <w:kern w:val="2"/>
                      <w:szCs w:val="24"/>
                      <w:highlight w:val="none"/>
                      <w:lang w:val="en-US" w:eastAsia="zh-CN"/>
                    </w:rPr>
                    <w:t>注：车辆冲洗废水经沉淀后循环使用，定期补充新水。</w:t>
                  </w:r>
                </w:p>
              </w:tc>
            </w:tr>
          </w:tbl>
          <w:p w14:paraId="58241929">
            <w:pPr>
              <w:keepNext w:val="0"/>
              <w:keepLines w:val="0"/>
              <w:widowControl/>
              <w:suppressLineNumbers w:val="0"/>
              <w:jc w:val="left"/>
              <w:rPr>
                <w:color w:val="auto"/>
                <w:highlight w:val="none"/>
              </w:rPr>
            </w:pPr>
            <w:r>
              <w:rPr>
                <w:rFonts w:hint="eastAsia" w:ascii="Times New Roman" w:hAnsi="Times New Roman"/>
                <w:color w:val="auto"/>
                <w:szCs w:val="24"/>
                <w:highlight w:val="none"/>
                <w:lang w:eastAsia="zh-CN"/>
              </w:rPr>
              <w:t>（</w:t>
            </w:r>
            <w:r>
              <w:rPr>
                <w:rFonts w:hint="eastAsia" w:ascii="Times New Roman" w:hAnsi="Times New Roman"/>
                <w:color w:val="auto"/>
                <w:szCs w:val="24"/>
                <w:highlight w:val="none"/>
                <w:lang w:val="en-US" w:eastAsia="zh-CN"/>
              </w:rPr>
              <w:t>2</w:t>
            </w:r>
            <w:r>
              <w:rPr>
                <w:rFonts w:hint="eastAsia" w:ascii="Times New Roman" w:hAnsi="Times New Roman"/>
                <w:color w:val="auto"/>
                <w:szCs w:val="24"/>
                <w:highlight w:val="none"/>
                <w:lang w:eastAsia="zh-CN"/>
              </w:rPr>
              <w:t>）</w:t>
            </w:r>
            <w:r>
              <w:rPr>
                <w:rFonts w:hint="eastAsia" w:ascii="宋体" w:hAnsi="宋体" w:eastAsia="宋体" w:cs="宋体"/>
                <w:color w:val="auto"/>
                <w:kern w:val="0"/>
                <w:sz w:val="24"/>
                <w:szCs w:val="24"/>
                <w:highlight w:val="none"/>
                <w:lang w:val="en-US" w:eastAsia="zh-CN" w:bidi="ar"/>
              </w:rPr>
              <w:t xml:space="preserve">降尘用水 </w:t>
            </w:r>
          </w:p>
          <w:p w14:paraId="7D98B932">
            <w:pPr>
              <w:keepNext w:val="0"/>
              <w:keepLines w:val="0"/>
              <w:widowControl/>
              <w:suppressLineNumbers w:val="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项目设</w:t>
            </w:r>
            <w:r>
              <w:rPr>
                <w:rFonts w:hint="eastAsia"/>
                <w:color w:val="auto"/>
                <w:highlight w:val="none"/>
                <w:lang w:val="en-US" w:eastAsia="zh-CN"/>
              </w:rPr>
              <w:t>置有喷</w:t>
            </w:r>
            <w:r>
              <w:rPr>
                <w:rFonts w:hint="eastAsia" w:ascii="宋体" w:hAnsi="宋体" w:eastAsia="宋体" w:cs="宋体"/>
                <w:color w:val="auto"/>
                <w:kern w:val="0"/>
                <w:sz w:val="24"/>
                <w:szCs w:val="24"/>
                <w:highlight w:val="none"/>
                <w:lang w:val="en-US" w:eastAsia="zh-CN" w:bidi="ar"/>
              </w:rPr>
              <w:t>雾喷淋装置对骨料堆场和皮带输送带进行降尘，喷雾喷淋装置流量以</w:t>
            </w:r>
            <w:r>
              <w:rPr>
                <w:rFonts w:hint="eastAsia" w:ascii="Times New Roman" w:hAnsi="Times New Roman" w:eastAsia="宋体" w:cs="Times New Roman"/>
                <w:color w:val="auto"/>
                <w:kern w:val="0"/>
                <w:sz w:val="24"/>
                <w:szCs w:val="24"/>
                <w:highlight w:val="none"/>
                <w:lang w:val="en-US" w:eastAsia="zh-CN" w:bidi="ar"/>
              </w:rPr>
              <w:t>15</w:t>
            </w:r>
            <w:r>
              <w:rPr>
                <w:rFonts w:hint="default" w:ascii="Times New Roman" w:hAnsi="Times New Roman" w:eastAsia="宋体" w:cs="Times New Roman"/>
                <w:color w:val="auto"/>
                <w:kern w:val="0"/>
                <w:sz w:val="24"/>
                <w:szCs w:val="24"/>
                <w:highlight w:val="none"/>
                <w:lang w:val="en-US" w:eastAsia="zh-CN" w:bidi="ar"/>
              </w:rPr>
              <w:t>L/min</w:t>
            </w:r>
            <w:r>
              <w:rPr>
                <w:rFonts w:hint="eastAsia" w:ascii="宋体" w:hAnsi="宋体" w:eastAsia="宋体" w:cs="宋体"/>
                <w:color w:val="auto"/>
                <w:kern w:val="0"/>
                <w:sz w:val="24"/>
                <w:szCs w:val="24"/>
                <w:highlight w:val="none"/>
                <w:lang w:val="en-US" w:eastAsia="zh-CN" w:bidi="ar"/>
              </w:rPr>
              <w:t>计，对骨料堆场（卸料+堆放）和皮带输送带日均作业时间以</w:t>
            </w:r>
            <w:r>
              <w:rPr>
                <w:rFonts w:hint="default" w:ascii="Times New Roman" w:hAnsi="Times New Roman" w:eastAsia="宋体" w:cs="Times New Roman"/>
                <w:color w:val="auto"/>
                <w:kern w:val="0"/>
                <w:sz w:val="24"/>
                <w:szCs w:val="24"/>
                <w:highlight w:val="none"/>
                <w:lang w:val="en-US" w:eastAsia="zh-CN" w:bidi="ar"/>
              </w:rPr>
              <w:t>6h</w:t>
            </w:r>
            <w:r>
              <w:rPr>
                <w:rFonts w:hint="eastAsia" w:ascii="宋体" w:hAnsi="宋体" w:eastAsia="宋体" w:cs="宋体"/>
                <w:color w:val="auto"/>
                <w:kern w:val="0"/>
                <w:sz w:val="24"/>
                <w:szCs w:val="24"/>
                <w:highlight w:val="none"/>
                <w:lang w:val="en-US" w:eastAsia="zh-CN" w:bidi="ar"/>
              </w:rPr>
              <w:t>计，则其用水量</w:t>
            </w:r>
            <w:r>
              <w:rPr>
                <w:rFonts w:hint="eastAsia"/>
                <w:color w:val="auto"/>
                <w:highlight w:val="none"/>
                <w:lang w:val="en-US" w:eastAsia="zh-CN"/>
              </w:rPr>
              <w:t>共为5.4m</w:t>
            </w:r>
            <w:r>
              <w:rPr>
                <w:rFonts w:hint="eastAsia"/>
                <w:color w:val="auto"/>
                <w:highlight w:val="none"/>
                <w:vertAlign w:val="superscript"/>
                <w:lang w:val="en-US" w:eastAsia="zh-CN"/>
              </w:rPr>
              <w:t>3</w:t>
            </w:r>
            <w:r>
              <w:rPr>
                <w:rFonts w:hint="default"/>
                <w:color w:val="auto"/>
                <w:highlight w:val="none"/>
                <w:lang w:val="en-US" w:eastAsia="zh-CN"/>
              </w:rPr>
              <w:t>/</w:t>
            </w:r>
            <w:r>
              <w:rPr>
                <w:rFonts w:hint="eastAsia"/>
                <w:color w:val="auto"/>
                <w:highlight w:val="none"/>
                <w:lang w:val="en-US" w:eastAsia="zh-CN"/>
              </w:rPr>
              <w:t>d（1296m</w:t>
            </w:r>
            <w:r>
              <w:rPr>
                <w:rFonts w:hint="eastAsia"/>
                <w:color w:val="auto"/>
                <w:highlight w:val="none"/>
                <w:vertAlign w:val="superscript"/>
                <w:lang w:val="en-US" w:eastAsia="zh-CN"/>
              </w:rPr>
              <w:t>3</w:t>
            </w:r>
            <w:r>
              <w:rPr>
                <w:rFonts w:hint="default"/>
                <w:color w:val="auto"/>
                <w:highlight w:val="none"/>
                <w:lang w:val="en-US" w:eastAsia="zh-CN"/>
              </w:rPr>
              <w:t>/a</w:t>
            </w:r>
            <w:r>
              <w:rPr>
                <w:rFonts w:hint="eastAsia"/>
                <w:color w:val="auto"/>
                <w:highlight w:val="none"/>
                <w:lang w:val="en-US" w:eastAsia="zh-CN"/>
              </w:rPr>
              <w:t>），</w:t>
            </w:r>
            <w:r>
              <w:rPr>
                <w:rFonts w:hint="eastAsia" w:ascii="宋体" w:hAnsi="宋体" w:eastAsia="宋体" w:cs="宋体"/>
                <w:color w:val="auto"/>
                <w:kern w:val="0"/>
                <w:sz w:val="24"/>
                <w:szCs w:val="24"/>
                <w:highlight w:val="none"/>
                <w:lang w:val="en-US" w:eastAsia="zh-CN" w:bidi="ar"/>
              </w:rPr>
              <w:t>该用水均被物料吸收或自然蒸发，不外排。同时，对于厂区扣除构筑物及堆场以外的区域进行洒水降尘，厂区抑尘洒水用水定额以</w:t>
            </w:r>
            <w:r>
              <w:rPr>
                <w:rFonts w:hint="default" w:ascii="Times New Roman" w:hAnsi="Times New Roman" w:eastAsia="宋体" w:cs="Times New Roman"/>
                <w:color w:val="auto"/>
                <w:kern w:val="0"/>
                <w:sz w:val="24"/>
                <w:szCs w:val="24"/>
                <w:highlight w:val="none"/>
                <w:lang w:val="en-US" w:eastAsia="zh-CN" w:bidi="ar"/>
              </w:rPr>
              <w:t>1.2L/m</w:t>
            </w:r>
            <w:r>
              <w:rPr>
                <w:rFonts w:hint="eastAsia" w:ascii="Times New Roman" w:hAnsi="Times New Roman" w:eastAsia="宋体" w:cs="Times New Roman"/>
                <w:color w:val="auto"/>
                <w:kern w:val="0"/>
                <w:sz w:val="24"/>
                <w:szCs w:val="24"/>
                <w:highlight w:val="none"/>
                <w:vertAlign w:val="superscript"/>
                <w:lang w:val="en-US" w:eastAsia="zh-CN" w:bidi="ar"/>
              </w:rPr>
              <w:t>2</w:t>
            </w:r>
            <w:r>
              <w:rPr>
                <w:rFonts w:hint="eastAsia" w:ascii="宋体" w:hAnsi="宋体" w:eastAsia="宋体" w:cs="宋体"/>
                <w:color w:val="auto"/>
                <w:kern w:val="0"/>
                <w:sz w:val="24"/>
                <w:szCs w:val="24"/>
                <w:highlight w:val="none"/>
                <w:lang w:val="en-US" w:eastAsia="zh-CN" w:bidi="ar"/>
              </w:rPr>
              <w:t>次计算，厂区需要洒水抑尘的面积约为</w:t>
            </w:r>
            <w:r>
              <w:rPr>
                <w:rFonts w:hint="eastAsia" w:ascii="Times New Roman" w:hAnsi="Times New Roman" w:eastAsia="宋体" w:cs="Times New Roman"/>
                <w:color w:val="auto"/>
                <w:kern w:val="0"/>
                <w:sz w:val="24"/>
                <w:szCs w:val="24"/>
                <w:highlight w:val="none"/>
                <w:lang w:val="en-US" w:eastAsia="zh-CN" w:bidi="ar"/>
              </w:rPr>
              <w:t>600</w:t>
            </w:r>
            <w:r>
              <w:rPr>
                <w:rFonts w:hint="default" w:ascii="Times New Roman" w:hAnsi="Times New Roman" w:eastAsia="宋体" w:cs="Times New Roman"/>
                <w:color w:val="auto"/>
                <w:kern w:val="0"/>
                <w:sz w:val="24"/>
                <w:szCs w:val="24"/>
                <w:highlight w:val="none"/>
                <w:lang w:val="en-US" w:eastAsia="zh-CN" w:bidi="ar"/>
              </w:rPr>
              <w:t>m</w:t>
            </w:r>
            <w:r>
              <w:rPr>
                <w:rFonts w:hint="eastAsia" w:ascii="Times New Roman" w:hAnsi="Times New Roman" w:eastAsia="宋体" w:cs="Times New Roman"/>
                <w:color w:val="auto"/>
                <w:kern w:val="0"/>
                <w:sz w:val="24"/>
                <w:szCs w:val="24"/>
                <w:highlight w:val="none"/>
                <w:vertAlign w:val="superscript"/>
                <w:lang w:val="en-US" w:eastAsia="zh-CN" w:bidi="ar"/>
              </w:rPr>
              <w:t>2</w:t>
            </w:r>
            <w:r>
              <w:rPr>
                <w:rFonts w:hint="eastAsia" w:ascii="宋体" w:hAnsi="宋体" w:eastAsia="宋体" w:cs="宋体"/>
                <w:color w:val="auto"/>
                <w:kern w:val="0"/>
                <w:sz w:val="24"/>
                <w:szCs w:val="24"/>
                <w:highlight w:val="none"/>
                <w:lang w:val="en-US" w:eastAsia="zh-CN" w:bidi="ar"/>
              </w:rPr>
              <w:t>，每日洒水</w:t>
            </w:r>
            <w:r>
              <w:rPr>
                <w:rFonts w:hint="default" w:ascii="Times New Roman" w:hAnsi="Times New Roman" w:eastAsia="宋体" w:cs="Times New Roman"/>
                <w:color w:val="auto"/>
                <w:kern w:val="0"/>
                <w:sz w:val="24"/>
                <w:szCs w:val="24"/>
                <w:highlight w:val="none"/>
                <w:lang w:val="en-US" w:eastAsia="zh-CN" w:bidi="ar"/>
              </w:rPr>
              <w:t>2</w:t>
            </w:r>
            <w:r>
              <w:rPr>
                <w:rFonts w:hint="eastAsia" w:ascii="宋体" w:hAnsi="宋体" w:eastAsia="宋体" w:cs="宋体"/>
                <w:color w:val="auto"/>
                <w:kern w:val="0"/>
                <w:sz w:val="24"/>
                <w:szCs w:val="24"/>
                <w:highlight w:val="none"/>
                <w:lang w:val="en-US" w:eastAsia="zh-CN" w:bidi="ar"/>
              </w:rPr>
              <w:t>次计，</w:t>
            </w:r>
            <w:r>
              <w:rPr>
                <w:rFonts w:hint="eastAsia"/>
                <w:color w:val="auto"/>
                <w:highlight w:val="none"/>
                <w:lang w:val="en-US" w:eastAsia="zh-CN"/>
              </w:rPr>
              <w:t>厂区</w:t>
            </w:r>
            <w:r>
              <w:rPr>
                <w:rFonts w:hint="eastAsia" w:ascii="宋体" w:hAnsi="宋体" w:eastAsia="宋体" w:cs="宋体"/>
                <w:color w:val="auto"/>
                <w:kern w:val="0"/>
                <w:sz w:val="24"/>
                <w:szCs w:val="24"/>
                <w:highlight w:val="none"/>
                <w:lang w:val="en-US" w:eastAsia="zh-CN" w:bidi="ar"/>
              </w:rPr>
              <w:t>年作业时</w:t>
            </w:r>
            <w:r>
              <w:rPr>
                <w:rFonts w:hint="eastAsia"/>
                <w:color w:val="auto"/>
                <w:highlight w:val="none"/>
                <w:lang w:val="en-US" w:eastAsia="zh-CN"/>
              </w:rPr>
              <w:t>间240</w:t>
            </w:r>
            <w:r>
              <w:rPr>
                <w:rFonts w:hint="default"/>
                <w:color w:val="auto"/>
                <w:highlight w:val="none"/>
                <w:lang w:val="en-US" w:eastAsia="zh-CN"/>
              </w:rPr>
              <w:t>d</w:t>
            </w:r>
            <w:r>
              <w:rPr>
                <w:rFonts w:hint="eastAsia"/>
                <w:color w:val="auto"/>
                <w:highlight w:val="none"/>
                <w:lang w:val="en-US" w:eastAsia="zh-CN"/>
              </w:rPr>
              <w:t>，</w:t>
            </w:r>
            <w:r>
              <w:rPr>
                <w:rFonts w:hint="eastAsia" w:ascii="宋体" w:hAnsi="宋体" w:eastAsia="宋体" w:cs="宋体"/>
                <w:color w:val="auto"/>
                <w:kern w:val="0"/>
                <w:sz w:val="24"/>
                <w:szCs w:val="24"/>
                <w:highlight w:val="none"/>
                <w:lang w:val="en-US" w:eastAsia="zh-CN" w:bidi="ar"/>
              </w:rPr>
              <w:t>则需要洒水</w:t>
            </w:r>
            <w:r>
              <w:rPr>
                <w:rFonts w:hint="eastAsia"/>
                <w:color w:val="auto"/>
                <w:highlight w:val="none"/>
                <w:lang w:val="en-US" w:eastAsia="zh-CN"/>
              </w:rPr>
              <w:t>用水1.44m</w:t>
            </w:r>
            <w:r>
              <w:rPr>
                <w:rFonts w:hint="eastAsia"/>
                <w:color w:val="auto"/>
                <w:highlight w:val="none"/>
                <w:vertAlign w:val="superscript"/>
                <w:lang w:val="en-US" w:eastAsia="zh-CN"/>
              </w:rPr>
              <w:t>3</w:t>
            </w:r>
            <w:r>
              <w:rPr>
                <w:rFonts w:hint="eastAsia"/>
                <w:color w:val="auto"/>
                <w:highlight w:val="none"/>
                <w:vertAlign w:val="baseline"/>
                <w:lang w:val="en-US" w:eastAsia="zh-CN"/>
              </w:rPr>
              <w:t>/</w:t>
            </w:r>
            <w:r>
              <w:rPr>
                <w:rFonts w:hint="eastAsia"/>
                <w:color w:val="auto"/>
                <w:highlight w:val="none"/>
                <w:lang w:val="en-US" w:eastAsia="zh-CN"/>
              </w:rPr>
              <w:t>d（</w:t>
            </w:r>
            <w:r>
              <w:rPr>
                <w:rFonts w:hint="eastAsia" w:ascii="Times New Roman" w:hAnsi="Times New Roman" w:eastAsia="宋体" w:cs="Times New Roman"/>
                <w:color w:val="auto"/>
                <w:kern w:val="0"/>
                <w:sz w:val="24"/>
                <w:szCs w:val="24"/>
                <w:highlight w:val="none"/>
                <w:lang w:val="en-US" w:eastAsia="zh-CN" w:bidi="ar"/>
              </w:rPr>
              <w:t>345.6</w:t>
            </w:r>
            <w:r>
              <w:rPr>
                <w:rFonts w:hint="eastAsia"/>
                <w:color w:val="auto"/>
                <w:highlight w:val="none"/>
                <w:lang w:val="en-US" w:eastAsia="zh-CN"/>
              </w:rPr>
              <w:t>m</w:t>
            </w:r>
            <w:r>
              <w:rPr>
                <w:rFonts w:hint="eastAsia"/>
                <w:color w:val="auto"/>
                <w:highlight w:val="none"/>
                <w:vertAlign w:val="superscript"/>
                <w:lang w:val="en-US" w:eastAsia="zh-CN"/>
              </w:rPr>
              <w:t>3</w:t>
            </w:r>
            <w:r>
              <w:rPr>
                <w:rFonts w:hint="eastAsia" w:ascii="Times New Roman" w:hAnsi="Times New Roman" w:eastAsia="宋体" w:cs="Times New Roman"/>
                <w:color w:val="auto"/>
                <w:kern w:val="0"/>
                <w:sz w:val="24"/>
                <w:szCs w:val="24"/>
                <w:highlight w:val="none"/>
                <w:lang w:val="en-US" w:eastAsia="zh-CN" w:bidi="ar"/>
              </w:rPr>
              <w:t>/a</w:t>
            </w:r>
            <w:r>
              <w:rPr>
                <w:rFonts w:hint="eastAsia"/>
                <w:color w:val="auto"/>
                <w:highlight w:val="none"/>
                <w:lang w:val="en-US" w:eastAsia="zh-CN"/>
              </w:rPr>
              <w:t>）</w:t>
            </w:r>
            <w:r>
              <w:rPr>
                <w:rFonts w:hint="eastAsia" w:ascii="宋体" w:hAnsi="宋体" w:eastAsia="宋体" w:cs="宋体"/>
                <w:color w:val="auto"/>
                <w:kern w:val="0"/>
                <w:sz w:val="24"/>
                <w:szCs w:val="24"/>
                <w:highlight w:val="none"/>
                <w:lang w:val="en-US" w:eastAsia="zh-CN" w:bidi="ar"/>
              </w:rPr>
              <w:t>，合计降尘用水量为</w:t>
            </w:r>
            <w:r>
              <w:rPr>
                <w:rFonts w:hint="eastAsia" w:ascii="Times New Roman" w:hAnsi="Times New Roman" w:eastAsia="宋体" w:cs="Times New Roman"/>
                <w:color w:val="auto"/>
                <w:kern w:val="0"/>
                <w:sz w:val="24"/>
                <w:szCs w:val="24"/>
                <w:highlight w:val="none"/>
                <w:lang w:val="en-US" w:eastAsia="zh-CN" w:bidi="ar"/>
              </w:rPr>
              <w:t>6.84</w:t>
            </w:r>
            <w:r>
              <w:rPr>
                <w:rFonts w:hint="eastAsia"/>
                <w:color w:val="auto"/>
                <w:highlight w:val="none"/>
                <w:lang w:val="en-US" w:eastAsia="zh-CN"/>
              </w:rPr>
              <w:t>m</w:t>
            </w:r>
            <w:r>
              <w:rPr>
                <w:rFonts w:hint="eastAsia"/>
                <w:color w:val="auto"/>
                <w:highlight w:val="none"/>
                <w:vertAlign w:val="superscript"/>
                <w:lang w:val="en-US" w:eastAsia="zh-CN"/>
              </w:rPr>
              <w:t>3</w:t>
            </w:r>
            <w:r>
              <w:rPr>
                <w:rFonts w:hint="default" w:ascii="Times New Roman" w:hAnsi="Times New Roman" w:eastAsia="宋体"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d</w:t>
            </w:r>
            <w:r>
              <w:rPr>
                <w:rFonts w:hint="eastAsia" w:ascii="宋体" w:hAnsi="宋体" w:eastAsia="宋体" w:cs="宋体"/>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1641.6</w:t>
            </w:r>
            <w:r>
              <w:rPr>
                <w:rFonts w:hint="eastAsia"/>
                <w:color w:val="auto"/>
                <w:highlight w:val="none"/>
                <w:lang w:val="en-US" w:eastAsia="zh-CN"/>
              </w:rPr>
              <w:t>m</w:t>
            </w:r>
            <w:r>
              <w:rPr>
                <w:rFonts w:hint="eastAsia"/>
                <w:color w:val="auto"/>
                <w:highlight w:val="none"/>
                <w:vertAlign w:val="superscript"/>
                <w:lang w:val="en-US" w:eastAsia="zh-CN"/>
              </w:rPr>
              <w:t>3</w:t>
            </w:r>
            <w:r>
              <w:rPr>
                <w:rFonts w:hint="default" w:ascii="Times New Roman" w:hAnsi="Times New Roman" w:eastAsia="宋体" w:cs="Times New Roman"/>
                <w:color w:val="auto"/>
                <w:kern w:val="0"/>
                <w:sz w:val="24"/>
                <w:szCs w:val="24"/>
                <w:highlight w:val="none"/>
                <w:lang w:val="en-US" w:eastAsia="zh-CN" w:bidi="ar"/>
              </w:rPr>
              <w:t>/a</w:t>
            </w:r>
            <w:r>
              <w:rPr>
                <w:rFonts w:hint="eastAsia" w:ascii="宋体" w:hAnsi="宋体" w:eastAsia="宋体" w:cs="宋体"/>
                <w:color w:val="auto"/>
                <w:kern w:val="0"/>
                <w:sz w:val="24"/>
                <w:szCs w:val="24"/>
                <w:highlight w:val="none"/>
                <w:lang w:val="en-US" w:eastAsia="zh-CN" w:bidi="ar"/>
              </w:rPr>
              <w:t>）。</w:t>
            </w:r>
          </w:p>
          <w:p w14:paraId="50576088">
            <w:pPr>
              <w:bidi w:val="0"/>
              <w:rPr>
                <w:rFonts w:hint="default"/>
                <w:color w:val="auto"/>
                <w:highlight w:val="none"/>
                <w:lang w:val="en-US" w:eastAsia="zh-CN"/>
              </w:rPr>
            </w:pPr>
            <w:r>
              <w:rPr>
                <w:rFonts w:hint="eastAsia"/>
                <w:color w:val="auto"/>
                <w:highlight w:val="none"/>
                <w:lang w:val="en-US" w:eastAsia="zh-CN"/>
              </w:rPr>
              <w:t>（3）喷淋用水</w:t>
            </w:r>
          </w:p>
          <w:p w14:paraId="248A45D1">
            <w:pPr>
              <w:bidi w:val="0"/>
              <w:rPr>
                <w:rFonts w:hint="default" w:eastAsia="宋体"/>
                <w:color w:val="auto"/>
                <w:highlight w:val="none"/>
                <w:lang w:val="en-US" w:eastAsia="zh-CN"/>
              </w:rPr>
            </w:pPr>
            <w:r>
              <w:rPr>
                <w:rFonts w:hint="eastAsia"/>
                <w:color w:val="auto"/>
                <w:highlight w:val="none"/>
                <w:lang w:val="en-US" w:eastAsia="zh-CN"/>
              </w:rPr>
              <w:t>本项目沥青烟废气通过“喷淋塔+除雾器+活性炭吸附装置”处理后排放。根据业主提供资料，项目一期拟建喷淋塔循环液箱容积约为1</w:t>
            </w:r>
            <w:r>
              <w:rPr>
                <w:rFonts w:hint="default"/>
                <w:color w:val="auto"/>
                <w:highlight w:val="none"/>
                <w:lang w:val="en-US" w:eastAsia="zh-CN"/>
              </w:rPr>
              <w:t>m</w:t>
            </w:r>
            <w:r>
              <w:rPr>
                <w:rFonts w:hint="default"/>
                <w:color w:val="auto"/>
                <w:highlight w:val="none"/>
                <w:vertAlign w:val="superscript"/>
                <w:lang w:val="en-US" w:eastAsia="zh-CN"/>
              </w:rPr>
              <w:t>3</w:t>
            </w:r>
            <w:r>
              <w:rPr>
                <w:rFonts w:hint="eastAsia"/>
                <w:color w:val="auto"/>
                <w:highlight w:val="none"/>
                <w:lang w:val="en-US" w:eastAsia="zh-CN"/>
              </w:rPr>
              <w:t>，项目二期拟建喷淋塔循环液箱容积约为2</w:t>
            </w:r>
            <w:r>
              <w:rPr>
                <w:rFonts w:hint="default"/>
                <w:color w:val="auto"/>
                <w:highlight w:val="none"/>
                <w:lang w:val="en-US" w:eastAsia="zh-CN"/>
              </w:rPr>
              <w:t>m</w:t>
            </w:r>
            <w:r>
              <w:rPr>
                <w:rFonts w:hint="default"/>
                <w:color w:val="auto"/>
                <w:highlight w:val="none"/>
                <w:vertAlign w:val="superscript"/>
                <w:lang w:val="en-US" w:eastAsia="zh-CN"/>
              </w:rPr>
              <w:t>3</w:t>
            </w:r>
            <w:r>
              <w:rPr>
                <w:rFonts w:hint="eastAsia"/>
                <w:color w:val="auto"/>
                <w:highlight w:val="none"/>
                <w:lang w:val="en-US" w:eastAsia="zh-CN"/>
              </w:rPr>
              <w:t>，定期补充（按每天挥发5%计算），更换频率一般为</w:t>
            </w:r>
            <w:r>
              <w:rPr>
                <w:rFonts w:hint="default"/>
                <w:color w:val="auto"/>
                <w:highlight w:val="none"/>
                <w:lang w:val="en-US" w:eastAsia="zh-CN"/>
              </w:rPr>
              <w:t>1</w:t>
            </w:r>
            <w:r>
              <w:rPr>
                <w:rFonts w:hint="eastAsia"/>
                <w:color w:val="auto"/>
                <w:highlight w:val="none"/>
                <w:lang w:val="en-US" w:eastAsia="zh-CN"/>
              </w:rPr>
              <w:t>个月，因此，项目一期喷淋塔补充用水量约为</w:t>
            </w:r>
            <w:r>
              <w:rPr>
                <w:rFonts w:hint="default"/>
                <w:color w:val="auto"/>
                <w:highlight w:val="none"/>
                <w:lang w:val="en-US" w:eastAsia="zh-CN"/>
              </w:rPr>
              <w:t>0.0</w:t>
            </w:r>
            <w:r>
              <w:rPr>
                <w:rFonts w:hint="eastAsia"/>
                <w:color w:val="auto"/>
                <w:highlight w:val="none"/>
                <w:lang w:val="en-US" w:eastAsia="zh-CN"/>
              </w:rPr>
              <w:t>5</w:t>
            </w:r>
            <w:r>
              <w:rPr>
                <w:rFonts w:hint="default"/>
                <w:color w:val="auto"/>
                <w:highlight w:val="none"/>
                <w:lang w:val="en-US" w:eastAsia="zh-CN"/>
              </w:rPr>
              <w:t>m</w:t>
            </w:r>
            <w:r>
              <w:rPr>
                <w:rFonts w:hint="default"/>
                <w:color w:val="auto"/>
                <w:highlight w:val="none"/>
                <w:vertAlign w:val="superscript"/>
                <w:lang w:val="en-US" w:eastAsia="zh-CN"/>
              </w:rPr>
              <w:t>3</w:t>
            </w:r>
            <w:r>
              <w:rPr>
                <w:rFonts w:hint="default"/>
                <w:color w:val="auto"/>
                <w:highlight w:val="none"/>
                <w:lang w:val="en-US" w:eastAsia="zh-CN"/>
              </w:rPr>
              <w:t>/d</w:t>
            </w:r>
            <w:r>
              <w:rPr>
                <w:rFonts w:hint="eastAsia"/>
                <w:color w:val="auto"/>
                <w:highlight w:val="none"/>
                <w:lang w:val="en-US" w:eastAsia="zh-CN"/>
              </w:rPr>
              <w:t>（12</w:t>
            </w:r>
            <w:r>
              <w:rPr>
                <w:rFonts w:hint="default"/>
                <w:color w:val="auto"/>
                <w:highlight w:val="none"/>
                <w:lang w:val="en-US" w:eastAsia="zh-CN"/>
              </w:rPr>
              <w:t>m</w:t>
            </w:r>
            <w:r>
              <w:rPr>
                <w:rFonts w:hint="default"/>
                <w:color w:val="auto"/>
                <w:highlight w:val="none"/>
                <w:vertAlign w:val="superscript"/>
                <w:lang w:val="en-US" w:eastAsia="zh-CN"/>
              </w:rPr>
              <w:t>3</w:t>
            </w:r>
            <w:r>
              <w:rPr>
                <w:rFonts w:hint="default"/>
                <w:color w:val="auto"/>
                <w:highlight w:val="none"/>
                <w:lang w:val="en-US" w:eastAsia="zh-CN"/>
              </w:rPr>
              <w:t>/a</w:t>
            </w:r>
            <w:r>
              <w:rPr>
                <w:rFonts w:hint="eastAsia"/>
                <w:color w:val="auto"/>
                <w:highlight w:val="none"/>
                <w:lang w:val="en-US" w:eastAsia="zh-CN"/>
              </w:rPr>
              <w:t>），全厂喷淋塔用水量约为0.15</w:t>
            </w:r>
            <w:r>
              <w:rPr>
                <w:rFonts w:hint="default"/>
                <w:color w:val="auto"/>
                <w:highlight w:val="none"/>
                <w:lang w:val="en-US" w:eastAsia="zh-CN"/>
              </w:rPr>
              <w:t>m</w:t>
            </w:r>
            <w:r>
              <w:rPr>
                <w:rFonts w:hint="default"/>
                <w:color w:val="auto"/>
                <w:highlight w:val="none"/>
                <w:vertAlign w:val="superscript"/>
                <w:lang w:val="en-US" w:eastAsia="zh-CN"/>
              </w:rPr>
              <w:t>3</w:t>
            </w:r>
            <w:r>
              <w:rPr>
                <w:rFonts w:hint="default"/>
                <w:color w:val="auto"/>
                <w:highlight w:val="none"/>
                <w:lang w:val="en-US" w:eastAsia="zh-CN"/>
              </w:rPr>
              <w:t>/d</w:t>
            </w:r>
            <w:r>
              <w:rPr>
                <w:rFonts w:hint="eastAsia"/>
                <w:color w:val="auto"/>
                <w:highlight w:val="none"/>
                <w:lang w:val="en-US" w:eastAsia="zh-CN"/>
              </w:rPr>
              <w:t>（36</w:t>
            </w:r>
            <w:r>
              <w:rPr>
                <w:rFonts w:hint="default"/>
                <w:color w:val="auto"/>
                <w:highlight w:val="none"/>
                <w:lang w:val="en-US" w:eastAsia="zh-CN"/>
              </w:rPr>
              <w:t>m</w:t>
            </w:r>
            <w:r>
              <w:rPr>
                <w:rFonts w:hint="default"/>
                <w:color w:val="auto"/>
                <w:highlight w:val="none"/>
                <w:vertAlign w:val="superscript"/>
                <w:lang w:val="en-US" w:eastAsia="zh-CN"/>
              </w:rPr>
              <w:t>3</w:t>
            </w:r>
            <w:r>
              <w:rPr>
                <w:rFonts w:hint="default"/>
                <w:color w:val="auto"/>
                <w:highlight w:val="none"/>
                <w:lang w:val="en-US" w:eastAsia="zh-CN"/>
              </w:rPr>
              <w:t>/a</w:t>
            </w:r>
            <w:r>
              <w:rPr>
                <w:rFonts w:hint="eastAsia"/>
                <w:color w:val="auto"/>
                <w:highlight w:val="none"/>
                <w:lang w:val="en-US" w:eastAsia="zh-CN"/>
              </w:rPr>
              <w:t>）。</w:t>
            </w:r>
          </w:p>
          <w:p w14:paraId="0E93B051">
            <w:pPr>
              <w:pStyle w:val="22"/>
              <w:widowControl w:val="0"/>
              <w:autoSpaceDE w:val="0"/>
              <w:autoSpaceDN w:val="0"/>
              <w:adjustRightInd w:val="0"/>
              <w:snapToGrid w:val="0"/>
              <w:spacing w:before="0" w:beforeAutospacing="0" w:after="0" w:afterAutospacing="0"/>
              <w:ind w:firstLine="480"/>
              <w:jc w:val="both"/>
              <w:textAlignment w:val="baseline"/>
              <w:rPr>
                <w:rFonts w:hint="eastAsia" w:ascii="Times New Roman" w:hAnsi="Times New Roman"/>
                <w:color w:val="auto"/>
                <w:szCs w:val="24"/>
                <w:highlight w:val="none"/>
              </w:rPr>
            </w:pPr>
            <w:r>
              <w:rPr>
                <w:rFonts w:hint="eastAsia" w:ascii="Times New Roman" w:hAnsi="Times New Roman"/>
                <w:color w:val="auto"/>
                <w:szCs w:val="24"/>
                <w:highlight w:val="none"/>
              </w:rPr>
              <w:t>（</w:t>
            </w:r>
            <w:r>
              <w:rPr>
                <w:rFonts w:hint="eastAsia" w:ascii="Times New Roman" w:hAnsi="Times New Roman"/>
                <w:color w:val="auto"/>
                <w:szCs w:val="24"/>
                <w:highlight w:val="none"/>
                <w:lang w:val="en-US" w:eastAsia="zh-CN"/>
              </w:rPr>
              <w:t>4</w:t>
            </w:r>
            <w:r>
              <w:rPr>
                <w:rFonts w:hint="eastAsia" w:ascii="Times New Roman" w:hAnsi="Times New Roman"/>
                <w:color w:val="auto"/>
                <w:szCs w:val="24"/>
                <w:highlight w:val="none"/>
              </w:rPr>
              <w:t>）</w:t>
            </w:r>
            <w:r>
              <w:rPr>
                <w:rFonts w:ascii="Times New Roman" w:hAnsi="Times New Roman"/>
                <w:color w:val="auto"/>
                <w:szCs w:val="24"/>
                <w:highlight w:val="none"/>
              </w:rPr>
              <w:t>生活</w:t>
            </w:r>
            <w:r>
              <w:rPr>
                <w:rFonts w:hint="eastAsia" w:ascii="Times New Roman" w:hAnsi="Times New Roman"/>
                <w:color w:val="auto"/>
                <w:szCs w:val="24"/>
                <w:highlight w:val="none"/>
              </w:rPr>
              <w:t>废水</w:t>
            </w:r>
          </w:p>
          <w:p w14:paraId="01829751">
            <w:pPr>
              <w:keepNext w:val="0"/>
              <w:keepLines w:val="0"/>
              <w:widowControl/>
              <w:suppressLineNumbers w:val="0"/>
              <w:jc w:val="left"/>
              <w:rPr>
                <w:rFonts w:hint="default" w:eastAsia="宋体"/>
                <w:color w:val="auto"/>
                <w:highlight w:val="none"/>
                <w:lang w:val="en-US" w:eastAsia="zh-CN"/>
              </w:rPr>
            </w:pPr>
            <w:r>
              <w:rPr>
                <w:rFonts w:hint="default" w:ascii="Times New Roman" w:hAnsi="Times New Roman" w:cs="Times New Roman"/>
                <w:color w:val="auto"/>
                <w:szCs w:val="24"/>
                <w:highlight w:val="none"/>
              </w:rPr>
              <w:t>项目的劳动定员为</w:t>
            </w:r>
            <w:r>
              <w:rPr>
                <w:rFonts w:hint="eastAsia" w:ascii="Times New Roman" w:hAnsi="Times New Roman" w:cs="Times New Roman"/>
                <w:color w:val="auto"/>
                <w:szCs w:val="24"/>
                <w:highlight w:val="none"/>
                <w:lang w:val="en-US" w:eastAsia="zh-CN"/>
              </w:rPr>
              <w:t>10人（均</w:t>
            </w:r>
            <w:r>
              <w:rPr>
                <w:rFonts w:hint="default" w:ascii="Times New Roman" w:hAnsi="Times New Roman" w:cs="Times New Roman"/>
                <w:color w:val="auto"/>
                <w:szCs w:val="24"/>
                <w:highlight w:val="none"/>
              </w:rPr>
              <w:t>住厂</w:t>
            </w:r>
            <w:r>
              <w:rPr>
                <w:rFonts w:hint="eastAsia" w:ascii="Times New Roman" w:hAnsi="Times New Roman" w:cs="Times New Roman"/>
                <w:color w:val="auto"/>
                <w:szCs w:val="24"/>
                <w:highlight w:val="none"/>
                <w:lang w:val="en-US" w:eastAsia="zh-CN"/>
              </w:rPr>
              <w:t>）</w:t>
            </w:r>
            <w:r>
              <w:rPr>
                <w:rFonts w:hint="default" w:ascii="Times New Roman" w:hAnsi="Times New Roman" w:cs="Times New Roman"/>
                <w:color w:val="auto"/>
                <w:szCs w:val="24"/>
                <w:highlight w:val="none"/>
              </w:rPr>
              <w:t>。根据《建筑给水排水设计标准》（GB50015-2019），住厂职工</w:t>
            </w:r>
            <w:r>
              <w:rPr>
                <w:rFonts w:hint="eastAsia" w:ascii="Times New Roman" w:hAnsi="Times New Roman" w:cs="Times New Roman"/>
                <w:color w:val="auto"/>
                <w:szCs w:val="24"/>
                <w:highlight w:val="none"/>
                <w:lang w:val="en-US" w:eastAsia="zh-CN"/>
              </w:rPr>
              <w:t>用水量</w:t>
            </w:r>
            <w:r>
              <w:rPr>
                <w:rFonts w:hint="default" w:ascii="Times New Roman" w:hAnsi="Times New Roman" w:cs="Times New Roman"/>
                <w:color w:val="auto"/>
                <w:szCs w:val="24"/>
                <w:highlight w:val="none"/>
              </w:rPr>
              <w:t>一般宜采用150～200L/人·</w:t>
            </w:r>
            <w:r>
              <w:rPr>
                <w:rFonts w:hint="eastAsia" w:ascii="Times New Roman" w:hAnsi="Times New Roman" w:cs="Times New Roman"/>
                <w:color w:val="auto"/>
                <w:szCs w:val="24"/>
                <w:highlight w:val="none"/>
                <w:lang w:val="en-US" w:eastAsia="zh-CN"/>
              </w:rPr>
              <w:t>d</w:t>
            </w:r>
            <w:r>
              <w:rPr>
                <w:rFonts w:hint="default" w:ascii="Times New Roman" w:hAnsi="Times New Roman" w:cs="Times New Roman"/>
                <w:color w:val="auto"/>
                <w:szCs w:val="24"/>
                <w:highlight w:val="none"/>
              </w:rPr>
              <w:t>，项目取</w:t>
            </w:r>
            <w:r>
              <w:rPr>
                <w:rFonts w:hint="eastAsia" w:ascii="Times New Roman" w:hAnsi="Times New Roman" w:cs="Times New Roman"/>
                <w:color w:val="auto"/>
                <w:szCs w:val="24"/>
                <w:highlight w:val="none"/>
                <w:lang w:val="en-US" w:eastAsia="zh-CN"/>
              </w:rPr>
              <w:t>200</w:t>
            </w:r>
            <w:r>
              <w:rPr>
                <w:rFonts w:hint="default" w:ascii="Times New Roman" w:hAnsi="Times New Roman" w:cs="Times New Roman"/>
                <w:color w:val="auto"/>
                <w:szCs w:val="24"/>
                <w:highlight w:val="none"/>
              </w:rPr>
              <w:t>L/人·</w:t>
            </w:r>
            <w:r>
              <w:rPr>
                <w:rFonts w:hint="eastAsia" w:ascii="Times New Roman" w:hAnsi="Times New Roman" w:cs="Times New Roman"/>
                <w:color w:val="auto"/>
                <w:szCs w:val="24"/>
                <w:highlight w:val="none"/>
                <w:lang w:val="en-US" w:eastAsia="zh-CN"/>
              </w:rPr>
              <w:t>d</w:t>
            </w:r>
            <w:r>
              <w:rPr>
                <w:rFonts w:hint="default" w:ascii="Times New Roman" w:hAnsi="Times New Roman" w:cs="Times New Roman"/>
                <w:color w:val="auto"/>
                <w:szCs w:val="24"/>
                <w:highlight w:val="none"/>
              </w:rPr>
              <w:t>，以2</w:t>
            </w:r>
            <w:r>
              <w:rPr>
                <w:rFonts w:hint="eastAsia" w:ascii="Times New Roman" w:hAnsi="Times New Roman" w:cs="Times New Roman"/>
                <w:color w:val="auto"/>
                <w:szCs w:val="24"/>
                <w:highlight w:val="none"/>
                <w:lang w:val="en-US" w:eastAsia="zh-CN"/>
              </w:rPr>
              <w:t>4</w:t>
            </w:r>
            <w:r>
              <w:rPr>
                <w:rFonts w:hint="default" w:ascii="Times New Roman" w:hAnsi="Times New Roman" w:cs="Times New Roman"/>
                <w:color w:val="auto"/>
                <w:szCs w:val="24"/>
                <w:highlight w:val="none"/>
              </w:rPr>
              <w:t>0天计算，则本项目职工用水量为</w:t>
            </w:r>
            <w:r>
              <w:rPr>
                <w:rFonts w:hint="eastAsia" w:ascii="Times New Roman" w:hAnsi="Times New Roman" w:cs="Times New Roman"/>
                <w:color w:val="auto"/>
                <w:szCs w:val="24"/>
                <w:highlight w:val="none"/>
                <w:lang w:val="en-US" w:eastAsia="zh-CN"/>
              </w:rPr>
              <w:t>2</w:t>
            </w:r>
            <w:r>
              <w:rPr>
                <w:rFonts w:hint="default" w:ascii="Times New Roman" w:hAnsi="Times New Roman" w:cs="Times New Roman"/>
                <w:color w:val="auto"/>
                <w:szCs w:val="24"/>
                <w:highlight w:val="none"/>
              </w:rPr>
              <w:t>m</w:t>
            </w:r>
            <w:r>
              <w:rPr>
                <w:rFonts w:hint="default" w:ascii="Times New Roman" w:hAnsi="Times New Roman" w:cs="Times New Roman"/>
                <w:color w:val="auto"/>
                <w:szCs w:val="24"/>
                <w:highlight w:val="none"/>
                <w:vertAlign w:val="superscript"/>
              </w:rPr>
              <w:t>3</w:t>
            </w:r>
            <w:r>
              <w:rPr>
                <w:rFonts w:hint="default" w:ascii="Times New Roman" w:hAnsi="Times New Roman" w:cs="Times New Roman"/>
                <w:color w:val="auto"/>
                <w:szCs w:val="24"/>
                <w:highlight w:val="none"/>
              </w:rPr>
              <w:t>/d</w:t>
            </w:r>
            <w:r>
              <w:rPr>
                <w:rFonts w:hint="eastAsia" w:ascii="Times New Roman" w:hAnsi="Times New Roman" w:cs="Times New Roman"/>
                <w:color w:val="auto"/>
                <w:szCs w:val="24"/>
                <w:highlight w:val="none"/>
                <w:lang w:eastAsia="zh-CN"/>
              </w:rPr>
              <w:t>（</w:t>
            </w:r>
            <w:r>
              <w:rPr>
                <w:rFonts w:hint="eastAsia" w:ascii="Times New Roman" w:hAnsi="Times New Roman" w:cs="Times New Roman"/>
                <w:color w:val="auto"/>
                <w:szCs w:val="24"/>
                <w:highlight w:val="none"/>
                <w:lang w:val="en-US" w:eastAsia="zh-CN"/>
              </w:rPr>
              <w:t>480</w:t>
            </w:r>
            <w:r>
              <w:rPr>
                <w:rFonts w:hint="default" w:ascii="Times New Roman" w:hAnsi="Times New Roman" w:cs="Times New Roman"/>
                <w:color w:val="auto"/>
                <w:szCs w:val="24"/>
                <w:highlight w:val="none"/>
              </w:rPr>
              <w:t>m</w:t>
            </w:r>
            <w:r>
              <w:rPr>
                <w:rFonts w:hint="default" w:ascii="Times New Roman" w:hAnsi="Times New Roman" w:cs="Times New Roman"/>
                <w:color w:val="auto"/>
                <w:szCs w:val="24"/>
                <w:highlight w:val="none"/>
                <w:vertAlign w:val="superscript"/>
              </w:rPr>
              <w:t>3</w:t>
            </w:r>
            <w:r>
              <w:rPr>
                <w:rFonts w:hint="default" w:ascii="Times New Roman" w:hAnsi="Times New Roman" w:cs="Times New Roman"/>
                <w:color w:val="auto"/>
                <w:szCs w:val="24"/>
                <w:highlight w:val="none"/>
              </w:rPr>
              <w:t>/a</w:t>
            </w:r>
            <w:r>
              <w:rPr>
                <w:rFonts w:hint="eastAsia" w:ascii="Times New Roman" w:hAnsi="Times New Roman" w:cs="Times New Roman"/>
                <w:color w:val="auto"/>
                <w:szCs w:val="24"/>
                <w:highlight w:val="none"/>
                <w:lang w:eastAsia="zh-CN"/>
              </w:rPr>
              <w:t>）</w:t>
            </w:r>
            <w:r>
              <w:rPr>
                <w:rFonts w:hint="default" w:ascii="Times New Roman" w:hAnsi="Times New Roman" w:cs="Times New Roman"/>
                <w:color w:val="auto"/>
                <w:szCs w:val="24"/>
                <w:highlight w:val="none"/>
              </w:rPr>
              <w:t>，项目污水排放系数取0.</w:t>
            </w:r>
            <w:r>
              <w:rPr>
                <w:rFonts w:hint="eastAsia" w:ascii="Times New Roman" w:hAnsi="Times New Roman" w:cs="Times New Roman"/>
                <w:color w:val="auto"/>
                <w:szCs w:val="24"/>
                <w:highlight w:val="none"/>
                <w:lang w:val="en-US" w:eastAsia="zh-CN"/>
              </w:rPr>
              <w:t>8</w:t>
            </w:r>
            <w:r>
              <w:rPr>
                <w:rFonts w:hint="default" w:ascii="Times New Roman" w:hAnsi="Times New Roman" w:cs="Times New Roman"/>
                <w:color w:val="auto"/>
                <w:szCs w:val="24"/>
                <w:highlight w:val="none"/>
              </w:rPr>
              <w:t>，则</w:t>
            </w:r>
            <w:r>
              <w:rPr>
                <w:rFonts w:hint="eastAsia" w:ascii="Times New Roman" w:hAnsi="Times New Roman" w:cs="Times New Roman"/>
                <w:color w:val="auto"/>
                <w:szCs w:val="24"/>
                <w:highlight w:val="none"/>
                <w:lang w:val="en-US" w:eastAsia="zh-CN"/>
              </w:rPr>
              <w:t>职工</w:t>
            </w:r>
            <w:r>
              <w:rPr>
                <w:rFonts w:hint="default" w:ascii="Times New Roman" w:hAnsi="Times New Roman" w:cs="Times New Roman"/>
                <w:color w:val="auto"/>
                <w:szCs w:val="24"/>
                <w:highlight w:val="none"/>
              </w:rPr>
              <w:t>生活</w:t>
            </w:r>
            <w:r>
              <w:rPr>
                <w:rFonts w:hint="eastAsia" w:ascii="Times New Roman" w:hAnsi="Times New Roman" w:cs="Times New Roman"/>
                <w:color w:val="auto"/>
                <w:szCs w:val="24"/>
                <w:highlight w:val="none"/>
                <w:lang w:val="en-US" w:eastAsia="zh-CN"/>
              </w:rPr>
              <w:t>废水</w:t>
            </w:r>
            <w:r>
              <w:rPr>
                <w:rFonts w:hint="default" w:ascii="Times New Roman" w:hAnsi="Times New Roman" w:cs="Times New Roman"/>
                <w:color w:val="auto"/>
                <w:szCs w:val="24"/>
                <w:highlight w:val="none"/>
              </w:rPr>
              <w:t>排放量为</w:t>
            </w:r>
            <w:r>
              <w:rPr>
                <w:rFonts w:hint="eastAsia" w:ascii="Times New Roman" w:hAnsi="Times New Roman" w:cs="Times New Roman"/>
                <w:color w:val="auto"/>
                <w:szCs w:val="24"/>
                <w:highlight w:val="none"/>
                <w:lang w:val="en-US" w:eastAsia="zh-CN"/>
              </w:rPr>
              <w:t>1.6</w:t>
            </w:r>
            <w:r>
              <w:rPr>
                <w:rFonts w:hint="default" w:ascii="Times New Roman" w:hAnsi="Times New Roman" w:cs="Times New Roman"/>
                <w:color w:val="auto"/>
                <w:szCs w:val="24"/>
                <w:highlight w:val="none"/>
              </w:rPr>
              <w:t>m</w:t>
            </w:r>
            <w:r>
              <w:rPr>
                <w:rFonts w:hint="default" w:ascii="Times New Roman" w:hAnsi="Times New Roman" w:cs="Times New Roman"/>
                <w:color w:val="auto"/>
                <w:szCs w:val="24"/>
                <w:highlight w:val="none"/>
                <w:vertAlign w:val="superscript"/>
              </w:rPr>
              <w:t>3</w:t>
            </w:r>
            <w:r>
              <w:rPr>
                <w:rFonts w:hint="default" w:ascii="Times New Roman" w:hAnsi="Times New Roman" w:cs="Times New Roman"/>
                <w:color w:val="auto"/>
                <w:szCs w:val="24"/>
                <w:highlight w:val="none"/>
              </w:rPr>
              <w:t>/d</w:t>
            </w:r>
            <w:r>
              <w:rPr>
                <w:rFonts w:hint="eastAsia" w:ascii="Times New Roman" w:hAnsi="Times New Roman" w:cs="Times New Roman"/>
                <w:color w:val="auto"/>
                <w:szCs w:val="24"/>
                <w:highlight w:val="none"/>
                <w:lang w:eastAsia="zh-CN"/>
              </w:rPr>
              <w:t>（</w:t>
            </w:r>
            <w:r>
              <w:rPr>
                <w:rFonts w:hint="eastAsia" w:ascii="Times New Roman" w:hAnsi="Times New Roman" w:cs="Times New Roman"/>
                <w:color w:val="auto"/>
                <w:szCs w:val="24"/>
                <w:highlight w:val="none"/>
                <w:lang w:val="en-US" w:eastAsia="zh-CN"/>
              </w:rPr>
              <w:t>384</w:t>
            </w:r>
            <w:r>
              <w:rPr>
                <w:rFonts w:hint="default" w:ascii="Times New Roman" w:hAnsi="Times New Roman" w:cs="Times New Roman"/>
                <w:color w:val="auto"/>
                <w:szCs w:val="24"/>
                <w:highlight w:val="none"/>
              </w:rPr>
              <w:t>m</w:t>
            </w:r>
            <w:r>
              <w:rPr>
                <w:rFonts w:hint="default" w:ascii="Times New Roman" w:hAnsi="Times New Roman" w:cs="Times New Roman"/>
                <w:color w:val="auto"/>
                <w:szCs w:val="24"/>
                <w:highlight w:val="none"/>
                <w:vertAlign w:val="superscript"/>
              </w:rPr>
              <w:t>3</w:t>
            </w:r>
            <w:r>
              <w:rPr>
                <w:rFonts w:hint="default" w:ascii="Times New Roman" w:hAnsi="Times New Roman" w:cs="Times New Roman"/>
                <w:color w:val="auto"/>
                <w:szCs w:val="24"/>
                <w:highlight w:val="none"/>
              </w:rPr>
              <w:t>/a</w:t>
            </w:r>
            <w:r>
              <w:rPr>
                <w:rFonts w:hint="eastAsia" w:ascii="Times New Roman" w:hAnsi="Times New Roman" w:cs="Times New Roman"/>
                <w:color w:val="auto"/>
                <w:szCs w:val="24"/>
                <w:highlight w:val="none"/>
                <w:lang w:eastAsia="zh-CN"/>
              </w:rPr>
              <w:t>）</w:t>
            </w:r>
            <w:r>
              <w:rPr>
                <w:rFonts w:hint="default" w:ascii="Times New Roman" w:hAnsi="Times New Roman" w:cs="Times New Roman"/>
                <w:color w:val="auto"/>
                <w:szCs w:val="24"/>
                <w:highlight w:val="none"/>
              </w:rPr>
              <w:t>。</w:t>
            </w:r>
            <w:r>
              <w:rPr>
                <w:rFonts w:hint="eastAsia" w:ascii="Times New Roman" w:hAnsi="Times New Roman" w:cs="Times New Roman"/>
                <w:color w:val="auto"/>
                <w:szCs w:val="24"/>
                <w:highlight w:val="none"/>
                <w:lang w:val="en-US" w:eastAsia="zh-CN"/>
              </w:rPr>
              <w:t>本项目</w:t>
            </w:r>
            <w:r>
              <w:rPr>
                <w:rFonts w:hint="eastAsia" w:ascii="Times New Roman" w:hAnsi="Times New Roman" w:cs="Times New Roman"/>
                <w:color w:val="auto"/>
                <w:szCs w:val="24"/>
                <w:highlight w:val="none"/>
              </w:rPr>
              <w:t>生活废水一起经</w:t>
            </w:r>
            <w:r>
              <w:rPr>
                <w:rFonts w:hint="eastAsia" w:ascii="Times New Roman" w:hAnsi="Times New Roman" w:cs="Times New Roman"/>
                <w:color w:val="auto"/>
                <w:szCs w:val="24"/>
                <w:highlight w:val="none"/>
                <w:lang w:val="en-US" w:eastAsia="zh-CN"/>
              </w:rPr>
              <w:t>厂区</w:t>
            </w:r>
            <w:r>
              <w:rPr>
                <w:rFonts w:hint="eastAsia" w:ascii="Times New Roman" w:hAnsi="Times New Roman" w:cs="Times New Roman"/>
                <w:color w:val="auto"/>
                <w:szCs w:val="24"/>
                <w:highlight w:val="none"/>
              </w:rPr>
              <w:t>化粪池处理达</w:t>
            </w:r>
            <w:r>
              <w:rPr>
                <w:rFonts w:hint="eastAsia" w:ascii="Times New Roman" w:hAnsi="Times New Roman" w:cs="Times New Roman"/>
                <w:color w:val="auto"/>
                <w:szCs w:val="24"/>
                <w:highlight w:val="none"/>
                <w:lang w:val="en-US" w:eastAsia="zh-CN"/>
              </w:rPr>
              <w:t>标</w:t>
            </w:r>
            <w:r>
              <w:rPr>
                <w:rFonts w:hint="eastAsia" w:ascii="Times New Roman" w:hAnsi="Times New Roman" w:cs="Times New Roman"/>
                <w:color w:val="auto"/>
                <w:szCs w:val="24"/>
                <w:highlight w:val="none"/>
              </w:rPr>
              <w:t>后排入市政污水管网</w:t>
            </w:r>
            <w:r>
              <w:rPr>
                <w:rFonts w:hint="eastAsia" w:cs="Times New Roman"/>
                <w:color w:val="auto"/>
                <w:szCs w:val="24"/>
                <w:highlight w:val="none"/>
                <w:lang w:val="en-US" w:eastAsia="zh-CN"/>
              </w:rPr>
              <w:t>纳入金港工业区生活污水处理厂进行处理。</w:t>
            </w:r>
          </w:p>
          <w:p w14:paraId="3A8C264A">
            <w:pPr>
              <w:pStyle w:val="22"/>
              <w:widowControl w:val="0"/>
              <w:autoSpaceDE w:val="0"/>
              <w:autoSpaceDN w:val="0"/>
              <w:adjustRightInd w:val="0"/>
              <w:snapToGrid w:val="0"/>
              <w:spacing w:before="0" w:beforeAutospacing="0" w:after="0" w:afterAutospacing="0"/>
              <w:ind w:firstLine="480"/>
              <w:jc w:val="both"/>
              <w:textAlignment w:val="baseline"/>
              <w:rPr>
                <w:rFonts w:hint="eastAsia" w:ascii="Times New Roman" w:hAnsi="Times New Roman"/>
                <w:bCs/>
                <w:color w:val="auto"/>
                <w:highlight w:val="none"/>
              </w:rPr>
            </w:pPr>
            <w:r>
              <w:rPr>
                <w:rFonts w:hint="eastAsia" w:ascii="Times New Roman" w:hAnsi="Times New Roman"/>
                <w:color w:val="auto"/>
                <w:szCs w:val="24"/>
                <w:highlight w:val="none"/>
              </w:rPr>
              <w:t>（</w:t>
            </w:r>
            <w:r>
              <w:rPr>
                <w:rFonts w:hint="eastAsia" w:ascii="Times New Roman" w:hAnsi="Times New Roman"/>
                <w:color w:val="auto"/>
                <w:szCs w:val="24"/>
                <w:highlight w:val="none"/>
                <w:lang w:val="en-US" w:eastAsia="zh-CN"/>
              </w:rPr>
              <w:t>5</w:t>
            </w:r>
            <w:r>
              <w:rPr>
                <w:rFonts w:hint="eastAsia" w:ascii="Times New Roman" w:hAnsi="Times New Roman"/>
                <w:color w:val="auto"/>
                <w:szCs w:val="24"/>
                <w:highlight w:val="none"/>
              </w:rPr>
              <w:t>）</w:t>
            </w:r>
            <w:r>
              <w:rPr>
                <w:rFonts w:ascii="Times New Roman" w:hAnsi="Times New Roman"/>
                <w:bCs/>
                <w:color w:val="auto"/>
                <w:highlight w:val="none"/>
              </w:rPr>
              <w:t>食堂</w:t>
            </w:r>
            <w:r>
              <w:rPr>
                <w:rFonts w:hint="eastAsia" w:ascii="Times New Roman" w:hAnsi="Times New Roman"/>
                <w:bCs/>
                <w:color w:val="auto"/>
                <w:highlight w:val="none"/>
              </w:rPr>
              <w:t>废水</w:t>
            </w:r>
          </w:p>
          <w:p w14:paraId="7C980C9B">
            <w:pPr>
              <w:ind w:firstLine="480"/>
              <w:rPr>
                <w:rFonts w:hint="eastAsia" w:ascii="Times New Roman" w:hAnsi="Times New Roman" w:eastAsia="宋体" w:cs="Times New Roman"/>
                <w:color w:val="auto"/>
                <w:szCs w:val="21"/>
                <w:highlight w:val="none"/>
                <w:lang w:val="en-US" w:eastAsia="zh-CN"/>
              </w:rPr>
            </w:pPr>
            <w:r>
              <w:rPr>
                <w:bCs/>
                <w:color w:val="auto"/>
                <w:highlight w:val="none"/>
              </w:rPr>
              <w:t>项目厂内设有食堂，日均就餐人数按</w:t>
            </w:r>
            <w:r>
              <w:rPr>
                <w:rFonts w:hint="eastAsia"/>
                <w:bCs/>
                <w:color w:val="auto"/>
                <w:highlight w:val="none"/>
                <w:lang w:val="en-US" w:eastAsia="zh-CN"/>
              </w:rPr>
              <w:t>10</w:t>
            </w:r>
            <w:r>
              <w:rPr>
                <w:bCs/>
                <w:color w:val="auto"/>
                <w:highlight w:val="none"/>
              </w:rPr>
              <w:t>人计，食堂用水按《民用建筑节水设计标准》（GB50555-2010）用水指标平均值取值20L/（人·d），则食堂用水量为</w:t>
            </w:r>
            <w:r>
              <w:rPr>
                <w:rFonts w:hint="eastAsia"/>
                <w:bCs/>
                <w:color w:val="auto"/>
                <w:highlight w:val="none"/>
                <w:lang w:val="en-US" w:eastAsia="zh-CN"/>
              </w:rPr>
              <w:t>0.2</w:t>
            </w:r>
            <w:r>
              <w:rPr>
                <w:color w:val="auto"/>
                <w:highlight w:val="none"/>
              </w:rPr>
              <w:t>m</w:t>
            </w:r>
            <w:r>
              <w:rPr>
                <w:color w:val="auto"/>
                <w:highlight w:val="none"/>
                <w:vertAlign w:val="superscript"/>
              </w:rPr>
              <w:t>3</w:t>
            </w:r>
            <w:r>
              <w:rPr>
                <w:color w:val="auto"/>
                <w:highlight w:val="none"/>
              </w:rPr>
              <w:t>/d</w:t>
            </w:r>
            <w:r>
              <w:rPr>
                <w:bCs/>
                <w:color w:val="auto"/>
                <w:highlight w:val="none"/>
              </w:rPr>
              <w:t>（</w:t>
            </w:r>
            <w:r>
              <w:rPr>
                <w:rFonts w:hint="eastAsia"/>
                <w:bCs/>
                <w:color w:val="auto"/>
                <w:highlight w:val="none"/>
                <w:lang w:val="en-US" w:eastAsia="zh-CN"/>
              </w:rPr>
              <w:t>48</w:t>
            </w:r>
            <w:r>
              <w:rPr>
                <w:color w:val="auto"/>
                <w:highlight w:val="none"/>
              </w:rPr>
              <w:t>m</w:t>
            </w:r>
            <w:r>
              <w:rPr>
                <w:color w:val="auto"/>
                <w:highlight w:val="none"/>
                <w:vertAlign w:val="superscript"/>
              </w:rPr>
              <w:t>3</w:t>
            </w:r>
            <w:r>
              <w:rPr>
                <w:color w:val="auto"/>
                <w:highlight w:val="none"/>
              </w:rPr>
              <w:t>/</w:t>
            </w:r>
            <w:r>
              <w:rPr>
                <w:rFonts w:hint="eastAsia"/>
                <w:color w:val="auto"/>
                <w:highlight w:val="none"/>
              </w:rPr>
              <w:t>a</w:t>
            </w:r>
            <w:r>
              <w:rPr>
                <w:bCs/>
                <w:color w:val="auto"/>
                <w:highlight w:val="none"/>
              </w:rPr>
              <w:t>），排污系数取0.8，则食堂</w:t>
            </w:r>
            <w:r>
              <w:rPr>
                <w:rFonts w:hint="eastAsia"/>
                <w:bCs/>
                <w:color w:val="auto"/>
                <w:highlight w:val="none"/>
              </w:rPr>
              <w:t>废水</w:t>
            </w:r>
            <w:r>
              <w:rPr>
                <w:bCs/>
                <w:color w:val="auto"/>
                <w:highlight w:val="none"/>
              </w:rPr>
              <w:t>排放量为</w:t>
            </w:r>
            <w:r>
              <w:rPr>
                <w:rFonts w:hint="eastAsia"/>
                <w:bCs/>
                <w:color w:val="auto"/>
                <w:highlight w:val="none"/>
                <w:lang w:val="en-US" w:eastAsia="zh-CN"/>
              </w:rPr>
              <w:t>0.16</w:t>
            </w:r>
            <w:r>
              <w:rPr>
                <w:color w:val="auto"/>
                <w:highlight w:val="none"/>
              </w:rPr>
              <w:t>m</w:t>
            </w:r>
            <w:r>
              <w:rPr>
                <w:color w:val="auto"/>
                <w:highlight w:val="none"/>
                <w:vertAlign w:val="superscript"/>
              </w:rPr>
              <w:t>3</w:t>
            </w:r>
            <w:r>
              <w:rPr>
                <w:color w:val="auto"/>
                <w:highlight w:val="none"/>
              </w:rPr>
              <w:t>/d</w:t>
            </w:r>
            <w:r>
              <w:rPr>
                <w:bCs/>
                <w:color w:val="auto"/>
                <w:highlight w:val="none"/>
              </w:rPr>
              <w:t>（</w:t>
            </w:r>
            <w:r>
              <w:rPr>
                <w:rFonts w:hint="eastAsia"/>
                <w:bCs/>
                <w:color w:val="auto"/>
                <w:highlight w:val="none"/>
                <w:lang w:val="en-US" w:eastAsia="zh-CN"/>
              </w:rPr>
              <w:t>38.4</w:t>
            </w:r>
            <w:r>
              <w:rPr>
                <w:color w:val="auto"/>
                <w:highlight w:val="none"/>
              </w:rPr>
              <w:t>m</w:t>
            </w:r>
            <w:r>
              <w:rPr>
                <w:color w:val="auto"/>
                <w:highlight w:val="none"/>
                <w:vertAlign w:val="superscript"/>
              </w:rPr>
              <w:t>3</w:t>
            </w:r>
            <w:r>
              <w:rPr>
                <w:color w:val="auto"/>
                <w:highlight w:val="none"/>
              </w:rPr>
              <w:t>/</w:t>
            </w:r>
            <w:r>
              <w:rPr>
                <w:rFonts w:hint="eastAsia"/>
                <w:color w:val="auto"/>
                <w:highlight w:val="none"/>
              </w:rPr>
              <w:t>a</w:t>
            </w:r>
            <w:r>
              <w:rPr>
                <w:bCs/>
                <w:color w:val="auto"/>
                <w:highlight w:val="none"/>
              </w:rPr>
              <w:t>）。</w:t>
            </w:r>
            <w:r>
              <w:rPr>
                <w:rFonts w:hint="eastAsia"/>
                <w:bCs/>
                <w:color w:val="auto"/>
                <w:highlight w:val="none"/>
                <w:lang w:val="en-US" w:eastAsia="zh-CN"/>
              </w:rPr>
              <w:t>本项目食堂废水经隔油池预处理后与</w:t>
            </w:r>
            <w:r>
              <w:rPr>
                <w:rFonts w:hint="eastAsia"/>
                <w:bCs/>
                <w:color w:val="auto"/>
                <w:highlight w:val="none"/>
              </w:rPr>
              <w:t>生活废水一起经</w:t>
            </w:r>
            <w:r>
              <w:rPr>
                <w:rFonts w:hint="eastAsia"/>
                <w:bCs/>
                <w:color w:val="auto"/>
                <w:highlight w:val="none"/>
                <w:lang w:val="en-US" w:eastAsia="zh-CN"/>
              </w:rPr>
              <w:t>厂区</w:t>
            </w:r>
            <w:r>
              <w:rPr>
                <w:rFonts w:hint="eastAsia"/>
                <w:bCs/>
                <w:color w:val="auto"/>
                <w:highlight w:val="none"/>
              </w:rPr>
              <w:t>化粪池处理达</w:t>
            </w:r>
            <w:r>
              <w:rPr>
                <w:rFonts w:hint="eastAsia"/>
                <w:bCs/>
                <w:color w:val="auto"/>
                <w:highlight w:val="none"/>
                <w:lang w:val="en-US" w:eastAsia="zh-CN"/>
              </w:rPr>
              <w:t>标</w:t>
            </w:r>
            <w:r>
              <w:rPr>
                <w:rFonts w:hint="eastAsia"/>
                <w:bCs/>
                <w:color w:val="auto"/>
                <w:highlight w:val="none"/>
              </w:rPr>
              <w:t>后排入市政污水管网</w:t>
            </w:r>
            <w:r>
              <w:rPr>
                <w:rFonts w:hint="eastAsia"/>
                <w:bCs/>
                <w:color w:val="auto"/>
                <w:highlight w:val="none"/>
                <w:lang w:val="en-US" w:eastAsia="zh-CN"/>
              </w:rPr>
              <w:t>纳入</w:t>
            </w:r>
            <w:r>
              <w:rPr>
                <w:rFonts w:hint="default"/>
                <w:bCs/>
                <w:color w:val="auto"/>
                <w:highlight w:val="none"/>
                <w:lang w:val="en-US" w:eastAsia="zh-CN"/>
              </w:rPr>
              <w:t>金港工业区生活污水处理厂</w:t>
            </w:r>
            <w:r>
              <w:rPr>
                <w:rFonts w:hint="eastAsia"/>
                <w:bCs/>
                <w:color w:val="auto"/>
                <w:highlight w:val="none"/>
                <w:lang w:val="en-US" w:eastAsia="zh-CN"/>
              </w:rPr>
              <w:t>进行处理。</w:t>
            </w:r>
          </w:p>
          <w:p w14:paraId="1CB678A4">
            <w:pPr>
              <w:keepNext w:val="0"/>
              <w:keepLines w:val="0"/>
              <w:widowControl/>
              <w:suppressLineNumbers w:val="0"/>
              <w:jc w:val="left"/>
              <w:rPr>
                <w:color w:val="auto"/>
                <w:highlight w:val="none"/>
              </w:rPr>
            </w:pPr>
            <w:r>
              <w:rPr>
                <w:rFonts w:hint="eastAsia" w:ascii="Times New Roman" w:hAnsi="Times New Roman" w:eastAsia="宋体" w:cs="Times New Roman"/>
                <w:color w:val="auto"/>
                <w:szCs w:val="21"/>
                <w:highlight w:val="none"/>
                <w:lang w:val="en-US" w:eastAsia="zh-CN"/>
              </w:rPr>
              <w:t>（</w:t>
            </w:r>
            <w:r>
              <w:rPr>
                <w:rFonts w:hint="eastAsia" w:cs="Times New Roman"/>
                <w:color w:val="auto"/>
                <w:szCs w:val="21"/>
                <w:highlight w:val="none"/>
                <w:lang w:val="en-US" w:eastAsia="zh-CN"/>
              </w:rPr>
              <w:t>6</w:t>
            </w:r>
            <w:r>
              <w:rPr>
                <w:rFonts w:hint="eastAsia" w:ascii="Times New Roman" w:hAnsi="Times New Roman" w:eastAsia="宋体" w:cs="Times New Roman"/>
                <w:color w:val="auto"/>
                <w:szCs w:val="21"/>
                <w:highlight w:val="none"/>
                <w:lang w:val="en-US" w:eastAsia="zh-CN"/>
              </w:rPr>
              <w:t>）</w:t>
            </w:r>
            <w:r>
              <w:rPr>
                <w:rFonts w:hint="eastAsia" w:ascii="宋体" w:hAnsi="宋体" w:eastAsia="宋体" w:cs="宋体"/>
                <w:color w:val="auto"/>
                <w:kern w:val="0"/>
                <w:sz w:val="24"/>
                <w:szCs w:val="24"/>
                <w:highlight w:val="none"/>
                <w:lang w:val="en-US" w:eastAsia="zh-CN" w:bidi="ar"/>
              </w:rPr>
              <w:t xml:space="preserve">初期雨水 </w:t>
            </w:r>
          </w:p>
          <w:p w14:paraId="764F3F66">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项目为沥青搅拌，雨季期间，作业区及作业区周边路面等区域易受雨水冲刷， 产生的污染物主要为</w:t>
            </w:r>
            <w:r>
              <w:rPr>
                <w:rFonts w:hint="default" w:ascii="Times New Roman" w:hAnsi="Times New Roman" w:eastAsia="宋体" w:cs="Times New Roman"/>
                <w:color w:val="auto"/>
                <w:kern w:val="0"/>
                <w:sz w:val="24"/>
                <w:szCs w:val="24"/>
                <w:highlight w:val="none"/>
                <w:lang w:val="en-US" w:eastAsia="zh-CN" w:bidi="ar"/>
              </w:rPr>
              <w:t>SS</w:t>
            </w:r>
            <w:r>
              <w:rPr>
                <w:rFonts w:hint="eastAsia" w:ascii="宋体" w:hAnsi="宋体" w:eastAsia="宋体" w:cs="宋体"/>
                <w:color w:val="auto"/>
                <w:kern w:val="0"/>
                <w:sz w:val="24"/>
                <w:szCs w:val="24"/>
                <w:highlight w:val="none"/>
                <w:lang w:val="en-US" w:eastAsia="zh-CN" w:bidi="ar"/>
              </w:rPr>
              <w:t>，计算汇雨面积约为</w:t>
            </w:r>
            <w:r>
              <w:rPr>
                <w:rFonts w:hint="eastAsia" w:ascii="Times New Roman" w:hAnsi="Times New Roman" w:eastAsia="宋体" w:cs="Times New Roman"/>
                <w:color w:val="auto"/>
                <w:kern w:val="0"/>
                <w:sz w:val="24"/>
                <w:szCs w:val="24"/>
                <w:highlight w:val="none"/>
                <w:lang w:val="en-US" w:eastAsia="zh-CN" w:bidi="ar"/>
              </w:rPr>
              <w:t>7143</w:t>
            </w:r>
            <w:r>
              <w:rPr>
                <w:rFonts w:hint="default" w:ascii="Times New Roman" w:hAnsi="Times New Roman" w:eastAsia="宋体" w:cs="Times New Roman"/>
                <w:color w:val="auto"/>
                <w:kern w:val="0"/>
                <w:sz w:val="24"/>
                <w:szCs w:val="24"/>
                <w:highlight w:val="none"/>
                <w:lang w:val="en-US" w:eastAsia="zh-CN" w:bidi="ar"/>
              </w:rPr>
              <w:t>m</w:t>
            </w:r>
            <w:r>
              <w:rPr>
                <w:rFonts w:hint="eastAsia" w:ascii="Times New Roman" w:hAnsi="Times New Roman" w:eastAsia="宋体" w:cs="Times New Roman"/>
                <w:color w:val="auto"/>
                <w:kern w:val="0"/>
                <w:sz w:val="24"/>
                <w:szCs w:val="24"/>
                <w:highlight w:val="none"/>
                <w:vertAlign w:val="superscript"/>
                <w:lang w:val="en-US" w:eastAsia="zh-CN" w:bidi="ar"/>
              </w:rPr>
              <w:t>2</w:t>
            </w:r>
            <w:r>
              <w:rPr>
                <w:rFonts w:hint="eastAsia" w:ascii="宋体" w:hAnsi="宋体" w:eastAsia="宋体" w:cs="宋体"/>
                <w:color w:val="auto"/>
                <w:kern w:val="0"/>
                <w:sz w:val="24"/>
                <w:szCs w:val="24"/>
                <w:highlight w:val="none"/>
                <w:lang w:val="en-US" w:eastAsia="zh-CN" w:bidi="ar"/>
              </w:rPr>
              <w:t>（主要为作业区和运输路线占地面积），厂区雨水设计参照罗源县地区暴雨强度进行。暴雨强度计算式为：</w:t>
            </w:r>
          </w:p>
          <w:p w14:paraId="325D400E">
            <w:pPr>
              <w:keepNext w:val="0"/>
              <w:keepLines w:val="0"/>
              <w:widowControl/>
              <w:suppressLineNumbers w:val="0"/>
              <w:ind w:left="0" w:leftChars="0" w:firstLine="0" w:firstLineChars="0"/>
              <w:jc w:val="left"/>
              <w:rPr>
                <w:rFonts w:hint="eastAsia"/>
                <w:color w:val="auto"/>
                <w:highlight w:val="none"/>
                <w:lang w:val="en-US" w:eastAsia="zh-CN"/>
              </w:rPr>
            </w:pPr>
            <m:oMathPara>
              <m:oMath>
                <m:r>
                  <m:rPr>
                    <m:sty m:val="p"/>
                  </m:rPr>
                  <w:rPr>
                    <w:rFonts w:hint="default" w:ascii="Cambria Math" w:hAnsi="Cambria Math"/>
                    <w:color w:val="auto"/>
                    <w:kern w:val="2"/>
                    <w:sz w:val="24"/>
                    <w:szCs w:val="24"/>
                    <w:highlight w:val="none"/>
                    <w:lang w:val="en-US" w:eastAsia="zh-CN" w:bidi="ar-SA"/>
                  </w:rPr>
                  <m:t>q</m:t>
                </m:r>
                <m:r>
                  <m:rPr>
                    <m:sty m:val="p"/>
                  </m:rPr>
                  <w:rPr>
                    <w:rFonts w:hint="default" w:ascii="Cambria Math" w:hAnsi="Cambria Math" w:cs="Cambria Math"/>
                    <w:color w:val="auto"/>
                    <w:kern w:val="2"/>
                    <w:sz w:val="24"/>
                    <w:szCs w:val="24"/>
                    <w:highlight w:val="none"/>
                    <w:lang w:val="en-US" w:eastAsia="zh-CN" w:bidi="ar-SA"/>
                  </w:rPr>
                  <m:t>=</m:t>
                </m:r>
                <m:f>
                  <m:fPr>
                    <m:ctrlPr>
                      <w:rPr>
                        <w:rFonts w:hint="default" w:ascii="Cambria Math" w:hAnsi="Cambria Math" w:cs="Cambria Math"/>
                        <w:color w:val="auto"/>
                        <w:kern w:val="2"/>
                        <w:sz w:val="24"/>
                        <w:szCs w:val="24"/>
                        <w:highlight w:val="none"/>
                        <w:lang w:val="en-US" w:eastAsia="zh-CN" w:bidi="ar-SA"/>
                      </w:rPr>
                    </m:ctrlPr>
                  </m:fPr>
                  <m:num>
                    <m:r>
                      <m:rPr>
                        <m:sty m:val="p"/>
                      </m:rPr>
                      <w:rPr>
                        <w:rFonts w:hint="default" w:ascii="Cambria Math" w:hAnsi="Cambria Math" w:cs="Cambria Math"/>
                        <w:color w:val="auto"/>
                        <w:kern w:val="2"/>
                        <w:sz w:val="24"/>
                        <w:szCs w:val="24"/>
                        <w:highlight w:val="none"/>
                        <w:lang w:val="en-US" w:eastAsia="zh-CN" w:bidi="ar-SA"/>
                      </w:rPr>
                      <m:t>2765.289</m:t>
                    </m:r>
                    <m:d>
                      <m:dPr>
                        <m:ctrlPr>
                          <w:rPr>
                            <w:rFonts w:hint="default" w:ascii="Cambria Math" w:hAnsi="Cambria Math" w:cs="Cambria Math"/>
                            <w:color w:val="auto"/>
                            <w:kern w:val="2"/>
                            <w:sz w:val="24"/>
                            <w:szCs w:val="24"/>
                            <w:highlight w:val="none"/>
                            <w:lang w:val="en-US" w:eastAsia="zh-CN" w:bidi="ar-SA"/>
                          </w:rPr>
                        </m:ctrlPr>
                      </m:dPr>
                      <m:e>
                        <m:r>
                          <m:rPr>
                            <m:sty m:val="p"/>
                          </m:rPr>
                          <w:rPr>
                            <w:rFonts w:hint="default" w:ascii="Cambria Math" w:hAnsi="Cambria Math" w:cs="Cambria Math"/>
                            <w:color w:val="auto"/>
                            <w:kern w:val="2"/>
                            <w:sz w:val="24"/>
                            <w:szCs w:val="24"/>
                            <w:highlight w:val="none"/>
                            <w:lang w:val="en-US" w:eastAsia="zh-CN" w:bidi="ar-SA"/>
                          </w:rPr>
                          <m:t>1+0.506l</m:t>
                        </m:r>
                        <m:r>
                          <m:rPr>
                            <m:sty m:val="p"/>
                          </m:rPr>
                          <w:rPr>
                            <w:rFonts w:hint="eastAsia" w:ascii="Cambria Math" w:hAnsi="Cambria Math" w:cs="Cambria Math"/>
                            <w:color w:val="auto"/>
                            <w:kern w:val="2"/>
                            <w:sz w:val="24"/>
                            <w:szCs w:val="24"/>
                            <w:highlight w:val="none"/>
                            <w:lang w:val="en-US" w:eastAsia="zh-CN" w:bidi="ar-SA"/>
                          </w:rPr>
                          <m:t>g</m:t>
                        </m:r>
                        <m:r>
                          <m:rPr>
                            <m:sty m:val="p"/>
                          </m:rPr>
                          <w:rPr>
                            <w:rFonts w:hint="default" w:ascii="Cambria Math" w:hAnsi="Cambria Math" w:cs="Cambria Math"/>
                            <w:color w:val="auto"/>
                            <w:kern w:val="2"/>
                            <w:sz w:val="24"/>
                            <w:szCs w:val="24"/>
                            <w:highlight w:val="none"/>
                            <w:lang w:val="en-US" w:eastAsia="zh-CN" w:bidi="ar-SA"/>
                          </w:rPr>
                          <m:t>T</m:t>
                        </m:r>
                        <m:r>
                          <m:rPr>
                            <m:sty m:val="p"/>
                          </m:rPr>
                          <w:rPr>
                            <w:rFonts w:hint="eastAsia" w:ascii="Cambria Math" w:hAnsi="Cambria Math" w:cs="Cambria Math"/>
                            <w:color w:val="auto"/>
                            <w:kern w:val="2"/>
                            <w:sz w:val="24"/>
                            <w:szCs w:val="24"/>
                            <w:highlight w:val="none"/>
                            <w:lang w:val="en-US" w:eastAsia="zh-CN" w:bidi="ar-SA"/>
                          </w:rPr>
                          <m:t>e</m:t>
                        </m:r>
                        <m:ctrlPr>
                          <w:rPr>
                            <w:rFonts w:hint="default" w:ascii="Cambria Math" w:hAnsi="Cambria Math" w:cs="Cambria Math"/>
                            <w:color w:val="auto"/>
                            <w:kern w:val="2"/>
                            <w:sz w:val="24"/>
                            <w:szCs w:val="24"/>
                            <w:highlight w:val="none"/>
                            <w:lang w:val="en-US" w:eastAsia="zh-CN" w:bidi="ar-SA"/>
                          </w:rPr>
                        </m:ctrlPr>
                      </m:e>
                    </m:d>
                    <m:ctrlPr>
                      <w:rPr>
                        <w:rFonts w:hint="default" w:ascii="Cambria Math" w:hAnsi="Cambria Math" w:cs="Cambria Math"/>
                        <w:color w:val="auto"/>
                        <w:kern w:val="2"/>
                        <w:sz w:val="24"/>
                        <w:szCs w:val="24"/>
                        <w:highlight w:val="none"/>
                        <w:lang w:val="en-US" w:eastAsia="zh-CN" w:bidi="ar-SA"/>
                      </w:rPr>
                    </m:ctrlPr>
                  </m:num>
                  <m:den>
                    <m:sSup>
                      <m:sSupPr>
                        <m:ctrlPr>
                          <w:rPr>
                            <w:rFonts w:hint="default" w:ascii="Cambria Math" w:hAnsi="Cambria Math" w:cs="Cambria Math"/>
                            <w:color w:val="auto"/>
                            <w:kern w:val="2"/>
                            <w:sz w:val="24"/>
                            <w:szCs w:val="24"/>
                            <w:highlight w:val="none"/>
                            <w:lang w:val="en-US" w:eastAsia="zh-CN" w:bidi="ar-SA"/>
                          </w:rPr>
                        </m:ctrlPr>
                      </m:sSupPr>
                      <m:e>
                        <m:d>
                          <m:dPr>
                            <m:ctrlPr>
                              <w:rPr>
                                <w:rFonts w:hint="default" w:ascii="Cambria Math" w:hAnsi="Cambria Math" w:cs="Cambria Math"/>
                                <w:color w:val="auto"/>
                                <w:kern w:val="2"/>
                                <w:sz w:val="24"/>
                                <w:szCs w:val="24"/>
                                <w:highlight w:val="none"/>
                                <w:lang w:val="en-US" w:eastAsia="zh-CN" w:bidi="ar-SA"/>
                              </w:rPr>
                            </m:ctrlPr>
                          </m:dPr>
                          <m:e>
                            <m:r>
                              <m:rPr>
                                <m:sty m:val="p"/>
                              </m:rPr>
                              <w:rPr>
                                <w:rFonts w:hint="default" w:ascii="Cambria Math" w:hAnsi="Cambria Math" w:cs="Cambria Math"/>
                                <w:color w:val="auto"/>
                                <w:kern w:val="2"/>
                                <w:sz w:val="24"/>
                                <w:szCs w:val="24"/>
                                <w:highlight w:val="none"/>
                                <w:lang w:val="en-US" w:eastAsia="zh-CN" w:bidi="ar-SA"/>
                              </w:rPr>
                              <m:t>t+10.713</m:t>
                            </m:r>
                            <m:ctrlPr>
                              <w:rPr>
                                <w:rFonts w:hint="default" w:ascii="Cambria Math" w:hAnsi="Cambria Math" w:cs="Cambria Math"/>
                                <w:color w:val="auto"/>
                                <w:kern w:val="2"/>
                                <w:sz w:val="24"/>
                                <w:szCs w:val="24"/>
                                <w:highlight w:val="none"/>
                                <w:lang w:val="en-US" w:eastAsia="zh-CN" w:bidi="ar-SA"/>
                              </w:rPr>
                            </m:ctrlPr>
                          </m:e>
                        </m:d>
                        <m:ctrlPr>
                          <w:rPr>
                            <w:rFonts w:hint="default" w:ascii="Cambria Math" w:hAnsi="Cambria Math" w:cs="Cambria Math"/>
                            <w:color w:val="auto"/>
                            <w:kern w:val="2"/>
                            <w:sz w:val="24"/>
                            <w:szCs w:val="24"/>
                            <w:highlight w:val="none"/>
                            <w:lang w:val="en-US" w:eastAsia="zh-CN" w:bidi="ar-SA"/>
                          </w:rPr>
                        </m:ctrlPr>
                      </m:e>
                      <m:sup>
                        <m:r>
                          <m:rPr>
                            <m:sty m:val="p"/>
                          </m:rPr>
                          <w:rPr>
                            <w:rFonts w:hint="default" w:ascii="Cambria Math" w:hAnsi="Cambria Math" w:cs="Cambria Math"/>
                            <w:color w:val="auto"/>
                            <w:kern w:val="2"/>
                            <w:sz w:val="24"/>
                            <w:szCs w:val="24"/>
                            <w:highlight w:val="none"/>
                            <w:lang w:val="en-US" w:eastAsia="zh-CN" w:bidi="ar-SA"/>
                          </w:rPr>
                          <m:t>0.767</m:t>
                        </m:r>
                        <m:ctrlPr>
                          <w:rPr>
                            <w:rFonts w:hint="default" w:ascii="Cambria Math" w:hAnsi="Cambria Math" w:cs="Cambria Math"/>
                            <w:color w:val="auto"/>
                            <w:kern w:val="2"/>
                            <w:sz w:val="24"/>
                            <w:szCs w:val="24"/>
                            <w:highlight w:val="none"/>
                            <w:lang w:val="en-US" w:eastAsia="zh-CN" w:bidi="ar-SA"/>
                          </w:rPr>
                        </m:ctrlPr>
                      </m:sup>
                    </m:sSup>
                    <m:ctrlPr>
                      <w:rPr>
                        <w:rFonts w:hint="default" w:ascii="Cambria Math" w:hAnsi="Cambria Math" w:cs="Cambria Math"/>
                        <w:color w:val="auto"/>
                        <w:kern w:val="2"/>
                        <w:sz w:val="24"/>
                        <w:szCs w:val="24"/>
                        <w:highlight w:val="none"/>
                        <w:lang w:val="en-US" w:eastAsia="zh-CN" w:bidi="ar-SA"/>
                      </w:rPr>
                    </m:ctrlPr>
                  </m:den>
                </m:f>
              </m:oMath>
            </m:oMathPara>
          </w:p>
          <w:p w14:paraId="053770F8">
            <w:pPr>
              <w:keepNext w:val="0"/>
              <w:keepLines w:val="0"/>
              <w:widowControl/>
              <w:suppressLineNumbers w:val="0"/>
              <w:jc w:val="left"/>
              <w:rPr>
                <w:color w:val="auto"/>
                <w:highlight w:val="none"/>
              </w:rPr>
            </w:pPr>
            <w:r>
              <w:rPr>
                <w:rFonts w:hint="eastAsia"/>
                <w:color w:val="auto"/>
                <w:highlight w:val="none"/>
                <w:lang w:val="en-US" w:eastAsia="zh-CN"/>
              </w:rPr>
              <w:t>其中：Te—重现期（年），取1；</w:t>
            </w:r>
            <w:r>
              <w:rPr>
                <w:rFonts w:hint="eastAsia" w:ascii="宋体" w:hAnsi="宋体" w:eastAsia="宋体" w:cs="宋体"/>
                <w:color w:val="auto"/>
                <w:kern w:val="0"/>
                <w:sz w:val="24"/>
                <w:szCs w:val="24"/>
                <w:highlight w:val="none"/>
                <w:lang w:val="en-US" w:eastAsia="zh-CN" w:bidi="ar"/>
              </w:rPr>
              <w:t xml:space="preserve"> </w:t>
            </w:r>
          </w:p>
          <w:p w14:paraId="4F513E01">
            <w:pPr>
              <w:bidi w:val="0"/>
              <w:ind w:firstLine="1200" w:firstLineChars="500"/>
              <w:rPr>
                <w:color w:val="auto"/>
                <w:highlight w:val="none"/>
              </w:rPr>
            </w:pPr>
            <w:r>
              <w:rPr>
                <w:rFonts w:hint="default"/>
                <w:color w:val="auto"/>
                <w:highlight w:val="none"/>
                <w:lang w:val="en-US" w:eastAsia="zh-CN"/>
              </w:rPr>
              <w:t>t</w:t>
            </w:r>
            <w:r>
              <w:rPr>
                <w:rFonts w:hint="eastAsia"/>
                <w:color w:val="auto"/>
                <w:highlight w:val="none"/>
                <w:lang w:val="en-US" w:eastAsia="zh-CN"/>
              </w:rPr>
              <w:t>—降雨历时（</w:t>
            </w:r>
            <w:r>
              <w:rPr>
                <w:rFonts w:hint="default"/>
                <w:color w:val="auto"/>
                <w:highlight w:val="none"/>
                <w:lang w:val="en-US" w:eastAsia="zh-CN"/>
              </w:rPr>
              <w:t>min</w:t>
            </w:r>
            <w:r>
              <w:rPr>
                <w:rFonts w:hint="eastAsia"/>
                <w:color w:val="auto"/>
                <w:highlight w:val="none"/>
                <w:lang w:val="en-US" w:eastAsia="zh-CN"/>
              </w:rPr>
              <w:t>），取</w:t>
            </w:r>
            <w:r>
              <w:rPr>
                <w:rFonts w:hint="default"/>
                <w:color w:val="auto"/>
                <w:highlight w:val="none"/>
                <w:lang w:val="en-US" w:eastAsia="zh-CN"/>
              </w:rPr>
              <w:t>15</w:t>
            </w:r>
            <w:r>
              <w:rPr>
                <w:rFonts w:hint="eastAsia" w:ascii="宋体" w:hAnsi="宋体" w:eastAsia="宋体" w:cs="宋体"/>
                <w:color w:val="auto"/>
                <w:kern w:val="0"/>
                <w:sz w:val="24"/>
                <w:szCs w:val="24"/>
                <w:highlight w:val="none"/>
                <w:lang w:val="en-US" w:eastAsia="zh-CN" w:bidi="ar"/>
              </w:rPr>
              <w:t xml:space="preserve">； </w:t>
            </w:r>
          </w:p>
          <w:p w14:paraId="13A3F64D">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设计暴雨强度</w:t>
            </w:r>
            <w:r>
              <w:rPr>
                <w:rFonts w:hint="default" w:ascii="Times New Roman" w:hAnsi="Times New Roman" w:eastAsia="宋体" w:cs="Times New Roman"/>
                <w:color w:val="auto"/>
                <w:kern w:val="0"/>
                <w:sz w:val="24"/>
                <w:szCs w:val="24"/>
                <w:highlight w:val="none"/>
                <w:lang w:val="en-US" w:eastAsia="zh-CN" w:bidi="ar"/>
              </w:rPr>
              <w:t>q</w:t>
            </w:r>
            <w:r>
              <w:rPr>
                <w:rFonts w:hint="eastAsia" w:ascii="宋体" w:hAnsi="宋体" w:eastAsia="宋体" w:cs="宋体"/>
                <w:color w:val="auto"/>
                <w:kern w:val="0"/>
                <w:sz w:val="24"/>
                <w:szCs w:val="24"/>
                <w:highlight w:val="none"/>
                <w:lang w:val="en-US" w:eastAsia="zh-CN" w:bidi="ar"/>
              </w:rPr>
              <w:t>为</w:t>
            </w:r>
            <w:r>
              <w:rPr>
                <w:rFonts w:hint="eastAsia" w:cs="Times New Roman"/>
                <w:color w:val="auto"/>
                <w:kern w:val="0"/>
                <w:sz w:val="24"/>
                <w:szCs w:val="24"/>
                <w:highlight w:val="none"/>
                <w:lang w:val="en-US" w:eastAsia="zh-CN" w:bidi="ar"/>
              </w:rPr>
              <w:t>229.2</w:t>
            </w:r>
            <w:r>
              <w:rPr>
                <w:rFonts w:hint="default" w:ascii="Times New Roman" w:hAnsi="Times New Roman" w:eastAsia="宋体" w:cs="Times New Roman"/>
                <w:color w:val="auto"/>
                <w:kern w:val="0"/>
                <w:sz w:val="24"/>
                <w:szCs w:val="24"/>
                <w:highlight w:val="none"/>
                <w:lang w:val="en-US" w:eastAsia="zh-CN" w:bidi="ar"/>
              </w:rPr>
              <w:t>L/s·h</w:t>
            </w:r>
            <w:r>
              <w:rPr>
                <w:rFonts w:hint="eastAsia" w:ascii="Times New Roman" w:hAnsi="Times New Roman" w:eastAsia="宋体" w:cs="Times New Roman"/>
                <w:color w:val="auto"/>
                <w:kern w:val="0"/>
                <w:sz w:val="24"/>
                <w:szCs w:val="24"/>
                <w:highlight w:val="none"/>
                <w:lang w:val="en-US" w:eastAsia="zh-CN" w:bidi="ar"/>
              </w:rPr>
              <w:t>m</w:t>
            </w:r>
            <w:r>
              <w:rPr>
                <w:rFonts w:hint="eastAsia" w:ascii="Times New Roman" w:hAnsi="Times New Roman" w:eastAsia="宋体" w:cs="Times New Roman"/>
                <w:color w:val="auto"/>
                <w:kern w:val="0"/>
                <w:sz w:val="24"/>
                <w:szCs w:val="24"/>
                <w:highlight w:val="none"/>
                <w:vertAlign w:val="superscript"/>
                <w:lang w:val="en-US" w:eastAsia="zh-CN" w:bidi="ar"/>
              </w:rPr>
              <w:t>2</w:t>
            </w:r>
            <w:r>
              <w:rPr>
                <w:rFonts w:hint="eastAsia" w:ascii="宋体" w:hAnsi="宋体" w:eastAsia="宋体" w:cs="宋体"/>
                <w:color w:val="auto"/>
                <w:kern w:val="0"/>
                <w:sz w:val="24"/>
                <w:szCs w:val="24"/>
                <w:highlight w:val="none"/>
                <w:lang w:val="en-US" w:eastAsia="zh-CN" w:bidi="ar"/>
              </w:rPr>
              <w:t>。根据《建筑给水排水设计规范》（</w:t>
            </w:r>
            <w:r>
              <w:rPr>
                <w:rFonts w:hint="default" w:ascii="Times New Roman" w:hAnsi="Times New Roman" w:eastAsia="宋体" w:cs="Times New Roman"/>
                <w:color w:val="auto"/>
                <w:kern w:val="0"/>
                <w:sz w:val="24"/>
                <w:szCs w:val="24"/>
                <w:highlight w:val="none"/>
                <w:lang w:val="en-US" w:eastAsia="zh-CN" w:bidi="ar"/>
              </w:rPr>
              <w:t>GB50015-2019</w:t>
            </w:r>
            <w:r>
              <w:rPr>
                <w:rFonts w:hint="eastAsia" w:ascii="宋体" w:hAnsi="宋体" w:eastAsia="宋体" w:cs="宋体"/>
                <w:color w:val="auto"/>
                <w:kern w:val="0"/>
                <w:sz w:val="24"/>
                <w:szCs w:val="24"/>
                <w:highlight w:val="none"/>
                <w:lang w:val="en-US" w:eastAsia="zh-CN" w:bidi="ar"/>
              </w:rPr>
              <w:t>）中</w:t>
            </w:r>
            <w:r>
              <w:rPr>
                <w:rFonts w:hint="default" w:ascii="Times New Roman" w:hAnsi="Times New Roman" w:eastAsia="宋体" w:cs="Times New Roman"/>
                <w:color w:val="auto"/>
                <w:kern w:val="0"/>
                <w:sz w:val="24"/>
                <w:szCs w:val="24"/>
                <w:highlight w:val="none"/>
                <w:lang w:val="en-US" w:eastAsia="zh-CN" w:bidi="ar"/>
              </w:rPr>
              <w:t>5.2.</w:t>
            </w:r>
            <w:r>
              <w:rPr>
                <w:rFonts w:hint="eastAsia" w:cs="Times New Roman"/>
                <w:color w:val="auto"/>
                <w:kern w:val="0"/>
                <w:sz w:val="24"/>
                <w:szCs w:val="24"/>
                <w:highlight w:val="none"/>
                <w:lang w:val="en-US" w:eastAsia="zh-CN" w:bidi="ar"/>
              </w:rPr>
              <w:t>1</w:t>
            </w:r>
            <w:r>
              <w:rPr>
                <w:rFonts w:hint="eastAsia" w:ascii="宋体" w:hAnsi="宋体" w:eastAsia="宋体" w:cs="宋体"/>
                <w:color w:val="auto"/>
                <w:kern w:val="0"/>
                <w:sz w:val="24"/>
                <w:szCs w:val="24"/>
                <w:highlight w:val="none"/>
                <w:lang w:val="en-US" w:eastAsia="zh-CN" w:bidi="ar"/>
              </w:rPr>
              <w:t>规定，单次初期雨水量按暴雨量计算：</w:t>
            </w:r>
          </w:p>
          <w:p w14:paraId="4E6C4845">
            <w:pPr>
              <w:keepNext w:val="0"/>
              <w:keepLines w:val="0"/>
              <w:widowControl/>
              <w:suppressLineNumbers w:val="0"/>
              <w:ind w:left="0" w:leftChars="0" w:firstLine="0" w:firstLineChars="0"/>
              <w:jc w:val="left"/>
              <w:rPr>
                <w:rFonts w:hint="default" w:ascii="宋体" w:hAnsi="宋体" w:eastAsia="宋体" w:cs="宋体"/>
                <w:color w:val="auto"/>
                <w:kern w:val="0"/>
                <w:sz w:val="24"/>
                <w:szCs w:val="24"/>
                <w:highlight w:val="none"/>
                <w:lang w:val="en-US" w:eastAsia="zh-CN" w:bidi="ar"/>
              </w:rPr>
            </w:pPr>
            <m:oMathPara>
              <m:oMath>
                <m:r>
                  <m:rPr>
                    <m:sty m:val="p"/>
                  </m:rPr>
                  <w:rPr>
                    <w:rFonts w:hint="default" w:ascii="Cambria Math" w:hAnsi="Cambria Math" w:eastAsia="宋体" w:cs="宋体"/>
                    <w:color w:val="auto"/>
                    <w:kern w:val="0"/>
                    <w:sz w:val="24"/>
                    <w:szCs w:val="24"/>
                    <w:highlight w:val="none"/>
                    <w:lang w:val="en-US" w:eastAsia="zh-CN" w:bidi="ar"/>
                  </w:rPr>
                  <m:t>Q</m:t>
                </m:r>
                <m:r>
                  <m:rPr>
                    <m:sty m:val="p"/>
                  </m:rPr>
                  <w:rPr>
                    <w:rFonts w:hint="default" w:ascii="Cambria Math" w:hAnsi="Cambria Math" w:eastAsia="宋体" w:cs="Cambria Math"/>
                    <w:color w:val="auto"/>
                    <w:kern w:val="0"/>
                    <w:sz w:val="24"/>
                    <w:szCs w:val="24"/>
                    <w:highlight w:val="none"/>
                    <w:lang w:val="en-US" w:eastAsia="zh-CN" w:bidi="ar"/>
                  </w:rPr>
                  <m:t>=</m:t>
                </m:r>
                <m:f>
                  <m:fPr>
                    <m:ctrlPr>
                      <w:rPr>
                        <w:rFonts w:hint="default" w:ascii="Cambria Math" w:hAnsi="Cambria Math" w:eastAsia="宋体" w:cs="Cambria Math"/>
                        <w:b w:val="0"/>
                        <w:i w:val="0"/>
                        <w:color w:val="auto"/>
                        <w:kern w:val="0"/>
                        <w:sz w:val="24"/>
                        <w:szCs w:val="24"/>
                        <w:highlight w:val="none"/>
                        <w:lang w:val="en-US" w:eastAsia="zh-CN" w:bidi="ar"/>
                      </w:rPr>
                    </m:ctrlPr>
                  </m:fPr>
                  <m:num>
                    <m:r>
                      <m:rPr>
                        <m:sty m:val="p"/>
                      </m:rPr>
                      <w:rPr>
                        <w:rFonts w:hint="eastAsia" w:ascii="Cambria Math" w:hAnsi="Cambria Math" w:cs="Cambria Math"/>
                        <w:color w:val="auto"/>
                        <w:kern w:val="0"/>
                        <w:sz w:val="24"/>
                        <w:szCs w:val="24"/>
                        <w:highlight w:val="none"/>
                        <w:lang w:val="en-US" w:eastAsia="zh-CN" w:bidi="ar"/>
                      </w:rPr>
                      <m:t>q</m:t>
                    </m:r>
                    <m:r>
                      <m:rPr>
                        <m:sty m:val="p"/>
                      </m:rPr>
                      <w:rPr>
                        <w:rFonts w:hint="default" w:ascii="Cambria Math" w:hAnsi="Cambria Math" w:eastAsia="宋体" w:cs="Cambria Math"/>
                        <w:color w:val="auto"/>
                        <w:kern w:val="0"/>
                        <w:sz w:val="24"/>
                        <w:szCs w:val="24"/>
                        <w:highlight w:val="none"/>
                        <w:lang w:val="en-US" w:eastAsia="zh-CN" w:bidi="ar"/>
                      </w:rPr>
                      <m:t>×</m:t>
                    </m:r>
                    <m:r>
                      <m:rPr>
                        <m:sty m:val="p"/>
                      </m:rPr>
                      <w:rPr>
                        <w:rFonts w:hint="default" w:ascii="Times New Roman" w:hAnsi="Times New Roman" w:eastAsia="宋体" w:cs="Times New Roman"/>
                        <w:color w:val="auto"/>
                        <w:kern w:val="0"/>
                        <w:sz w:val="24"/>
                        <w:szCs w:val="24"/>
                        <w:highlight w:val="none"/>
                        <w:lang w:val="en-US" w:eastAsia="zh-CN" w:bidi="ar"/>
                      </w:rPr>
                      <m:t>ψ</m:t>
                    </m:r>
                    <m:r>
                      <m:rPr>
                        <m:sty m:val="p"/>
                      </m:rPr>
                      <w:rPr>
                        <w:rFonts w:hint="default" w:ascii="Cambria Math" w:hAnsi="Cambria Math" w:eastAsia="宋体" w:cs="Cambria Math"/>
                        <w:color w:val="auto"/>
                        <w:kern w:val="0"/>
                        <w:sz w:val="24"/>
                        <w:szCs w:val="24"/>
                        <w:highlight w:val="none"/>
                        <w:lang w:val="en-US" w:eastAsia="zh-CN" w:bidi="ar"/>
                      </w:rPr>
                      <m:t>×F</m:t>
                    </m:r>
                    <m:ctrlPr>
                      <w:rPr>
                        <w:rFonts w:hint="default" w:ascii="Cambria Math" w:hAnsi="Cambria Math" w:eastAsia="宋体" w:cs="Cambria Math"/>
                        <w:b w:val="0"/>
                        <w:i w:val="0"/>
                        <w:color w:val="auto"/>
                        <w:kern w:val="0"/>
                        <w:sz w:val="24"/>
                        <w:szCs w:val="24"/>
                        <w:highlight w:val="none"/>
                        <w:lang w:val="en-US" w:eastAsia="zh-CN" w:bidi="ar"/>
                      </w:rPr>
                    </m:ctrlPr>
                  </m:num>
                  <m:den>
                    <m:r>
                      <m:rPr>
                        <m:sty m:val="p"/>
                      </m:rPr>
                      <w:rPr>
                        <w:rFonts w:hint="default" w:ascii="Cambria Math" w:hAnsi="Cambria Math" w:cs="Cambria Math"/>
                        <w:color w:val="auto"/>
                        <w:kern w:val="0"/>
                        <w:sz w:val="24"/>
                        <w:szCs w:val="24"/>
                        <w:highlight w:val="none"/>
                        <w:lang w:val="en-US" w:eastAsia="zh-CN" w:bidi="ar"/>
                      </w:rPr>
                      <m:t>10000</m:t>
                    </m:r>
                    <m:ctrlPr>
                      <w:rPr>
                        <w:rFonts w:hint="default" w:ascii="Cambria Math" w:hAnsi="Cambria Math" w:eastAsia="宋体" w:cs="Cambria Math"/>
                        <w:b w:val="0"/>
                        <w:i w:val="0"/>
                        <w:color w:val="auto"/>
                        <w:kern w:val="0"/>
                        <w:sz w:val="24"/>
                        <w:szCs w:val="24"/>
                        <w:highlight w:val="none"/>
                        <w:lang w:val="en-US" w:eastAsia="zh-CN" w:bidi="ar"/>
                      </w:rPr>
                    </m:ctrlPr>
                  </m:den>
                </m:f>
              </m:oMath>
            </m:oMathPara>
          </w:p>
          <w:p w14:paraId="78D94EB5">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其中：</w:t>
            </w:r>
            <w:r>
              <w:rPr>
                <w:rFonts w:hint="default" w:ascii="Times New Roman" w:hAnsi="Times New Roman" w:eastAsia="宋体" w:cs="Times New Roman"/>
                <w:color w:val="auto"/>
                <w:kern w:val="0"/>
                <w:sz w:val="24"/>
                <w:szCs w:val="24"/>
                <w:highlight w:val="none"/>
                <w:lang w:val="en-US" w:eastAsia="zh-CN" w:bidi="ar"/>
              </w:rPr>
              <w:t>Q─</w:t>
            </w:r>
            <w:r>
              <w:rPr>
                <w:rFonts w:hint="eastAsia" w:ascii="宋体" w:hAnsi="宋体" w:eastAsia="宋体" w:cs="宋体"/>
                <w:color w:val="auto"/>
                <w:kern w:val="0"/>
                <w:sz w:val="24"/>
                <w:szCs w:val="24"/>
                <w:highlight w:val="none"/>
                <w:lang w:val="en-US" w:eastAsia="zh-CN" w:bidi="ar"/>
              </w:rPr>
              <w:t>雨水设计流量</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L/s</w:t>
            </w:r>
            <w:r>
              <w:rPr>
                <w:rFonts w:hint="eastAsia"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 xml:space="preserve">； </w:t>
            </w:r>
          </w:p>
          <w:p w14:paraId="35324681">
            <w:pPr>
              <w:keepNext w:val="0"/>
              <w:keepLines w:val="0"/>
              <w:widowControl/>
              <w:suppressLineNumbers w:val="0"/>
              <w:ind w:firstLine="1200" w:firstLineChars="500"/>
              <w:jc w:val="left"/>
              <w:rPr>
                <w:color w:val="auto"/>
                <w:highlight w:val="none"/>
              </w:rPr>
            </w:pPr>
            <w:r>
              <w:rPr>
                <w:rFonts w:hint="default" w:ascii="Times New Roman" w:hAnsi="Times New Roman" w:eastAsia="宋体" w:cs="Times New Roman"/>
                <w:color w:val="auto"/>
                <w:kern w:val="0"/>
                <w:sz w:val="24"/>
                <w:szCs w:val="24"/>
                <w:highlight w:val="none"/>
                <w:lang w:val="en-US" w:eastAsia="zh-CN" w:bidi="ar"/>
              </w:rPr>
              <w:t>ψ─</w:t>
            </w:r>
            <w:r>
              <w:rPr>
                <w:rFonts w:hint="eastAsia" w:ascii="宋体" w:hAnsi="宋体" w:eastAsia="宋体" w:cs="宋体"/>
                <w:color w:val="auto"/>
                <w:kern w:val="0"/>
                <w:sz w:val="24"/>
                <w:szCs w:val="24"/>
                <w:highlight w:val="none"/>
                <w:lang w:val="en-US" w:eastAsia="zh-CN" w:bidi="ar"/>
              </w:rPr>
              <w:t>径流系数，取</w:t>
            </w:r>
            <w:r>
              <w:rPr>
                <w:rFonts w:hint="default" w:ascii="Times New Roman" w:hAnsi="Times New Roman" w:eastAsia="宋体" w:cs="Times New Roman"/>
                <w:color w:val="auto"/>
                <w:kern w:val="0"/>
                <w:sz w:val="24"/>
                <w:szCs w:val="24"/>
                <w:highlight w:val="none"/>
                <w:lang w:val="en-US" w:eastAsia="zh-CN" w:bidi="ar"/>
              </w:rPr>
              <w:t>ψ=0.7</w:t>
            </w:r>
            <w:r>
              <w:rPr>
                <w:rFonts w:hint="eastAsia" w:ascii="宋体" w:hAnsi="宋体" w:eastAsia="宋体" w:cs="宋体"/>
                <w:color w:val="auto"/>
                <w:kern w:val="0"/>
                <w:sz w:val="24"/>
                <w:szCs w:val="24"/>
                <w:highlight w:val="none"/>
                <w:lang w:val="en-US" w:eastAsia="zh-CN" w:bidi="ar"/>
              </w:rPr>
              <w:t xml:space="preserve">； </w:t>
            </w:r>
          </w:p>
          <w:p w14:paraId="61BF48F0">
            <w:pPr>
              <w:keepNext w:val="0"/>
              <w:keepLines w:val="0"/>
              <w:widowControl/>
              <w:suppressLineNumbers w:val="0"/>
              <w:ind w:firstLine="1200" w:firstLineChars="500"/>
              <w:jc w:val="left"/>
              <w:rPr>
                <w:color w:val="auto"/>
                <w:highlight w:val="none"/>
              </w:rPr>
            </w:pPr>
            <w:r>
              <w:rPr>
                <w:rFonts w:hint="default" w:ascii="Times New Roman" w:hAnsi="Times New Roman" w:eastAsia="宋体" w:cs="Times New Roman"/>
                <w:color w:val="auto"/>
                <w:kern w:val="0"/>
                <w:sz w:val="24"/>
                <w:szCs w:val="24"/>
                <w:highlight w:val="none"/>
                <w:lang w:val="en-US" w:eastAsia="zh-CN" w:bidi="ar"/>
              </w:rPr>
              <w:t>F─</w:t>
            </w:r>
            <w:r>
              <w:rPr>
                <w:rFonts w:hint="eastAsia" w:ascii="宋体" w:hAnsi="宋体" w:eastAsia="宋体" w:cs="宋体"/>
                <w:color w:val="auto"/>
                <w:kern w:val="0"/>
                <w:sz w:val="24"/>
                <w:szCs w:val="24"/>
                <w:highlight w:val="none"/>
                <w:lang w:val="en-US" w:eastAsia="zh-CN" w:bidi="ar"/>
              </w:rPr>
              <w:t>汇水面积（</w:t>
            </w:r>
            <w:r>
              <w:rPr>
                <w:rFonts w:hint="eastAsia" w:cs="Times New Roman"/>
                <w:color w:val="auto"/>
                <w:kern w:val="0"/>
                <w:sz w:val="24"/>
                <w:szCs w:val="24"/>
                <w:highlight w:val="none"/>
                <w:lang w:val="en-US" w:eastAsia="zh-CN" w:bidi="ar"/>
              </w:rPr>
              <w:t>m</w:t>
            </w:r>
            <w:r>
              <w:rPr>
                <w:rFonts w:hint="eastAsia" w:cs="Times New Roman"/>
                <w:color w:val="auto"/>
                <w:kern w:val="0"/>
                <w:sz w:val="24"/>
                <w:szCs w:val="24"/>
                <w:highlight w:val="none"/>
                <w:vertAlign w:val="superscript"/>
                <w:lang w:val="en-US" w:eastAsia="zh-CN" w:bidi="ar"/>
              </w:rPr>
              <w:t>2</w:t>
            </w:r>
            <w:r>
              <w:rPr>
                <w:rFonts w:hint="eastAsia" w:ascii="宋体" w:hAnsi="宋体" w:eastAsia="宋体" w:cs="宋体"/>
                <w:color w:val="auto"/>
                <w:kern w:val="0"/>
                <w:sz w:val="24"/>
                <w:szCs w:val="24"/>
                <w:highlight w:val="none"/>
                <w:lang w:val="en-US" w:eastAsia="zh-CN" w:bidi="ar"/>
              </w:rPr>
              <w:t>），本项目汇水面积约为</w:t>
            </w:r>
            <w:r>
              <w:rPr>
                <w:rFonts w:hint="eastAsia" w:ascii="Times New Roman" w:hAnsi="Times New Roman" w:eastAsia="宋体" w:cs="Times New Roman"/>
                <w:color w:val="auto"/>
                <w:kern w:val="0"/>
                <w:sz w:val="24"/>
                <w:szCs w:val="24"/>
                <w:highlight w:val="none"/>
                <w:lang w:val="en-US" w:eastAsia="zh-CN" w:bidi="ar"/>
              </w:rPr>
              <w:t>7143</w:t>
            </w:r>
            <w:r>
              <w:rPr>
                <w:rFonts w:hint="default" w:ascii="Times New Roman" w:hAnsi="Times New Roman" w:eastAsia="宋体" w:cs="Times New Roman"/>
                <w:color w:val="auto"/>
                <w:kern w:val="0"/>
                <w:sz w:val="24"/>
                <w:szCs w:val="24"/>
                <w:highlight w:val="none"/>
                <w:lang w:val="en-US" w:eastAsia="zh-CN" w:bidi="ar"/>
              </w:rPr>
              <w:t>m</w:t>
            </w:r>
            <w:r>
              <w:rPr>
                <w:rFonts w:hint="eastAsia" w:ascii="Times New Roman" w:hAnsi="Times New Roman" w:eastAsia="宋体" w:cs="Times New Roman"/>
                <w:color w:val="auto"/>
                <w:kern w:val="0"/>
                <w:sz w:val="24"/>
                <w:szCs w:val="24"/>
                <w:highlight w:val="none"/>
                <w:vertAlign w:val="superscript"/>
                <w:lang w:val="en-US" w:eastAsia="zh-CN" w:bidi="ar"/>
              </w:rPr>
              <w:t>2</w:t>
            </w:r>
            <w:r>
              <w:rPr>
                <w:rFonts w:hint="eastAsia" w:ascii="宋体" w:hAnsi="宋体" w:eastAsia="宋体" w:cs="宋体"/>
                <w:color w:val="auto"/>
                <w:kern w:val="0"/>
                <w:sz w:val="24"/>
                <w:szCs w:val="24"/>
                <w:highlight w:val="none"/>
                <w:lang w:val="en-US" w:eastAsia="zh-CN" w:bidi="ar"/>
              </w:rPr>
              <w:t xml:space="preserve">。 </w:t>
            </w:r>
          </w:p>
          <w:p w14:paraId="2A711DF6">
            <w:pPr>
              <w:keepNext w:val="0"/>
              <w:keepLines w:val="0"/>
              <w:widowControl/>
              <w:suppressLineNumbers w:val="0"/>
              <w:ind w:firstLine="1200" w:firstLineChars="500"/>
              <w:jc w:val="left"/>
              <w:rPr>
                <w:color w:val="auto"/>
                <w:highlight w:val="none"/>
              </w:rPr>
            </w:pPr>
            <w:r>
              <w:rPr>
                <w:rFonts w:hint="default" w:ascii="Times New Roman" w:hAnsi="Times New Roman" w:eastAsia="宋体" w:cs="Times New Roman"/>
                <w:color w:val="auto"/>
                <w:kern w:val="0"/>
                <w:sz w:val="24"/>
                <w:szCs w:val="24"/>
                <w:highlight w:val="none"/>
                <w:lang w:val="en-US" w:eastAsia="zh-CN" w:bidi="ar"/>
              </w:rPr>
              <w:t>q—</w:t>
            </w:r>
            <w:r>
              <w:rPr>
                <w:rFonts w:hint="eastAsia" w:ascii="宋体" w:hAnsi="宋体" w:eastAsia="宋体" w:cs="宋体"/>
                <w:color w:val="auto"/>
                <w:kern w:val="0"/>
                <w:sz w:val="24"/>
                <w:szCs w:val="24"/>
                <w:highlight w:val="none"/>
                <w:lang w:val="en-US" w:eastAsia="zh-CN" w:bidi="ar"/>
              </w:rPr>
              <w:t>暴雨量，</w:t>
            </w:r>
            <w:r>
              <w:rPr>
                <w:rFonts w:hint="default" w:ascii="Times New Roman" w:hAnsi="Times New Roman" w:eastAsia="宋体" w:cs="Times New Roman"/>
                <w:color w:val="auto"/>
                <w:kern w:val="0"/>
                <w:sz w:val="24"/>
                <w:szCs w:val="24"/>
                <w:highlight w:val="none"/>
                <w:lang w:val="en-US" w:eastAsia="zh-CN" w:bidi="ar"/>
              </w:rPr>
              <w:t>L/s·hm</w:t>
            </w:r>
            <w:r>
              <w:rPr>
                <w:rFonts w:hint="eastAsia" w:ascii="Times New Roman" w:hAnsi="Times New Roman" w:eastAsia="宋体" w:cs="Times New Roman"/>
                <w:color w:val="auto"/>
                <w:kern w:val="0"/>
                <w:sz w:val="24"/>
                <w:szCs w:val="24"/>
                <w:highlight w:val="none"/>
                <w:vertAlign w:val="superscript"/>
                <w:lang w:val="en-US" w:eastAsia="zh-CN" w:bidi="ar"/>
              </w:rPr>
              <w:t>2</w:t>
            </w:r>
          </w:p>
          <w:p w14:paraId="484B36A6">
            <w:pPr>
              <w:keepNext w:val="0"/>
              <w:keepLines w:val="0"/>
              <w:widowControl/>
              <w:suppressLineNumbers w:val="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经上述计算可得初期雨水量按降雨前</w:t>
            </w:r>
            <w:r>
              <w:rPr>
                <w:rFonts w:hint="default" w:ascii="Times New Roman" w:hAnsi="Times New Roman" w:eastAsia="宋体" w:cs="Times New Roman"/>
                <w:color w:val="auto"/>
                <w:kern w:val="0"/>
                <w:sz w:val="24"/>
                <w:szCs w:val="24"/>
                <w:highlight w:val="none"/>
                <w:lang w:val="en-US" w:eastAsia="zh-CN" w:bidi="ar"/>
              </w:rPr>
              <w:t>15min</w:t>
            </w:r>
            <w:r>
              <w:rPr>
                <w:rFonts w:hint="eastAsia" w:ascii="宋体" w:hAnsi="宋体" w:eastAsia="宋体" w:cs="宋体"/>
                <w:color w:val="auto"/>
                <w:kern w:val="0"/>
                <w:sz w:val="24"/>
                <w:szCs w:val="24"/>
                <w:highlight w:val="none"/>
                <w:lang w:val="en-US" w:eastAsia="zh-CN" w:bidi="ar"/>
              </w:rPr>
              <w:t>计，则最大一次初期雨水量约为</w:t>
            </w:r>
            <w:r>
              <w:rPr>
                <w:rFonts w:hint="eastAsia" w:ascii="Times New Roman" w:hAnsi="Times New Roman" w:eastAsia="宋体" w:cs="Times New Roman"/>
                <w:color w:val="auto"/>
                <w:kern w:val="0"/>
                <w:sz w:val="24"/>
                <w:szCs w:val="24"/>
                <w:highlight w:val="none"/>
                <w:lang w:val="en-US" w:eastAsia="zh-CN" w:bidi="ar"/>
              </w:rPr>
              <w:t>1</w:t>
            </w:r>
            <w:r>
              <w:rPr>
                <w:rFonts w:hint="eastAsia" w:cs="Times New Roman"/>
                <w:color w:val="auto"/>
                <w:kern w:val="0"/>
                <w:sz w:val="24"/>
                <w:szCs w:val="24"/>
                <w:highlight w:val="none"/>
                <w:lang w:val="en-US" w:eastAsia="zh-CN" w:bidi="ar"/>
              </w:rPr>
              <w:t>03</w:t>
            </w:r>
            <w:r>
              <w:rPr>
                <w:rFonts w:hint="default" w:ascii="Times New Roman" w:hAnsi="Times New Roman" w:eastAsia="宋体" w:cs="Times New Roman"/>
                <w:color w:val="auto"/>
                <w:kern w:val="0"/>
                <w:sz w:val="24"/>
                <w:szCs w:val="24"/>
                <w:highlight w:val="none"/>
                <w:lang w:val="en-US" w:eastAsia="zh-CN" w:bidi="ar"/>
              </w:rPr>
              <w:t>m</w:t>
            </w:r>
            <w:r>
              <w:rPr>
                <w:rFonts w:hint="eastAsia" w:ascii="Times New Roman" w:hAnsi="Times New Roman" w:eastAsia="宋体" w:cs="Times New Roman"/>
                <w:color w:val="auto"/>
                <w:kern w:val="0"/>
                <w:sz w:val="24"/>
                <w:szCs w:val="24"/>
                <w:highlight w:val="none"/>
                <w:vertAlign w:val="superscript"/>
                <w:lang w:val="en-US" w:eastAsia="zh-CN" w:bidi="ar"/>
              </w:rPr>
              <w:t>3</w:t>
            </w:r>
            <w:r>
              <w:rPr>
                <w:rFonts w:hint="eastAsia" w:ascii="宋体" w:hAnsi="宋体" w:eastAsia="宋体" w:cs="宋体"/>
                <w:color w:val="auto"/>
                <w:kern w:val="0"/>
                <w:sz w:val="24"/>
                <w:szCs w:val="24"/>
                <w:highlight w:val="none"/>
                <w:lang w:val="en-US" w:eastAsia="zh-CN" w:bidi="ar"/>
              </w:rPr>
              <w:t>，主要污染物为</w:t>
            </w:r>
            <w:r>
              <w:rPr>
                <w:rFonts w:hint="default" w:ascii="Times New Roman" w:hAnsi="Times New Roman" w:eastAsia="宋体" w:cs="Times New Roman"/>
                <w:color w:val="auto"/>
                <w:kern w:val="0"/>
                <w:sz w:val="24"/>
                <w:szCs w:val="24"/>
                <w:highlight w:val="none"/>
                <w:lang w:val="en-US" w:eastAsia="zh-CN" w:bidi="ar"/>
              </w:rPr>
              <w:t>SS</w:t>
            </w:r>
            <w:r>
              <w:rPr>
                <w:rFonts w:hint="eastAsia" w:ascii="宋体" w:hAnsi="宋体" w:eastAsia="宋体" w:cs="宋体"/>
                <w:color w:val="auto"/>
                <w:kern w:val="0"/>
                <w:sz w:val="24"/>
                <w:szCs w:val="24"/>
                <w:highlight w:val="none"/>
                <w:lang w:val="en-US" w:eastAsia="zh-CN" w:bidi="ar"/>
              </w:rPr>
              <w:t>，建设单位拟在项目厂区四周设置雨水管网，雨水管网与初期雨水池相连接。根据初期雨水量估算结果，建设单位拟在厂区平缓处修建初期雨水池（</w:t>
            </w:r>
            <w:r>
              <w:rPr>
                <w:rFonts w:hint="eastAsia" w:ascii="Times New Roman" w:hAnsi="Times New Roman" w:eastAsia="宋体" w:cs="Times New Roman"/>
                <w:color w:val="auto"/>
                <w:kern w:val="0"/>
                <w:sz w:val="24"/>
                <w:szCs w:val="24"/>
                <w:highlight w:val="none"/>
                <w:lang w:val="en-US" w:eastAsia="zh-CN" w:bidi="ar"/>
              </w:rPr>
              <w:t>1</w:t>
            </w:r>
            <w:r>
              <w:rPr>
                <w:rFonts w:hint="eastAsia" w:cs="Times New Roman"/>
                <w:color w:val="auto"/>
                <w:kern w:val="0"/>
                <w:sz w:val="24"/>
                <w:szCs w:val="24"/>
                <w:highlight w:val="none"/>
                <w:lang w:val="en-US" w:eastAsia="zh-CN" w:bidi="ar"/>
              </w:rPr>
              <w:t>05</w:t>
            </w:r>
            <w:r>
              <w:rPr>
                <w:rFonts w:hint="default" w:ascii="Times New Roman" w:hAnsi="Times New Roman" w:eastAsia="宋体" w:cs="Times New Roman"/>
                <w:color w:val="auto"/>
                <w:kern w:val="0"/>
                <w:sz w:val="24"/>
                <w:szCs w:val="24"/>
                <w:highlight w:val="none"/>
                <w:lang w:val="en-US" w:eastAsia="zh-CN" w:bidi="ar"/>
              </w:rPr>
              <w:t>m</w:t>
            </w:r>
            <w:r>
              <w:rPr>
                <w:rFonts w:hint="eastAsia" w:ascii="Times New Roman" w:hAnsi="Times New Roman" w:eastAsia="宋体" w:cs="Times New Roman"/>
                <w:color w:val="auto"/>
                <w:kern w:val="0"/>
                <w:sz w:val="24"/>
                <w:szCs w:val="24"/>
                <w:highlight w:val="none"/>
                <w:vertAlign w:val="superscript"/>
                <w:lang w:val="en-US" w:eastAsia="zh-CN" w:bidi="ar"/>
              </w:rPr>
              <w:t>3</w:t>
            </w:r>
            <w:r>
              <w:rPr>
                <w:rFonts w:hint="eastAsia" w:ascii="宋体" w:hAnsi="宋体" w:eastAsia="宋体" w:cs="宋体"/>
                <w:color w:val="auto"/>
                <w:kern w:val="0"/>
                <w:sz w:val="24"/>
                <w:szCs w:val="24"/>
                <w:highlight w:val="none"/>
                <w:lang w:val="en-US" w:eastAsia="zh-CN" w:bidi="ar"/>
              </w:rPr>
              <w:t>），确保沉淀处理效果后</w:t>
            </w:r>
            <w:r>
              <w:rPr>
                <w:rFonts w:hint="eastAsia" w:ascii="宋体" w:hAnsi="宋体" w:cs="宋体"/>
                <w:color w:val="auto"/>
                <w:kern w:val="0"/>
                <w:sz w:val="24"/>
                <w:szCs w:val="24"/>
                <w:highlight w:val="none"/>
                <w:lang w:val="en-US" w:eastAsia="zh-CN" w:bidi="ar"/>
              </w:rPr>
              <w:t>回用于厂区喷淋</w:t>
            </w:r>
            <w:r>
              <w:rPr>
                <w:rFonts w:hint="eastAsia" w:ascii="宋体" w:hAnsi="宋体" w:eastAsia="宋体" w:cs="宋体"/>
                <w:color w:val="auto"/>
                <w:kern w:val="0"/>
                <w:sz w:val="24"/>
                <w:szCs w:val="24"/>
                <w:highlight w:val="none"/>
                <w:lang w:val="en-US" w:eastAsia="zh-CN" w:bidi="ar"/>
              </w:rPr>
              <w:t>。</w:t>
            </w:r>
          </w:p>
          <w:p w14:paraId="7EBFB168">
            <w:pPr>
              <w:ind w:firstLine="480"/>
              <w:rPr>
                <w:color w:val="auto"/>
                <w:highlight w:val="none"/>
              </w:rPr>
            </w:pPr>
            <w:r>
              <w:rPr>
                <w:rFonts w:hint="eastAsia"/>
                <w:color w:val="auto"/>
                <w:highlight w:val="none"/>
              </w:rPr>
              <w:t>综上，本项目年工作</w:t>
            </w:r>
            <w:r>
              <w:rPr>
                <w:rFonts w:hint="eastAsia"/>
                <w:color w:val="auto"/>
                <w:highlight w:val="none"/>
                <w:lang w:val="en-US" w:eastAsia="zh-CN"/>
              </w:rPr>
              <w:t>240</w:t>
            </w:r>
            <w:r>
              <w:rPr>
                <w:rFonts w:hint="eastAsia"/>
                <w:color w:val="auto"/>
                <w:highlight w:val="none"/>
              </w:rPr>
              <w:t>天，日工作</w:t>
            </w:r>
            <w:r>
              <w:rPr>
                <w:rFonts w:hint="eastAsia"/>
                <w:color w:val="auto"/>
                <w:highlight w:val="none"/>
                <w:lang w:val="en-US" w:eastAsia="zh-CN"/>
              </w:rPr>
              <w:t>16</w:t>
            </w:r>
            <w:r>
              <w:rPr>
                <w:rFonts w:hint="eastAsia"/>
                <w:color w:val="auto"/>
                <w:highlight w:val="none"/>
              </w:rPr>
              <w:t>小时，因此</w:t>
            </w:r>
            <w:r>
              <w:rPr>
                <w:rFonts w:hint="eastAsia"/>
                <w:color w:val="auto"/>
                <w:highlight w:val="none"/>
                <w:lang w:val="en-US" w:eastAsia="zh-CN"/>
              </w:rPr>
              <w:t>本</w:t>
            </w:r>
            <w:r>
              <w:rPr>
                <w:rFonts w:hint="eastAsia"/>
                <w:color w:val="auto"/>
                <w:highlight w:val="none"/>
              </w:rPr>
              <w:t>项目</w:t>
            </w:r>
            <w:r>
              <w:rPr>
                <w:rFonts w:hint="eastAsia"/>
                <w:color w:val="auto"/>
                <w:highlight w:val="none"/>
                <w:lang w:val="en-US" w:eastAsia="zh-CN"/>
              </w:rPr>
              <w:t>生活</w:t>
            </w:r>
            <w:r>
              <w:rPr>
                <w:rFonts w:hint="eastAsia"/>
                <w:color w:val="auto"/>
                <w:highlight w:val="none"/>
              </w:rPr>
              <w:t>废水</w:t>
            </w:r>
            <w:r>
              <w:rPr>
                <w:rFonts w:hint="eastAsia"/>
                <w:color w:val="auto"/>
                <w:highlight w:val="none"/>
                <w:lang w:val="en-US" w:eastAsia="zh-CN"/>
              </w:rPr>
              <w:t>和食堂废水的总</w:t>
            </w:r>
            <w:r>
              <w:rPr>
                <w:rFonts w:hint="eastAsia"/>
                <w:color w:val="auto"/>
                <w:highlight w:val="none"/>
              </w:rPr>
              <w:t>排放量为</w:t>
            </w:r>
            <w:r>
              <w:rPr>
                <w:rFonts w:hint="eastAsia"/>
                <w:color w:val="auto"/>
                <w:highlight w:val="none"/>
                <w:lang w:val="en-US" w:eastAsia="zh-CN"/>
              </w:rPr>
              <w:t>2.08</w:t>
            </w:r>
            <w:r>
              <w:rPr>
                <w:rFonts w:hint="eastAsia"/>
                <w:color w:val="auto"/>
                <w:highlight w:val="none"/>
              </w:rPr>
              <w:t>m</w:t>
            </w:r>
            <w:r>
              <w:rPr>
                <w:rFonts w:hint="eastAsia"/>
                <w:color w:val="auto"/>
                <w:highlight w:val="none"/>
                <w:vertAlign w:val="superscript"/>
              </w:rPr>
              <w:t>3</w:t>
            </w:r>
            <w:r>
              <w:rPr>
                <w:rFonts w:hint="eastAsia"/>
                <w:color w:val="auto"/>
                <w:highlight w:val="none"/>
              </w:rPr>
              <w:t>/</w:t>
            </w:r>
            <w:r>
              <w:rPr>
                <w:rFonts w:hint="eastAsia"/>
                <w:color w:val="auto"/>
                <w:highlight w:val="none"/>
                <w:lang w:val="en-US" w:eastAsia="zh-CN"/>
              </w:rPr>
              <w:t>d（</w:t>
            </w:r>
            <w:r>
              <w:rPr>
                <w:rFonts w:hint="eastAsia" w:cs="Times New Roman"/>
                <w:color w:val="auto"/>
                <w:highlight w:val="none"/>
                <w:lang w:val="en-US" w:eastAsia="zh-CN"/>
              </w:rPr>
              <w:t>499.2</w:t>
            </w:r>
            <w:r>
              <w:rPr>
                <w:rFonts w:hint="eastAsia"/>
                <w:color w:val="auto"/>
                <w:highlight w:val="none"/>
                <w:lang w:val="en-US" w:eastAsia="zh-CN"/>
              </w:rPr>
              <w:t>m</w:t>
            </w:r>
            <w:r>
              <w:rPr>
                <w:rFonts w:hint="eastAsia"/>
                <w:color w:val="auto"/>
                <w:highlight w:val="none"/>
                <w:vertAlign w:val="superscript"/>
                <w:lang w:val="en-US" w:eastAsia="zh-CN"/>
              </w:rPr>
              <w:t>3</w:t>
            </w:r>
            <w:r>
              <w:rPr>
                <w:rFonts w:hint="eastAsia"/>
                <w:color w:val="auto"/>
                <w:highlight w:val="none"/>
                <w:lang w:val="en-US" w:eastAsia="zh-CN"/>
              </w:rPr>
              <w:t>/a）</w:t>
            </w:r>
            <w:r>
              <w:rPr>
                <w:rFonts w:hint="eastAsia" w:ascii="宋体" w:hAnsi="宋体" w:cs="宋体"/>
                <w:color w:val="auto"/>
                <w:kern w:val="0"/>
                <w:highlight w:val="none"/>
                <w:lang w:bidi="ar"/>
              </w:rPr>
              <w:t>，</w:t>
            </w:r>
            <w:r>
              <w:rPr>
                <w:rFonts w:hint="eastAsia"/>
                <w:color w:val="auto"/>
                <w:highlight w:val="none"/>
                <w:lang w:val="en-US" w:eastAsia="zh-CN"/>
              </w:rPr>
              <w:t>本项目</w:t>
            </w:r>
            <w:r>
              <w:rPr>
                <w:rFonts w:hint="eastAsia"/>
                <w:color w:val="auto"/>
                <w:highlight w:val="none"/>
              </w:rPr>
              <w:t>生活废水中</w:t>
            </w:r>
            <w:r>
              <w:rPr>
                <w:color w:val="auto"/>
                <w:highlight w:val="none"/>
              </w:rPr>
              <w:t>各主要污染物浓度根据</w:t>
            </w:r>
            <w:r>
              <w:rPr>
                <w:rFonts w:hint="eastAsia"/>
                <w:color w:val="auto"/>
                <w:highlight w:val="none"/>
              </w:rPr>
              <w:t>《</w:t>
            </w:r>
            <w:r>
              <w:rPr>
                <w:color w:val="auto"/>
                <w:highlight w:val="none"/>
              </w:rPr>
              <w:t>给水排水设计手册</w:t>
            </w:r>
            <w:r>
              <w:rPr>
                <w:rFonts w:hint="eastAsia"/>
                <w:color w:val="auto"/>
                <w:highlight w:val="none"/>
              </w:rPr>
              <w:t>（</w:t>
            </w:r>
            <w:r>
              <w:rPr>
                <w:color w:val="auto"/>
                <w:highlight w:val="none"/>
              </w:rPr>
              <w:t>第5册</w:t>
            </w:r>
            <w:r>
              <w:rPr>
                <w:rFonts w:hint="eastAsia"/>
                <w:color w:val="auto"/>
                <w:highlight w:val="none"/>
              </w:rPr>
              <w:t>）》</w:t>
            </w:r>
            <w:r>
              <w:rPr>
                <w:color w:val="auto"/>
                <w:highlight w:val="none"/>
              </w:rPr>
              <w:t>中4.2城镇污水水质</w:t>
            </w:r>
            <w:r>
              <w:rPr>
                <w:rFonts w:hint="eastAsia"/>
                <w:color w:val="auto"/>
                <w:highlight w:val="none"/>
              </w:rPr>
              <w:t>章节确</w:t>
            </w:r>
            <w:r>
              <w:rPr>
                <w:rFonts w:hint="eastAsia" w:ascii="Times New Roman" w:hAnsi="Times New Roman" w:eastAsia="宋体" w:cs="Times New Roman"/>
                <w:color w:val="auto"/>
                <w:highlight w:val="none"/>
              </w:rPr>
              <w:t>认</w:t>
            </w:r>
            <w:r>
              <w:rPr>
                <w:rFonts w:hint="eastAsia" w:ascii="Times New Roman" w:hAnsi="Times New Roman" w:eastAsia="宋体" w:cs="Times New Roman"/>
                <w:color w:val="auto"/>
                <w:highlight w:val="none"/>
                <w:lang w:eastAsia="zh-CN"/>
              </w:rPr>
              <w:t>，</w:t>
            </w:r>
            <w:r>
              <w:rPr>
                <w:rFonts w:hint="eastAsia"/>
                <w:color w:val="auto"/>
                <w:highlight w:val="none"/>
              </w:rPr>
              <w:t>食堂废水中</w:t>
            </w:r>
            <w:r>
              <w:rPr>
                <w:color w:val="auto"/>
                <w:highlight w:val="none"/>
              </w:rPr>
              <w:t>各主要污染物浓度</w:t>
            </w:r>
            <w:r>
              <w:rPr>
                <w:rFonts w:hint="eastAsia"/>
                <w:color w:val="auto"/>
                <w:highlight w:val="none"/>
              </w:rPr>
              <w:t>则根据《水工业工程设计手册-建筑和小区给排水》中12.2.2污水水量和水质各污</w:t>
            </w:r>
            <w:r>
              <w:rPr>
                <w:rFonts w:hint="eastAsia" w:ascii="Times New Roman" w:hAnsi="Times New Roman" w:eastAsia="宋体" w:cs="Times New Roman"/>
                <w:color w:val="auto"/>
                <w:highlight w:val="none"/>
              </w:rPr>
              <w:t>染产排浓度的范围值取值。</w:t>
            </w:r>
            <w:r>
              <w:rPr>
                <w:color w:val="auto"/>
                <w:highlight w:val="none"/>
              </w:rPr>
              <w:t>预测本项目</w:t>
            </w:r>
            <w:r>
              <w:rPr>
                <w:rFonts w:hint="eastAsia"/>
                <w:color w:val="auto"/>
                <w:highlight w:val="none"/>
              </w:rPr>
              <w:t>生活废水</w:t>
            </w:r>
            <w:r>
              <w:rPr>
                <w:rFonts w:hint="eastAsia"/>
                <w:color w:val="auto"/>
                <w:highlight w:val="none"/>
                <w:lang w:val="en-US" w:eastAsia="zh-CN"/>
              </w:rPr>
              <w:t>及食堂废水</w:t>
            </w:r>
            <w:r>
              <w:rPr>
                <w:color w:val="auto"/>
                <w:highlight w:val="none"/>
              </w:rPr>
              <w:t>中水质及排放源强见</w:t>
            </w:r>
            <w:r>
              <w:rPr>
                <w:rFonts w:hint="eastAsia"/>
                <w:color w:val="auto"/>
                <w:highlight w:val="none"/>
              </w:rPr>
              <w:t>4.2-</w:t>
            </w:r>
            <w:r>
              <w:rPr>
                <w:rFonts w:hint="eastAsia"/>
                <w:color w:val="auto"/>
                <w:highlight w:val="none"/>
                <w:lang w:val="en-US" w:eastAsia="zh-CN"/>
              </w:rPr>
              <w:t>19</w:t>
            </w:r>
            <w:r>
              <w:rPr>
                <w:color w:val="auto"/>
                <w:highlight w:val="none"/>
              </w:rPr>
              <w:t>。</w:t>
            </w:r>
          </w:p>
          <w:p w14:paraId="7131BB6D">
            <w:pPr>
              <w:widowControl/>
              <w:ind w:firstLine="0" w:firstLineChars="0"/>
              <w:jc w:val="center"/>
              <w:rPr>
                <w:b/>
                <w:color w:val="auto"/>
                <w:highlight w:val="none"/>
              </w:rPr>
            </w:pPr>
            <w:r>
              <w:rPr>
                <w:b/>
                <w:color w:val="auto"/>
                <w:highlight w:val="none"/>
              </w:rPr>
              <w:t>表</w:t>
            </w:r>
            <w:r>
              <w:rPr>
                <w:rFonts w:hint="eastAsia"/>
                <w:b/>
                <w:color w:val="auto"/>
                <w:highlight w:val="none"/>
              </w:rPr>
              <w:t>4.2-</w:t>
            </w:r>
            <w:r>
              <w:rPr>
                <w:rFonts w:hint="eastAsia"/>
                <w:b/>
                <w:color w:val="auto"/>
                <w:highlight w:val="none"/>
                <w:lang w:val="en-US" w:eastAsia="zh-CN"/>
              </w:rPr>
              <w:t>19</w:t>
            </w:r>
            <w:r>
              <w:rPr>
                <w:b/>
                <w:color w:val="auto"/>
                <w:highlight w:val="none"/>
              </w:rPr>
              <w:t xml:space="preserve"> </w:t>
            </w:r>
            <w:r>
              <w:rPr>
                <w:rFonts w:hint="eastAsia"/>
                <w:b/>
                <w:color w:val="auto"/>
                <w:highlight w:val="none"/>
              </w:rPr>
              <w:t xml:space="preserve"> </w:t>
            </w:r>
            <w:r>
              <w:rPr>
                <w:b/>
                <w:color w:val="auto"/>
                <w:highlight w:val="none"/>
              </w:rPr>
              <w:t>废水水质及各污染物排放源强情况表</w:t>
            </w:r>
          </w:p>
          <w:tbl>
            <w:tblPr>
              <w:tblStyle w:val="27"/>
              <w:tblW w:w="505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557"/>
              <w:gridCol w:w="1558"/>
              <w:gridCol w:w="1171"/>
              <w:gridCol w:w="1084"/>
              <w:gridCol w:w="1050"/>
              <w:gridCol w:w="1049"/>
              <w:gridCol w:w="1049"/>
            </w:tblGrid>
            <w:tr w14:paraId="0B2ADD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1828" w:type="pct"/>
                  <w:gridSpan w:val="2"/>
                  <w:noWrap w:val="0"/>
                  <w:vAlign w:val="center"/>
                </w:tcPr>
                <w:p w14:paraId="64D4B609">
                  <w:pPr>
                    <w:pStyle w:val="98"/>
                    <w:adjustRightInd/>
                    <w:snapToGrid/>
                    <w:rPr>
                      <w:rFonts w:hint="eastAsia"/>
                      <w:b/>
                      <w:bCs/>
                      <w:color w:val="auto"/>
                      <w:highlight w:val="none"/>
                    </w:rPr>
                  </w:pPr>
                  <w:r>
                    <w:rPr>
                      <w:rFonts w:hint="eastAsia"/>
                      <w:b/>
                      <w:bCs/>
                      <w:color w:val="auto"/>
                      <w:highlight w:val="none"/>
                    </w:rPr>
                    <w:t>项目</w:t>
                  </w:r>
                </w:p>
              </w:tc>
              <w:tc>
                <w:tcPr>
                  <w:tcW w:w="687" w:type="pct"/>
                  <w:noWrap w:val="0"/>
                  <w:vAlign w:val="center"/>
                </w:tcPr>
                <w:p w14:paraId="0F83AE9F">
                  <w:pPr>
                    <w:pStyle w:val="98"/>
                    <w:adjustRightInd/>
                    <w:snapToGrid/>
                    <w:rPr>
                      <w:rFonts w:hint="eastAsia"/>
                      <w:b/>
                      <w:bCs/>
                      <w:color w:val="auto"/>
                      <w:highlight w:val="none"/>
                    </w:rPr>
                  </w:pPr>
                  <w:r>
                    <w:rPr>
                      <w:rFonts w:hint="eastAsia"/>
                      <w:b/>
                      <w:bCs/>
                      <w:color w:val="auto"/>
                      <w:highlight w:val="none"/>
                    </w:rPr>
                    <w:t>COD</w:t>
                  </w:r>
                </w:p>
              </w:tc>
              <w:tc>
                <w:tcPr>
                  <w:tcW w:w="636" w:type="pct"/>
                  <w:noWrap w:val="0"/>
                  <w:vAlign w:val="center"/>
                </w:tcPr>
                <w:p w14:paraId="4E345A7E">
                  <w:pPr>
                    <w:pStyle w:val="98"/>
                    <w:adjustRightInd/>
                    <w:snapToGrid/>
                    <w:rPr>
                      <w:rFonts w:hint="eastAsia"/>
                      <w:b/>
                      <w:bCs/>
                      <w:color w:val="auto"/>
                      <w:highlight w:val="none"/>
                    </w:rPr>
                  </w:pPr>
                  <w:r>
                    <w:rPr>
                      <w:rFonts w:hint="eastAsia"/>
                      <w:b/>
                      <w:bCs/>
                      <w:color w:val="auto"/>
                      <w:highlight w:val="none"/>
                    </w:rPr>
                    <w:t>BOD</w:t>
                  </w:r>
                  <w:r>
                    <w:rPr>
                      <w:rFonts w:hint="eastAsia"/>
                      <w:b/>
                      <w:bCs/>
                      <w:color w:val="auto"/>
                      <w:highlight w:val="none"/>
                      <w:vertAlign w:val="subscript"/>
                    </w:rPr>
                    <w:t>5</w:t>
                  </w:r>
                </w:p>
              </w:tc>
              <w:tc>
                <w:tcPr>
                  <w:tcW w:w="616" w:type="pct"/>
                  <w:noWrap w:val="0"/>
                  <w:vAlign w:val="center"/>
                </w:tcPr>
                <w:p w14:paraId="3CBD6388">
                  <w:pPr>
                    <w:pStyle w:val="98"/>
                    <w:adjustRightInd/>
                    <w:snapToGrid/>
                    <w:rPr>
                      <w:rFonts w:hint="eastAsia"/>
                      <w:b/>
                      <w:bCs/>
                      <w:color w:val="auto"/>
                      <w:highlight w:val="none"/>
                    </w:rPr>
                  </w:pPr>
                  <w:r>
                    <w:rPr>
                      <w:rFonts w:hint="eastAsia"/>
                      <w:b/>
                      <w:bCs/>
                      <w:color w:val="auto"/>
                      <w:highlight w:val="none"/>
                    </w:rPr>
                    <w:t>SS</w:t>
                  </w:r>
                </w:p>
              </w:tc>
              <w:tc>
                <w:tcPr>
                  <w:tcW w:w="615" w:type="pct"/>
                  <w:noWrap w:val="0"/>
                  <w:vAlign w:val="center"/>
                </w:tcPr>
                <w:p w14:paraId="31EA22E5">
                  <w:pPr>
                    <w:pStyle w:val="98"/>
                    <w:adjustRightInd/>
                    <w:snapToGrid/>
                    <w:rPr>
                      <w:rFonts w:hint="eastAsia"/>
                      <w:b/>
                      <w:bCs/>
                      <w:color w:val="auto"/>
                      <w:highlight w:val="none"/>
                    </w:rPr>
                  </w:pPr>
                  <w:r>
                    <w:rPr>
                      <w:rFonts w:hint="eastAsia"/>
                      <w:b/>
                      <w:bCs/>
                      <w:color w:val="auto"/>
                      <w:highlight w:val="none"/>
                    </w:rPr>
                    <w:t>氨氮</w:t>
                  </w:r>
                </w:p>
              </w:tc>
              <w:tc>
                <w:tcPr>
                  <w:tcW w:w="615" w:type="pct"/>
                  <w:noWrap w:val="0"/>
                  <w:vAlign w:val="center"/>
                </w:tcPr>
                <w:p w14:paraId="4C75DADD">
                  <w:pPr>
                    <w:pStyle w:val="98"/>
                    <w:adjustRightInd/>
                    <w:snapToGrid/>
                    <w:rPr>
                      <w:rFonts w:hint="eastAsia" w:eastAsia="宋体"/>
                      <w:b/>
                      <w:bCs/>
                      <w:color w:val="auto"/>
                      <w:highlight w:val="none"/>
                      <w:lang w:val="en-US" w:eastAsia="zh-CN"/>
                    </w:rPr>
                  </w:pPr>
                  <w:r>
                    <w:rPr>
                      <w:rFonts w:hint="eastAsia"/>
                      <w:b/>
                      <w:bCs/>
                      <w:color w:val="auto"/>
                      <w:highlight w:val="none"/>
                      <w:lang w:val="en-US" w:eastAsia="zh-CN"/>
                    </w:rPr>
                    <w:t>动植物油</w:t>
                  </w:r>
                </w:p>
              </w:tc>
            </w:tr>
            <w:tr w14:paraId="2CE031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1" w:hRule="atLeast"/>
                <w:jc w:val="center"/>
              </w:trPr>
              <w:tc>
                <w:tcPr>
                  <w:tcW w:w="913" w:type="pct"/>
                  <w:vMerge w:val="restart"/>
                  <w:noWrap w:val="0"/>
                  <w:vAlign w:val="center"/>
                </w:tcPr>
                <w:p w14:paraId="7916EC0F">
                  <w:pPr>
                    <w:pStyle w:val="98"/>
                    <w:adjustRightInd/>
                    <w:snapToGrid/>
                    <w:rPr>
                      <w:rFonts w:hint="eastAsia"/>
                      <w:color w:val="auto"/>
                      <w:highlight w:val="none"/>
                      <w:lang w:val="en-US" w:eastAsia="zh-CN"/>
                    </w:rPr>
                  </w:pPr>
                  <w:r>
                    <w:rPr>
                      <w:rFonts w:hint="eastAsia"/>
                      <w:color w:val="auto"/>
                      <w:highlight w:val="none"/>
                      <w:lang w:val="en-US" w:eastAsia="zh-CN"/>
                    </w:rPr>
                    <w:t>食堂废水</w:t>
                  </w:r>
                </w:p>
                <w:p w14:paraId="4D0A620E">
                  <w:pPr>
                    <w:pStyle w:val="98"/>
                    <w:adjustRightInd/>
                    <w:snapToGrid/>
                    <w:rPr>
                      <w:rFonts w:hint="default"/>
                      <w:color w:val="auto"/>
                      <w:highlight w:val="none"/>
                      <w:lang w:val="en-US" w:eastAsia="zh-CN"/>
                    </w:rPr>
                  </w:pPr>
                  <w:r>
                    <w:rPr>
                      <w:rFonts w:hint="eastAsia"/>
                      <w:color w:val="auto"/>
                      <w:highlight w:val="none"/>
                      <w:lang w:val="en-US" w:eastAsia="zh-CN"/>
                    </w:rPr>
                    <w:t>38.4m</w:t>
                  </w:r>
                  <w:r>
                    <w:rPr>
                      <w:rFonts w:hint="eastAsia"/>
                      <w:color w:val="auto"/>
                      <w:highlight w:val="none"/>
                      <w:vertAlign w:val="superscript"/>
                      <w:lang w:val="en-US" w:eastAsia="zh-CN"/>
                    </w:rPr>
                    <w:t>3</w:t>
                  </w:r>
                  <w:r>
                    <w:rPr>
                      <w:rFonts w:hint="eastAsia"/>
                      <w:color w:val="auto"/>
                      <w:highlight w:val="none"/>
                      <w:lang w:val="en-US" w:eastAsia="zh-CN"/>
                    </w:rPr>
                    <w:t>/a</w:t>
                  </w:r>
                </w:p>
              </w:tc>
              <w:tc>
                <w:tcPr>
                  <w:tcW w:w="914" w:type="pct"/>
                  <w:noWrap w:val="0"/>
                  <w:vAlign w:val="center"/>
                </w:tcPr>
                <w:p w14:paraId="7E470F20">
                  <w:pPr>
                    <w:pStyle w:val="98"/>
                    <w:adjustRightInd/>
                    <w:snapToGrid/>
                    <w:ind w:firstLine="0" w:firstLineChars="0"/>
                    <w:rPr>
                      <w:rFonts w:hint="eastAsia"/>
                      <w:color w:val="auto"/>
                      <w:highlight w:val="none"/>
                    </w:rPr>
                  </w:pPr>
                  <w:r>
                    <w:rPr>
                      <w:rFonts w:hint="eastAsia"/>
                      <w:color w:val="auto"/>
                      <w:highlight w:val="none"/>
                    </w:rPr>
                    <w:t>产生浓度mg/L</w:t>
                  </w:r>
                </w:p>
              </w:tc>
              <w:tc>
                <w:tcPr>
                  <w:tcW w:w="687" w:type="pct"/>
                  <w:noWrap w:val="0"/>
                  <w:vAlign w:val="center"/>
                </w:tcPr>
                <w:p w14:paraId="3B86AC76">
                  <w:pPr>
                    <w:pStyle w:val="98"/>
                    <w:adjustRightInd/>
                    <w:snapToGrid/>
                    <w:ind w:firstLine="0" w:firstLineChars="0"/>
                    <w:rPr>
                      <w:rFonts w:hint="eastAsia"/>
                      <w:color w:val="auto"/>
                      <w:highlight w:val="none"/>
                    </w:rPr>
                  </w:pPr>
                  <w:r>
                    <w:rPr>
                      <w:rFonts w:hint="eastAsia"/>
                      <w:color w:val="auto"/>
                      <w:highlight w:val="none"/>
                      <w:lang w:val="en-US" w:eastAsia="zh-CN"/>
                    </w:rPr>
                    <w:t>500</w:t>
                  </w:r>
                </w:p>
              </w:tc>
              <w:tc>
                <w:tcPr>
                  <w:tcW w:w="636" w:type="pct"/>
                  <w:noWrap w:val="0"/>
                  <w:vAlign w:val="center"/>
                </w:tcPr>
                <w:p w14:paraId="4B06334A">
                  <w:pPr>
                    <w:pStyle w:val="98"/>
                    <w:adjustRightInd/>
                    <w:snapToGrid/>
                    <w:ind w:firstLine="0" w:firstLineChars="0"/>
                    <w:rPr>
                      <w:rFonts w:hint="eastAsia"/>
                      <w:color w:val="auto"/>
                      <w:highlight w:val="none"/>
                    </w:rPr>
                  </w:pPr>
                  <w:r>
                    <w:rPr>
                      <w:rFonts w:hint="eastAsia"/>
                      <w:color w:val="auto"/>
                      <w:highlight w:val="none"/>
                      <w:lang w:val="en-US" w:eastAsia="zh-CN"/>
                    </w:rPr>
                    <w:t>300</w:t>
                  </w:r>
                </w:p>
              </w:tc>
              <w:tc>
                <w:tcPr>
                  <w:tcW w:w="616" w:type="pct"/>
                  <w:noWrap w:val="0"/>
                  <w:vAlign w:val="center"/>
                </w:tcPr>
                <w:p w14:paraId="3F55C361">
                  <w:pPr>
                    <w:pStyle w:val="98"/>
                    <w:adjustRightInd/>
                    <w:snapToGrid/>
                    <w:ind w:firstLine="0" w:firstLineChars="0"/>
                    <w:rPr>
                      <w:rFonts w:hint="eastAsia"/>
                      <w:color w:val="auto"/>
                      <w:highlight w:val="none"/>
                    </w:rPr>
                  </w:pPr>
                  <w:r>
                    <w:rPr>
                      <w:rFonts w:hint="eastAsia"/>
                      <w:color w:val="auto"/>
                      <w:highlight w:val="none"/>
                      <w:lang w:val="en-US" w:eastAsia="zh-CN"/>
                    </w:rPr>
                    <w:t>250</w:t>
                  </w:r>
                </w:p>
              </w:tc>
              <w:tc>
                <w:tcPr>
                  <w:tcW w:w="615" w:type="pct"/>
                  <w:noWrap w:val="0"/>
                  <w:vAlign w:val="center"/>
                </w:tcPr>
                <w:p w14:paraId="79F06DA7">
                  <w:pPr>
                    <w:pStyle w:val="98"/>
                    <w:adjustRightInd/>
                    <w:snapToGrid/>
                    <w:ind w:firstLine="0" w:firstLineChars="0"/>
                    <w:rPr>
                      <w:rFonts w:hint="eastAsia"/>
                      <w:color w:val="auto"/>
                      <w:highlight w:val="none"/>
                    </w:rPr>
                  </w:pPr>
                  <w:r>
                    <w:rPr>
                      <w:rFonts w:hint="eastAsia"/>
                      <w:color w:val="auto"/>
                      <w:highlight w:val="none"/>
                      <w:lang w:val="en-US" w:eastAsia="zh-CN"/>
                    </w:rPr>
                    <w:t>30</w:t>
                  </w:r>
                </w:p>
              </w:tc>
              <w:tc>
                <w:tcPr>
                  <w:tcW w:w="615" w:type="pct"/>
                  <w:noWrap w:val="0"/>
                  <w:vAlign w:val="center"/>
                </w:tcPr>
                <w:p w14:paraId="360867A4">
                  <w:pPr>
                    <w:pStyle w:val="98"/>
                    <w:adjustRightInd/>
                    <w:snapToGrid/>
                    <w:rPr>
                      <w:rFonts w:hint="eastAsia"/>
                      <w:color w:val="auto"/>
                      <w:highlight w:val="none"/>
                    </w:rPr>
                  </w:pPr>
                  <w:r>
                    <w:rPr>
                      <w:rFonts w:hint="eastAsia"/>
                      <w:color w:val="auto"/>
                      <w:highlight w:val="none"/>
                      <w:lang w:val="en-US" w:eastAsia="zh-CN"/>
                    </w:rPr>
                    <w:t>100</w:t>
                  </w:r>
                </w:p>
              </w:tc>
            </w:tr>
            <w:tr w14:paraId="323C73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1" w:hRule="atLeast"/>
                <w:jc w:val="center"/>
              </w:trPr>
              <w:tc>
                <w:tcPr>
                  <w:tcW w:w="913" w:type="pct"/>
                  <w:vMerge w:val="continue"/>
                  <w:noWrap w:val="0"/>
                  <w:vAlign w:val="center"/>
                </w:tcPr>
                <w:p w14:paraId="6A389147">
                  <w:pPr>
                    <w:pStyle w:val="98"/>
                    <w:adjustRightInd/>
                    <w:snapToGrid/>
                    <w:rPr>
                      <w:rFonts w:hint="eastAsia"/>
                      <w:color w:val="auto"/>
                      <w:highlight w:val="none"/>
                    </w:rPr>
                  </w:pPr>
                </w:p>
              </w:tc>
              <w:tc>
                <w:tcPr>
                  <w:tcW w:w="914" w:type="pct"/>
                  <w:noWrap w:val="0"/>
                  <w:vAlign w:val="center"/>
                </w:tcPr>
                <w:p w14:paraId="759007DE">
                  <w:pPr>
                    <w:pStyle w:val="98"/>
                    <w:adjustRightInd/>
                    <w:snapToGrid/>
                    <w:ind w:firstLine="0" w:firstLineChars="0"/>
                    <w:rPr>
                      <w:rFonts w:hint="eastAsia"/>
                      <w:color w:val="auto"/>
                      <w:highlight w:val="none"/>
                    </w:rPr>
                  </w:pPr>
                  <w:r>
                    <w:rPr>
                      <w:rFonts w:hint="eastAsia"/>
                      <w:color w:val="auto"/>
                      <w:highlight w:val="none"/>
                    </w:rPr>
                    <w:t>产生量t/a</w:t>
                  </w:r>
                </w:p>
              </w:tc>
              <w:tc>
                <w:tcPr>
                  <w:tcW w:w="687" w:type="pct"/>
                  <w:noWrap w:val="0"/>
                  <w:vAlign w:val="center"/>
                </w:tcPr>
                <w:p w14:paraId="7487CE77">
                  <w:pPr>
                    <w:pStyle w:val="98"/>
                    <w:adjustRightInd/>
                    <w:snapToGrid/>
                    <w:rPr>
                      <w:rFonts w:hint="default" w:eastAsia="宋体"/>
                      <w:color w:val="auto"/>
                      <w:highlight w:val="none"/>
                      <w:lang w:val="en-US" w:eastAsia="zh-CN"/>
                    </w:rPr>
                  </w:pPr>
                  <w:r>
                    <w:rPr>
                      <w:rFonts w:hint="eastAsia"/>
                      <w:color w:val="auto"/>
                      <w:highlight w:val="none"/>
                      <w:lang w:val="en-US" w:eastAsia="zh-CN"/>
                    </w:rPr>
                    <w:t>0.0192</w:t>
                  </w:r>
                </w:p>
              </w:tc>
              <w:tc>
                <w:tcPr>
                  <w:tcW w:w="636" w:type="pct"/>
                  <w:noWrap w:val="0"/>
                  <w:vAlign w:val="center"/>
                </w:tcPr>
                <w:p w14:paraId="13E35AEA">
                  <w:pPr>
                    <w:pStyle w:val="98"/>
                    <w:adjustRightInd/>
                    <w:snapToGrid/>
                    <w:rPr>
                      <w:rFonts w:hint="default" w:eastAsia="宋体"/>
                      <w:color w:val="auto"/>
                      <w:highlight w:val="none"/>
                      <w:lang w:val="en-US" w:eastAsia="zh-CN"/>
                    </w:rPr>
                  </w:pPr>
                  <w:r>
                    <w:rPr>
                      <w:rFonts w:hint="eastAsia"/>
                      <w:color w:val="auto"/>
                      <w:highlight w:val="none"/>
                      <w:lang w:val="en-US" w:eastAsia="zh-CN"/>
                    </w:rPr>
                    <w:t>0.0115</w:t>
                  </w:r>
                </w:p>
              </w:tc>
              <w:tc>
                <w:tcPr>
                  <w:tcW w:w="616" w:type="pct"/>
                  <w:noWrap w:val="0"/>
                  <w:vAlign w:val="center"/>
                </w:tcPr>
                <w:p w14:paraId="6B867A7C">
                  <w:pPr>
                    <w:pStyle w:val="98"/>
                    <w:adjustRightInd/>
                    <w:snapToGrid/>
                    <w:rPr>
                      <w:rFonts w:hint="default" w:eastAsia="宋体"/>
                      <w:color w:val="auto"/>
                      <w:highlight w:val="none"/>
                      <w:lang w:val="en-US" w:eastAsia="zh-CN"/>
                    </w:rPr>
                  </w:pPr>
                  <w:r>
                    <w:rPr>
                      <w:rFonts w:hint="eastAsia"/>
                      <w:color w:val="auto"/>
                      <w:highlight w:val="none"/>
                      <w:lang w:val="en-US" w:eastAsia="zh-CN"/>
                    </w:rPr>
                    <w:t>0.0096</w:t>
                  </w:r>
                </w:p>
              </w:tc>
              <w:tc>
                <w:tcPr>
                  <w:tcW w:w="615" w:type="pct"/>
                  <w:noWrap w:val="0"/>
                  <w:vAlign w:val="center"/>
                </w:tcPr>
                <w:p w14:paraId="4F4EDBAD">
                  <w:pPr>
                    <w:pStyle w:val="98"/>
                    <w:adjustRightInd/>
                    <w:snapToGrid/>
                    <w:rPr>
                      <w:rFonts w:hint="default" w:eastAsia="宋体"/>
                      <w:color w:val="auto"/>
                      <w:highlight w:val="none"/>
                      <w:lang w:val="en-US" w:eastAsia="zh-CN"/>
                    </w:rPr>
                  </w:pPr>
                  <w:r>
                    <w:rPr>
                      <w:rFonts w:hint="eastAsia"/>
                      <w:color w:val="auto"/>
                      <w:highlight w:val="none"/>
                      <w:lang w:val="en-US" w:eastAsia="zh-CN"/>
                    </w:rPr>
                    <w:t>0.0012</w:t>
                  </w:r>
                </w:p>
              </w:tc>
              <w:tc>
                <w:tcPr>
                  <w:tcW w:w="615" w:type="pct"/>
                  <w:noWrap w:val="0"/>
                  <w:vAlign w:val="center"/>
                </w:tcPr>
                <w:p w14:paraId="786455B3">
                  <w:pPr>
                    <w:pStyle w:val="98"/>
                    <w:adjustRightInd/>
                    <w:snapToGrid/>
                    <w:rPr>
                      <w:rFonts w:hint="default" w:eastAsia="宋体"/>
                      <w:color w:val="auto"/>
                      <w:highlight w:val="none"/>
                      <w:lang w:val="en-US" w:eastAsia="zh-CN"/>
                    </w:rPr>
                  </w:pPr>
                  <w:r>
                    <w:rPr>
                      <w:rFonts w:hint="eastAsia"/>
                      <w:color w:val="auto"/>
                      <w:highlight w:val="none"/>
                      <w:lang w:val="en-US" w:eastAsia="zh-CN"/>
                    </w:rPr>
                    <w:t>0.0038</w:t>
                  </w:r>
                </w:p>
              </w:tc>
            </w:tr>
            <w:tr w14:paraId="352164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1" w:hRule="atLeast"/>
                <w:jc w:val="center"/>
              </w:trPr>
              <w:tc>
                <w:tcPr>
                  <w:tcW w:w="913" w:type="pct"/>
                  <w:vMerge w:val="continue"/>
                  <w:noWrap w:val="0"/>
                  <w:vAlign w:val="center"/>
                </w:tcPr>
                <w:p w14:paraId="6AB46565">
                  <w:pPr>
                    <w:pStyle w:val="98"/>
                    <w:adjustRightInd/>
                    <w:snapToGrid/>
                    <w:rPr>
                      <w:rFonts w:hint="eastAsia"/>
                      <w:color w:val="auto"/>
                      <w:highlight w:val="none"/>
                    </w:rPr>
                  </w:pPr>
                </w:p>
              </w:tc>
              <w:tc>
                <w:tcPr>
                  <w:tcW w:w="914" w:type="pct"/>
                  <w:noWrap w:val="0"/>
                  <w:vAlign w:val="center"/>
                </w:tcPr>
                <w:p w14:paraId="250613FF">
                  <w:pPr>
                    <w:pStyle w:val="98"/>
                    <w:adjustRightInd/>
                    <w:snapToGrid/>
                    <w:ind w:firstLine="0" w:firstLineChars="0"/>
                    <w:rPr>
                      <w:rFonts w:hint="eastAsia"/>
                      <w:color w:val="auto"/>
                      <w:highlight w:val="none"/>
                    </w:rPr>
                  </w:pPr>
                  <w:r>
                    <w:rPr>
                      <w:rFonts w:hint="eastAsia"/>
                      <w:color w:val="auto"/>
                      <w:highlight w:val="none"/>
                    </w:rPr>
                    <w:t>处理方式</w:t>
                  </w:r>
                </w:p>
              </w:tc>
              <w:tc>
                <w:tcPr>
                  <w:tcW w:w="3171" w:type="pct"/>
                  <w:gridSpan w:val="5"/>
                  <w:noWrap w:val="0"/>
                  <w:vAlign w:val="center"/>
                </w:tcPr>
                <w:p w14:paraId="4EB56E14">
                  <w:pPr>
                    <w:pStyle w:val="98"/>
                    <w:adjustRightInd/>
                    <w:snapToGrid/>
                    <w:rPr>
                      <w:rFonts w:hint="default" w:eastAsia="宋体"/>
                      <w:color w:val="auto"/>
                      <w:highlight w:val="none"/>
                      <w:lang w:val="en-US" w:eastAsia="zh-CN"/>
                    </w:rPr>
                  </w:pPr>
                  <w:r>
                    <w:rPr>
                      <w:rFonts w:hint="eastAsia"/>
                      <w:color w:val="auto"/>
                      <w:highlight w:val="none"/>
                      <w:lang w:val="en-US" w:eastAsia="zh-CN"/>
                    </w:rPr>
                    <w:t>隔油池+化粪池</w:t>
                  </w:r>
                </w:p>
              </w:tc>
            </w:tr>
            <w:tr w14:paraId="4077EF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1" w:hRule="atLeast"/>
                <w:jc w:val="center"/>
              </w:trPr>
              <w:tc>
                <w:tcPr>
                  <w:tcW w:w="913" w:type="pct"/>
                  <w:vMerge w:val="continue"/>
                  <w:noWrap w:val="0"/>
                  <w:vAlign w:val="center"/>
                </w:tcPr>
                <w:p w14:paraId="649BF297">
                  <w:pPr>
                    <w:pStyle w:val="98"/>
                    <w:adjustRightInd/>
                    <w:snapToGrid/>
                    <w:rPr>
                      <w:rFonts w:hint="eastAsia"/>
                      <w:color w:val="auto"/>
                      <w:highlight w:val="none"/>
                    </w:rPr>
                  </w:pPr>
                </w:p>
              </w:tc>
              <w:tc>
                <w:tcPr>
                  <w:tcW w:w="914" w:type="pct"/>
                  <w:noWrap w:val="0"/>
                  <w:vAlign w:val="center"/>
                </w:tcPr>
                <w:p w14:paraId="77A472F8">
                  <w:pPr>
                    <w:pStyle w:val="98"/>
                    <w:adjustRightInd/>
                    <w:snapToGrid/>
                    <w:ind w:firstLine="0" w:firstLineChars="0"/>
                    <w:rPr>
                      <w:rFonts w:hint="eastAsia"/>
                      <w:color w:val="auto"/>
                      <w:highlight w:val="none"/>
                    </w:rPr>
                  </w:pPr>
                  <w:r>
                    <w:rPr>
                      <w:rFonts w:hint="eastAsia"/>
                      <w:color w:val="auto"/>
                      <w:highlight w:val="none"/>
                    </w:rPr>
                    <w:t>去除率</w:t>
                  </w:r>
                  <w:r>
                    <w:rPr>
                      <w:color w:val="auto"/>
                      <w:highlight w:val="none"/>
                    </w:rPr>
                    <w:t>（</w:t>
                  </w:r>
                  <w:r>
                    <w:rPr>
                      <w:rFonts w:hint="eastAsia"/>
                      <w:color w:val="auto"/>
                      <w:highlight w:val="none"/>
                    </w:rPr>
                    <w:t>%</w:t>
                  </w:r>
                  <w:r>
                    <w:rPr>
                      <w:color w:val="auto"/>
                      <w:highlight w:val="none"/>
                    </w:rPr>
                    <w:t>）</w:t>
                  </w:r>
                </w:p>
              </w:tc>
              <w:tc>
                <w:tcPr>
                  <w:tcW w:w="687" w:type="pct"/>
                  <w:noWrap w:val="0"/>
                  <w:vAlign w:val="center"/>
                </w:tcPr>
                <w:p w14:paraId="7336A5E6">
                  <w:pPr>
                    <w:pStyle w:val="98"/>
                    <w:adjustRightInd/>
                    <w:snapToGrid/>
                    <w:ind w:firstLine="0" w:firstLineChars="0"/>
                    <w:rPr>
                      <w:rFonts w:hint="eastAsia"/>
                      <w:color w:val="auto"/>
                      <w:highlight w:val="none"/>
                    </w:rPr>
                  </w:pPr>
                  <w:r>
                    <w:rPr>
                      <w:color w:val="auto"/>
                      <w:highlight w:val="none"/>
                    </w:rPr>
                    <w:t>15</w:t>
                  </w:r>
                </w:p>
              </w:tc>
              <w:tc>
                <w:tcPr>
                  <w:tcW w:w="636" w:type="pct"/>
                  <w:noWrap w:val="0"/>
                  <w:vAlign w:val="center"/>
                </w:tcPr>
                <w:p w14:paraId="0D6F4479">
                  <w:pPr>
                    <w:pStyle w:val="98"/>
                    <w:adjustRightInd/>
                    <w:snapToGrid/>
                    <w:ind w:firstLine="0" w:firstLineChars="0"/>
                    <w:rPr>
                      <w:rFonts w:hint="eastAsia"/>
                      <w:color w:val="auto"/>
                      <w:highlight w:val="none"/>
                    </w:rPr>
                  </w:pPr>
                  <w:r>
                    <w:rPr>
                      <w:color w:val="auto"/>
                      <w:highlight w:val="none"/>
                    </w:rPr>
                    <w:t>9</w:t>
                  </w:r>
                </w:p>
              </w:tc>
              <w:tc>
                <w:tcPr>
                  <w:tcW w:w="616" w:type="pct"/>
                  <w:noWrap w:val="0"/>
                  <w:vAlign w:val="center"/>
                </w:tcPr>
                <w:p w14:paraId="5188ACBA">
                  <w:pPr>
                    <w:pStyle w:val="98"/>
                    <w:adjustRightInd/>
                    <w:snapToGrid/>
                    <w:ind w:firstLine="0" w:firstLineChars="0"/>
                    <w:rPr>
                      <w:rFonts w:hint="eastAsia"/>
                      <w:color w:val="auto"/>
                      <w:highlight w:val="none"/>
                    </w:rPr>
                  </w:pPr>
                  <w:r>
                    <w:rPr>
                      <w:color w:val="auto"/>
                      <w:highlight w:val="none"/>
                    </w:rPr>
                    <w:t>30</w:t>
                  </w:r>
                </w:p>
              </w:tc>
              <w:tc>
                <w:tcPr>
                  <w:tcW w:w="615" w:type="pct"/>
                  <w:noWrap w:val="0"/>
                  <w:vAlign w:val="center"/>
                </w:tcPr>
                <w:p w14:paraId="3086F465">
                  <w:pPr>
                    <w:pStyle w:val="98"/>
                    <w:adjustRightInd/>
                    <w:snapToGrid/>
                    <w:ind w:firstLine="0" w:firstLineChars="0"/>
                    <w:rPr>
                      <w:rFonts w:hint="eastAsia"/>
                      <w:color w:val="auto"/>
                      <w:highlight w:val="none"/>
                    </w:rPr>
                  </w:pPr>
                  <w:r>
                    <w:rPr>
                      <w:color w:val="auto"/>
                      <w:highlight w:val="none"/>
                    </w:rPr>
                    <w:t>3</w:t>
                  </w:r>
                </w:p>
              </w:tc>
              <w:tc>
                <w:tcPr>
                  <w:tcW w:w="615" w:type="pct"/>
                  <w:noWrap w:val="0"/>
                  <w:vAlign w:val="center"/>
                </w:tcPr>
                <w:p w14:paraId="11A34F94">
                  <w:pPr>
                    <w:pStyle w:val="98"/>
                    <w:adjustRightInd/>
                    <w:snapToGrid/>
                    <w:rPr>
                      <w:rFonts w:hint="default" w:eastAsia="宋体"/>
                      <w:color w:val="auto"/>
                      <w:highlight w:val="none"/>
                      <w:lang w:val="en-US" w:eastAsia="zh-CN"/>
                    </w:rPr>
                  </w:pPr>
                  <w:r>
                    <w:rPr>
                      <w:rFonts w:hint="eastAsia"/>
                      <w:color w:val="auto"/>
                      <w:highlight w:val="none"/>
                      <w:lang w:val="en-US" w:eastAsia="zh-CN"/>
                    </w:rPr>
                    <w:t>50</w:t>
                  </w:r>
                </w:p>
              </w:tc>
            </w:tr>
            <w:tr w14:paraId="3427D5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4" w:hRule="atLeast"/>
                <w:jc w:val="center"/>
              </w:trPr>
              <w:tc>
                <w:tcPr>
                  <w:tcW w:w="913" w:type="pct"/>
                  <w:vMerge w:val="continue"/>
                  <w:noWrap w:val="0"/>
                  <w:vAlign w:val="center"/>
                </w:tcPr>
                <w:p w14:paraId="34F242D5">
                  <w:pPr>
                    <w:pStyle w:val="98"/>
                    <w:adjustRightInd/>
                    <w:snapToGrid/>
                    <w:rPr>
                      <w:rFonts w:hint="eastAsia"/>
                      <w:color w:val="auto"/>
                      <w:highlight w:val="none"/>
                    </w:rPr>
                  </w:pPr>
                </w:p>
              </w:tc>
              <w:tc>
                <w:tcPr>
                  <w:tcW w:w="914" w:type="pct"/>
                  <w:noWrap w:val="0"/>
                  <w:vAlign w:val="center"/>
                </w:tcPr>
                <w:p w14:paraId="6BEA01CC">
                  <w:pPr>
                    <w:pStyle w:val="98"/>
                    <w:adjustRightInd/>
                    <w:snapToGrid/>
                    <w:ind w:firstLine="0" w:firstLineChars="0"/>
                    <w:rPr>
                      <w:rFonts w:hint="eastAsia"/>
                      <w:color w:val="auto"/>
                      <w:highlight w:val="none"/>
                    </w:rPr>
                  </w:pPr>
                  <w:r>
                    <w:rPr>
                      <w:rFonts w:hint="eastAsia"/>
                      <w:color w:val="auto"/>
                      <w:highlight w:val="none"/>
                    </w:rPr>
                    <w:t>排放量t/a</w:t>
                  </w:r>
                </w:p>
              </w:tc>
              <w:tc>
                <w:tcPr>
                  <w:tcW w:w="687" w:type="pct"/>
                  <w:noWrap w:val="0"/>
                  <w:vAlign w:val="center"/>
                </w:tcPr>
                <w:p w14:paraId="1BE1F3ED">
                  <w:pPr>
                    <w:pStyle w:val="98"/>
                    <w:adjustRightInd/>
                    <w:snapToGrid/>
                    <w:rPr>
                      <w:rFonts w:hint="default" w:eastAsia="宋体"/>
                      <w:color w:val="auto"/>
                      <w:highlight w:val="none"/>
                      <w:lang w:val="en-US" w:eastAsia="zh-CN"/>
                    </w:rPr>
                  </w:pPr>
                  <w:r>
                    <w:rPr>
                      <w:rFonts w:hint="eastAsia"/>
                      <w:color w:val="auto"/>
                      <w:highlight w:val="none"/>
                      <w:lang w:val="en-US" w:eastAsia="zh-CN"/>
                    </w:rPr>
                    <w:t>0.0163</w:t>
                  </w:r>
                </w:p>
              </w:tc>
              <w:tc>
                <w:tcPr>
                  <w:tcW w:w="636" w:type="pct"/>
                  <w:noWrap w:val="0"/>
                  <w:vAlign w:val="center"/>
                </w:tcPr>
                <w:p w14:paraId="3BFE5F36">
                  <w:pPr>
                    <w:pStyle w:val="98"/>
                    <w:adjustRightInd/>
                    <w:snapToGrid/>
                    <w:rPr>
                      <w:rFonts w:hint="default" w:eastAsia="宋体"/>
                      <w:color w:val="auto"/>
                      <w:highlight w:val="none"/>
                      <w:lang w:val="en-US" w:eastAsia="zh-CN"/>
                    </w:rPr>
                  </w:pPr>
                  <w:r>
                    <w:rPr>
                      <w:rFonts w:hint="eastAsia"/>
                      <w:color w:val="auto"/>
                      <w:highlight w:val="none"/>
                      <w:lang w:val="en-US" w:eastAsia="zh-CN"/>
                    </w:rPr>
                    <w:t>0.0105</w:t>
                  </w:r>
                </w:p>
              </w:tc>
              <w:tc>
                <w:tcPr>
                  <w:tcW w:w="616" w:type="pct"/>
                  <w:noWrap w:val="0"/>
                  <w:vAlign w:val="center"/>
                </w:tcPr>
                <w:p w14:paraId="4D30320C">
                  <w:pPr>
                    <w:pStyle w:val="98"/>
                    <w:adjustRightInd/>
                    <w:snapToGrid/>
                    <w:rPr>
                      <w:rFonts w:hint="default" w:eastAsia="宋体"/>
                      <w:color w:val="auto"/>
                      <w:highlight w:val="none"/>
                      <w:lang w:val="en-US" w:eastAsia="zh-CN"/>
                    </w:rPr>
                  </w:pPr>
                  <w:r>
                    <w:rPr>
                      <w:rFonts w:hint="eastAsia"/>
                      <w:color w:val="auto"/>
                      <w:highlight w:val="none"/>
                      <w:lang w:val="en-US" w:eastAsia="zh-CN"/>
                    </w:rPr>
                    <w:t>0.0067</w:t>
                  </w:r>
                </w:p>
              </w:tc>
              <w:tc>
                <w:tcPr>
                  <w:tcW w:w="615" w:type="pct"/>
                  <w:noWrap w:val="0"/>
                  <w:vAlign w:val="center"/>
                </w:tcPr>
                <w:p w14:paraId="272651A9">
                  <w:pPr>
                    <w:pStyle w:val="98"/>
                    <w:adjustRightInd/>
                    <w:snapToGrid/>
                    <w:rPr>
                      <w:rFonts w:hint="default" w:eastAsia="宋体"/>
                      <w:color w:val="auto"/>
                      <w:highlight w:val="none"/>
                      <w:lang w:val="en-US" w:eastAsia="zh-CN"/>
                    </w:rPr>
                  </w:pPr>
                  <w:r>
                    <w:rPr>
                      <w:rFonts w:hint="eastAsia"/>
                      <w:color w:val="auto"/>
                      <w:highlight w:val="none"/>
                      <w:lang w:val="en-US" w:eastAsia="zh-CN"/>
                    </w:rPr>
                    <w:t>0.00116</w:t>
                  </w:r>
                </w:p>
              </w:tc>
              <w:tc>
                <w:tcPr>
                  <w:tcW w:w="615" w:type="pct"/>
                  <w:noWrap w:val="0"/>
                  <w:vAlign w:val="center"/>
                </w:tcPr>
                <w:p w14:paraId="2AD1F39C">
                  <w:pPr>
                    <w:pStyle w:val="98"/>
                    <w:adjustRightInd/>
                    <w:snapToGrid/>
                    <w:rPr>
                      <w:rFonts w:hint="default" w:eastAsia="宋体"/>
                      <w:color w:val="auto"/>
                      <w:highlight w:val="none"/>
                      <w:lang w:val="en-US" w:eastAsia="zh-CN"/>
                    </w:rPr>
                  </w:pPr>
                  <w:r>
                    <w:rPr>
                      <w:rFonts w:hint="eastAsia"/>
                      <w:color w:val="auto"/>
                      <w:highlight w:val="none"/>
                      <w:lang w:val="en-US" w:eastAsia="zh-CN"/>
                    </w:rPr>
                    <w:t>0.0019</w:t>
                  </w:r>
                </w:p>
              </w:tc>
            </w:tr>
            <w:tr w14:paraId="4B046C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1" w:hRule="atLeast"/>
                <w:jc w:val="center"/>
              </w:trPr>
              <w:tc>
                <w:tcPr>
                  <w:tcW w:w="913" w:type="pct"/>
                  <w:vMerge w:val="restart"/>
                  <w:noWrap w:val="0"/>
                  <w:vAlign w:val="center"/>
                </w:tcPr>
                <w:p w14:paraId="5963BD15">
                  <w:pPr>
                    <w:pStyle w:val="98"/>
                    <w:adjustRightInd/>
                    <w:snapToGrid/>
                    <w:rPr>
                      <w:rFonts w:hint="eastAsia"/>
                      <w:color w:val="auto"/>
                      <w:highlight w:val="none"/>
                    </w:rPr>
                  </w:pPr>
                  <w:r>
                    <w:rPr>
                      <w:rFonts w:hint="eastAsia"/>
                      <w:color w:val="auto"/>
                      <w:highlight w:val="none"/>
                    </w:rPr>
                    <w:t>生活废水</w:t>
                  </w:r>
                </w:p>
                <w:p w14:paraId="17D39DF5">
                  <w:pPr>
                    <w:pStyle w:val="98"/>
                    <w:adjustRightInd/>
                    <w:snapToGrid/>
                    <w:rPr>
                      <w:rFonts w:hint="eastAsia"/>
                      <w:color w:val="auto"/>
                      <w:highlight w:val="none"/>
                    </w:rPr>
                  </w:pPr>
                  <w:r>
                    <w:rPr>
                      <w:rFonts w:hint="eastAsia"/>
                      <w:color w:val="auto"/>
                      <w:highlight w:val="none"/>
                      <w:lang w:val="en-US" w:eastAsia="zh-CN"/>
                    </w:rPr>
                    <w:t>384</w:t>
                  </w:r>
                  <w:r>
                    <w:rPr>
                      <w:rFonts w:hint="eastAsia"/>
                      <w:color w:val="auto"/>
                      <w:highlight w:val="none"/>
                    </w:rPr>
                    <w:t>m</w:t>
                  </w:r>
                  <w:r>
                    <w:rPr>
                      <w:rFonts w:hint="eastAsia"/>
                      <w:color w:val="auto"/>
                      <w:highlight w:val="none"/>
                      <w:vertAlign w:val="superscript"/>
                    </w:rPr>
                    <w:t>3</w:t>
                  </w:r>
                  <w:r>
                    <w:rPr>
                      <w:rFonts w:hint="eastAsia"/>
                      <w:color w:val="auto"/>
                      <w:highlight w:val="none"/>
                    </w:rPr>
                    <w:t>/a</w:t>
                  </w:r>
                </w:p>
              </w:tc>
              <w:tc>
                <w:tcPr>
                  <w:tcW w:w="914" w:type="pct"/>
                  <w:noWrap w:val="0"/>
                  <w:vAlign w:val="center"/>
                </w:tcPr>
                <w:p w14:paraId="4976345E">
                  <w:pPr>
                    <w:pStyle w:val="98"/>
                    <w:adjustRightInd/>
                    <w:snapToGrid/>
                    <w:rPr>
                      <w:rFonts w:hint="eastAsia"/>
                      <w:color w:val="auto"/>
                      <w:highlight w:val="none"/>
                    </w:rPr>
                  </w:pPr>
                  <w:r>
                    <w:rPr>
                      <w:rFonts w:hint="eastAsia"/>
                      <w:color w:val="auto"/>
                      <w:highlight w:val="none"/>
                    </w:rPr>
                    <w:t>产生浓度mg/L</w:t>
                  </w:r>
                </w:p>
              </w:tc>
              <w:tc>
                <w:tcPr>
                  <w:tcW w:w="687" w:type="pct"/>
                  <w:noWrap w:val="0"/>
                  <w:vAlign w:val="center"/>
                </w:tcPr>
                <w:p w14:paraId="46DA4252">
                  <w:pPr>
                    <w:pStyle w:val="98"/>
                    <w:adjustRightInd/>
                    <w:snapToGrid/>
                    <w:rPr>
                      <w:color w:val="auto"/>
                      <w:highlight w:val="none"/>
                    </w:rPr>
                  </w:pPr>
                  <w:r>
                    <w:rPr>
                      <w:rFonts w:hint="eastAsia"/>
                      <w:color w:val="auto"/>
                      <w:highlight w:val="none"/>
                    </w:rPr>
                    <w:t>400</w:t>
                  </w:r>
                </w:p>
              </w:tc>
              <w:tc>
                <w:tcPr>
                  <w:tcW w:w="636" w:type="pct"/>
                  <w:noWrap w:val="0"/>
                  <w:vAlign w:val="center"/>
                </w:tcPr>
                <w:p w14:paraId="63B3EABC">
                  <w:pPr>
                    <w:pStyle w:val="98"/>
                    <w:adjustRightInd/>
                    <w:snapToGrid/>
                    <w:rPr>
                      <w:color w:val="auto"/>
                      <w:highlight w:val="none"/>
                    </w:rPr>
                  </w:pPr>
                  <w:r>
                    <w:rPr>
                      <w:rFonts w:hint="eastAsia"/>
                      <w:color w:val="auto"/>
                      <w:highlight w:val="none"/>
                    </w:rPr>
                    <w:t>220</w:t>
                  </w:r>
                </w:p>
              </w:tc>
              <w:tc>
                <w:tcPr>
                  <w:tcW w:w="616" w:type="pct"/>
                  <w:noWrap w:val="0"/>
                  <w:vAlign w:val="center"/>
                </w:tcPr>
                <w:p w14:paraId="2E32D240">
                  <w:pPr>
                    <w:pStyle w:val="98"/>
                    <w:adjustRightInd/>
                    <w:snapToGrid/>
                    <w:rPr>
                      <w:rFonts w:hint="eastAsia"/>
                      <w:color w:val="auto"/>
                      <w:highlight w:val="none"/>
                    </w:rPr>
                  </w:pPr>
                  <w:r>
                    <w:rPr>
                      <w:rFonts w:hint="eastAsia"/>
                      <w:color w:val="auto"/>
                      <w:highlight w:val="none"/>
                    </w:rPr>
                    <w:t>200</w:t>
                  </w:r>
                </w:p>
              </w:tc>
              <w:tc>
                <w:tcPr>
                  <w:tcW w:w="615" w:type="pct"/>
                  <w:noWrap w:val="0"/>
                  <w:vAlign w:val="center"/>
                </w:tcPr>
                <w:p w14:paraId="62678521">
                  <w:pPr>
                    <w:pStyle w:val="98"/>
                    <w:adjustRightInd/>
                    <w:snapToGrid/>
                    <w:rPr>
                      <w:rFonts w:hint="eastAsia"/>
                      <w:color w:val="auto"/>
                      <w:highlight w:val="none"/>
                    </w:rPr>
                  </w:pPr>
                  <w:r>
                    <w:rPr>
                      <w:rFonts w:hint="eastAsia"/>
                      <w:color w:val="auto"/>
                      <w:highlight w:val="none"/>
                    </w:rPr>
                    <w:t>35</w:t>
                  </w:r>
                </w:p>
              </w:tc>
              <w:tc>
                <w:tcPr>
                  <w:tcW w:w="615" w:type="pct"/>
                  <w:noWrap w:val="0"/>
                  <w:vAlign w:val="center"/>
                </w:tcPr>
                <w:p w14:paraId="7C5CC260">
                  <w:pPr>
                    <w:pStyle w:val="98"/>
                    <w:adjustRightInd/>
                    <w:snapToGrid/>
                    <w:rPr>
                      <w:rFonts w:hint="eastAsia" w:eastAsia="宋体"/>
                      <w:color w:val="auto"/>
                      <w:highlight w:val="none"/>
                      <w:lang w:val="en-US" w:eastAsia="zh-CN"/>
                    </w:rPr>
                  </w:pPr>
                  <w:r>
                    <w:rPr>
                      <w:rFonts w:hint="eastAsia"/>
                      <w:color w:val="auto"/>
                      <w:highlight w:val="none"/>
                      <w:lang w:val="en-US" w:eastAsia="zh-CN"/>
                    </w:rPr>
                    <w:t>/</w:t>
                  </w:r>
                </w:p>
              </w:tc>
            </w:tr>
            <w:tr w14:paraId="072E7F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1" w:hRule="atLeast"/>
                <w:jc w:val="center"/>
              </w:trPr>
              <w:tc>
                <w:tcPr>
                  <w:tcW w:w="913" w:type="pct"/>
                  <w:vMerge w:val="continue"/>
                  <w:noWrap w:val="0"/>
                  <w:vAlign w:val="center"/>
                </w:tcPr>
                <w:p w14:paraId="2E37C0DA">
                  <w:pPr>
                    <w:pStyle w:val="98"/>
                    <w:adjustRightInd/>
                    <w:snapToGrid/>
                    <w:rPr>
                      <w:rFonts w:hint="eastAsia"/>
                      <w:color w:val="auto"/>
                      <w:highlight w:val="none"/>
                    </w:rPr>
                  </w:pPr>
                </w:p>
              </w:tc>
              <w:tc>
                <w:tcPr>
                  <w:tcW w:w="914" w:type="pct"/>
                  <w:noWrap w:val="0"/>
                  <w:vAlign w:val="center"/>
                </w:tcPr>
                <w:p w14:paraId="0A15335D">
                  <w:pPr>
                    <w:pStyle w:val="98"/>
                    <w:adjustRightInd/>
                    <w:snapToGrid/>
                    <w:rPr>
                      <w:rFonts w:hint="eastAsia"/>
                      <w:color w:val="auto"/>
                      <w:highlight w:val="none"/>
                    </w:rPr>
                  </w:pPr>
                  <w:r>
                    <w:rPr>
                      <w:rFonts w:hint="eastAsia"/>
                      <w:color w:val="auto"/>
                      <w:highlight w:val="none"/>
                    </w:rPr>
                    <w:t>产生量t/a</w:t>
                  </w:r>
                </w:p>
              </w:tc>
              <w:tc>
                <w:tcPr>
                  <w:tcW w:w="687" w:type="pct"/>
                  <w:noWrap w:val="0"/>
                  <w:vAlign w:val="center"/>
                </w:tcPr>
                <w:p w14:paraId="72AAEF73">
                  <w:pPr>
                    <w:pStyle w:val="98"/>
                    <w:adjustRightInd/>
                    <w:snapToGrid/>
                    <w:rPr>
                      <w:rFonts w:hint="default" w:eastAsia="宋体"/>
                      <w:color w:val="auto"/>
                      <w:highlight w:val="none"/>
                      <w:lang w:val="en-US" w:eastAsia="zh-CN"/>
                    </w:rPr>
                  </w:pPr>
                  <w:r>
                    <w:rPr>
                      <w:rFonts w:hint="eastAsia"/>
                      <w:color w:val="auto"/>
                      <w:highlight w:val="none"/>
                      <w:lang w:val="en-US" w:eastAsia="zh-CN"/>
                    </w:rPr>
                    <w:t>0.1536</w:t>
                  </w:r>
                </w:p>
              </w:tc>
              <w:tc>
                <w:tcPr>
                  <w:tcW w:w="636" w:type="pct"/>
                  <w:noWrap w:val="0"/>
                  <w:vAlign w:val="center"/>
                </w:tcPr>
                <w:p w14:paraId="6064A926">
                  <w:pPr>
                    <w:pStyle w:val="98"/>
                    <w:adjustRightInd/>
                    <w:snapToGrid/>
                    <w:rPr>
                      <w:rFonts w:hint="default" w:eastAsia="宋体"/>
                      <w:color w:val="auto"/>
                      <w:highlight w:val="none"/>
                      <w:lang w:val="en-US" w:eastAsia="zh-CN"/>
                    </w:rPr>
                  </w:pPr>
                  <w:r>
                    <w:rPr>
                      <w:rFonts w:hint="eastAsia"/>
                      <w:color w:val="auto"/>
                      <w:highlight w:val="none"/>
                      <w:lang w:val="en-US" w:eastAsia="zh-CN"/>
                    </w:rPr>
                    <w:t>0.0845</w:t>
                  </w:r>
                </w:p>
              </w:tc>
              <w:tc>
                <w:tcPr>
                  <w:tcW w:w="616" w:type="pct"/>
                  <w:noWrap w:val="0"/>
                  <w:vAlign w:val="center"/>
                </w:tcPr>
                <w:p w14:paraId="37130176">
                  <w:pPr>
                    <w:pStyle w:val="98"/>
                    <w:adjustRightInd/>
                    <w:snapToGrid/>
                    <w:rPr>
                      <w:rFonts w:hint="default" w:eastAsia="宋体"/>
                      <w:color w:val="auto"/>
                      <w:highlight w:val="none"/>
                      <w:lang w:val="en-US" w:eastAsia="zh-CN"/>
                    </w:rPr>
                  </w:pPr>
                  <w:r>
                    <w:rPr>
                      <w:rFonts w:hint="eastAsia"/>
                      <w:color w:val="auto"/>
                      <w:highlight w:val="none"/>
                      <w:lang w:val="en-US" w:eastAsia="zh-CN"/>
                    </w:rPr>
                    <w:t>0.0768</w:t>
                  </w:r>
                </w:p>
              </w:tc>
              <w:tc>
                <w:tcPr>
                  <w:tcW w:w="615" w:type="pct"/>
                  <w:noWrap w:val="0"/>
                  <w:vAlign w:val="center"/>
                </w:tcPr>
                <w:p w14:paraId="3AB6839E">
                  <w:pPr>
                    <w:pStyle w:val="98"/>
                    <w:adjustRightInd/>
                    <w:snapToGrid/>
                    <w:rPr>
                      <w:rFonts w:hint="default" w:eastAsia="宋体"/>
                      <w:color w:val="auto"/>
                      <w:highlight w:val="none"/>
                      <w:lang w:val="en-US" w:eastAsia="zh-CN"/>
                    </w:rPr>
                  </w:pPr>
                  <w:r>
                    <w:rPr>
                      <w:rFonts w:hint="eastAsia"/>
                      <w:color w:val="auto"/>
                      <w:highlight w:val="none"/>
                      <w:lang w:val="en-US" w:eastAsia="zh-CN"/>
                    </w:rPr>
                    <w:t>0.0134</w:t>
                  </w:r>
                </w:p>
              </w:tc>
              <w:tc>
                <w:tcPr>
                  <w:tcW w:w="615" w:type="pct"/>
                  <w:noWrap w:val="0"/>
                  <w:vAlign w:val="center"/>
                </w:tcPr>
                <w:p w14:paraId="1C3C173C">
                  <w:pPr>
                    <w:pStyle w:val="98"/>
                    <w:adjustRightInd/>
                    <w:snapToGrid/>
                    <w:rPr>
                      <w:rFonts w:hint="eastAsia" w:eastAsia="宋体"/>
                      <w:color w:val="auto"/>
                      <w:highlight w:val="none"/>
                      <w:lang w:val="en-US" w:eastAsia="zh-CN"/>
                    </w:rPr>
                  </w:pPr>
                  <w:r>
                    <w:rPr>
                      <w:rFonts w:hint="eastAsia"/>
                      <w:color w:val="auto"/>
                      <w:highlight w:val="none"/>
                      <w:lang w:val="en-US" w:eastAsia="zh-CN"/>
                    </w:rPr>
                    <w:t>/</w:t>
                  </w:r>
                </w:p>
              </w:tc>
            </w:tr>
            <w:tr w14:paraId="03C965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1" w:hRule="atLeast"/>
                <w:jc w:val="center"/>
              </w:trPr>
              <w:tc>
                <w:tcPr>
                  <w:tcW w:w="913" w:type="pct"/>
                  <w:vMerge w:val="continue"/>
                  <w:noWrap w:val="0"/>
                  <w:vAlign w:val="center"/>
                </w:tcPr>
                <w:p w14:paraId="6FED2E7A">
                  <w:pPr>
                    <w:pStyle w:val="98"/>
                    <w:adjustRightInd/>
                    <w:snapToGrid/>
                    <w:rPr>
                      <w:rFonts w:hint="eastAsia"/>
                      <w:color w:val="auto"/>
                      <w:highlight w:val="none"/>
                    </w:rPr>
                  </w:pPr>
                </w:p>
              </w:tc>
              <w:tc>
                <w:tcPr>
                  <w:tcW w:w="914" w:type="pct"/>
                  <w:noWrap w:val="0"/>
                  <w:vAlign w:val="center"/>
                </w:tcPr>
                <w:p w14:paraId="7BD7B2E5">
                  <w:pPr>
                    <w:pStyle w:val="98"/>
                    <w:adjustRightInd/>
                    <w:snapToGrid/>
                    <w:rPr>
                      <w:color w:val="auto"/>
                      <w:highlight w:val="none"/>
                    </w:rPr>
                  </w:pPr>
                  <w:r>
                    <w:rPr>
                      <w:rFonts w:hint="eastAsia"/>
                      <w:color w:val="auto"/>
                      <w:highlight w:val="none"/>
                    </w:rPr>
                    <w:t>处理方式</w:t>
                  </w:r>
                </w:p>
              </w:tc>
              <w:tc>
                <w:tcPr>
                  <w:tcW w:w="3171" w:type="pct"/>
                  <w:gridSpan w:val="5"/>
                  <w:noWrap w:val="0"/>
                  <w:vAlign w:val="center"/>
                </w:tcPr>
                <w:p w14:paraId="13230BC7">
                  <w:pPr>
                    <w:pStyle w:val="98"/>
                    <w:adjustRightInd/>
                    <w:snapToGrid/>
                    <w:rPr>
                      <w:rFonts w:hint="eastAsia"/>
                      <w:color w:val="auto"/>
                      <w:highlight w:val="none"/>
                    </w:rPr>
                  </w:pPr>
                  <w:r>
                    <w:rPr>
                      <w:rFonts w:hint="eastAsia"/>
                      <w:color w:val="auto"/>
                      <w:highlight w:val="none"/>
                    </w:rPr>
                    <w:t>化粪池</w:t>
                  </w:r>
                </w:p>
              </w:tc>
            </w:tr>
            <w:tr w14:paraId="4FBE0E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1" w:hRule="atLeast"/>
                <w:jc w:val="center"/>
              </w:trPr>
              <w:tc>
                <w:tcPr>
                  <w:tcW w:w="913" w:type="pct"/>
                  <w:vMerge w:val="continue"/>
                  <w:noWrap w:val="0"/>
                  <w:vAlign w:val="center"/>
                </w:tcPr>
                <w:p w14:paraId="185BAB3F">
                  <w:pPr>
                    <w:pStyle w:val="98"/>
                    <w:adjustRightInd/>
                    <w:snapToGrid/>
                    <w:rPr>
                      <w:rFonts w:hint="eastAsia"/>
                      <w:color w:val="auto"/>
                      <w:highlight w:val="none"/>
                    </w:rPr>
                  </w:pPr>
                </w:p>
              </w:tc>
              <w:tc>
                <w:tcPr>
                  <w:tcW w:w="914" w:type="pct"/>
                  <w:noWrap w:val="0"/>
                  <w:vAlign w:val="center"/>
                </w:tcPr>
                <w:p w14:paraId="2DEE117E">
                  <w:pPr>
                    <w:pStyle w:val="98"/>
                    <w:adjustRightInd/>
                    <w:snapToGrid/>
                    <w:rPr>
                      <w:rFonts w:hint="eastAsia"/>
                      <w:color w:val="auto"/>
                      <w:highlight w:val="none"/>
                    </w:rPr>
                  </w:pPr>
                  <w:r>
                    <w:rPr>
                      <w:rFonts w:hint="eastAsia"/>
                      <w:color w:val="auto"/>
                      <w:highlight w:val="none"/>
                    </w:rPr>
                    <w:t>去除率</w:t>
                  </w:r>
                  <w:r>
                    <w:rPr>
                      <w:color w:val="auto"/>
                      <w:highlight w:val="none"/>
                    </w:rPr>
                    <w:t>（</w:t>
                  </w:r>
                  <w:r>
                    <w:rPr>
                      <w:rFonts w:hint="eastAsia"/>
                      <w:color w:val="auto"/>
                      <w:highlight w:val="none"/>
                    </w:rPr>
                    <w:t>%</w:t>
                  </w:r>
                  <w:r>
                    <w:rPr>
                      <w:color w:val="auto"/>
                      <w:highlight w:val="none"/>
                    </w:rPr>
                    <w:t>）</w:t>
                  </w:r>
                </w:p>
              </w:tc>
              <w:tc>
                <w:tcPr>
                  <w:tcW w:w="687" w:type="pct"/>
                  <w:noWrap w:val="0"/>
                  <w:vAlign w:val="center"/>
                </w:tcPr>
                <w:p w14:paraId="30A91EAF">
                  <w:pPr>
                    <w:pStyle w:val="98"/>
                    <w:adjustRightInd/>
                    <w:snapToGrid/>
                    <w:rPr>
                      <w:rFonts w:hint="eastAsia"/>
                      <w:color w:val="auto"/>
                      <w:highlight w:val="none"/>
                    </w:rPr>
                  </w:pPr>
                  <w:r>
                    <w:rPr>
                      <w:color w:val="auto"/>
                      <w:highlight w:val="none"/>
                    </w:rPr>
                    <w:t>15</w:t>
                  </w:r>
                </w:p>
              </w:tc>
              <w:tc>
                <w:tcPr>
                  <w:tcW w:w="636" w:type="pct"/>
                  <w:noWrap w:val="0"/>
                  <w:vAlign w:val="center"/>
                </w:tcPr>
                <w:p w14:paraId="08024A65">
                  <w:pPr>
                    <w:pStyle w:val="98"/>
                    <w:adjustRightInd/>
                    <w:snapToGrid/>
                    <w:rPr>
                      <w:rFonts w:hint="eastAsia"/>
                      <w:color w:val="auto"/>
                      <w:highlight w:val="none"/>
                    </w:rPr>
                  </w:pPr>
                  <w:r>
                    <w:rPr>
                      <w:color w:val="auto"/>
                      <w:highlight w:val="none"/>
                    </w:rPr>
                    <w:t>9</w:t>
                  </w:r>
                </w:p>
              </w:tc>
              <w:tc>
                <w:tcPr>
                  <w:tcW w:w="616" w:type="pct"/>
                  <w:noWrap w:val="0"/>
                  <w:vAlign w:val="center"/>
                </w:tcPr>
                <w:p w14:paraId="01DDA52E">
                  <w:pPr>
                    <w:pStyle w:val="98"/>
                    <w:adjustRightInd/>
                    <w:snapToGrid/>
                    <w:rPr>
                      <w:rFonts w:hint="eastAsia"/>
                      <w:color w:val="auto"/>
                      <w:highlight w:val="none"/>
                    </w:rPr>
                  </w:pPr>
                  <w:r>
                    <w:rPr>
                      <w:color w:val="auto"/>
                      <w:highlight w:val="none"/>
                    </w:rPr>
                    <w:t>30</w:t>
                  </w:r>
                </w:p>
              </w:tc>
              <w:tc>
                <w:tcPr>
                  <w:tcW w:w="615" w:type="pct"/>
                  <w:noWrap w:val="0"/>
                  <w:vAlign w:val="center"/>
                </w:tcPr>
                <w:p w14:paraId="3B03B7FD">
                  <w:pPr>
                    <w:pStyle w:val="98"/>
                    <w:adjustRightInd/>
                    <w:snapToGrid/>
                    <w:rPr>
                      <w:rFonts w:hint="eastAsia"/>
                      <w:color w:val="auto"/>
                      <w:highlight w:val="none"/>
                    </w:rPr>
                  </w:pPr>
                  <w:r>
                    <w:rPr>
                      <w:color w:val="auto"/>
                      <w:highlight w:val="none"/>
                    </w:rPr>
                    <w:t>3</w:t>
                  </w:r>
                </w:p>
              </w:tc>
              <w:tc>
                <w:tcPr>
                  <w:tcW w:w="615" w:type="pct"/>
                  <w:noWrap w:val="0"/>
                  <w:vAlign w:val="center"/>
                </w:tcPr>
                <w:p w14:paraId="514CEB0F">
                  <w:pPr>
                    <w:pStyle w:val="98"/>
                    <w:adjustRightInd/>
                    <w:snapToGrid/>
                    <w:rPr>
                      <w:rFonts w:hint="eastAsia" w:eastAsia="宋体"/>
                      <w:color w:val="auto"/>
                      <w:highlight w:val="none"/>
                      <w:lang w:val="en-US" w:eastAsia="zh-CN"/>
                    </w:rPr>
                  </w:pPr>
                  <w:r>
                    <w:rPr>
                      <w:rFonts w:hint="eastAsia"/>
                      <w:color w:val="auto"/>
                      <w:highlight w:val="none"/>
                      <w:lang w:val="en-US" w:eastAsia="zh-CN"/>
                    </w:rPr>
                    <w:t>/</w:t>
                  </w:r>
                </w:p>
              </w:tc>
            </w:tr>
            <w:tr w14:paraId="11E767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1" w:hRule="atLeast"/>
                <w:jc w:val="center"/>
              </w:trPr>
              <w:tc>
                <w:tcPr>
                  <w:tcW w:w="913" w:type="pct"/>
                  <w:vMerge w:val="continue"/>
                  <w:noWrap w:val="0"/>
                  <w:vAlign w:val="center"/>
                </w:tcPr>
                <w:p w14:paraId="754700D5">
                  <w:pPr>
                    <w:pStyle w:val="98"/>
                    <w:adjustRightInd/>
                    <w:snapToGrid/>
                    <w:rPr>
                      <w:rFonts w:hint="eastAsia"/>
                      <w:color w:val="auto"/>
                      <w:highlight w:val="none"/>
                    </w:rPr>
                  </w:pPr>
                </w:p>
              </w:tc>
              <w:tc>
                <w:tcPr>
                  <w:tcW w:w="914" w:type="pct"/>
                  <w:noWrap w:val="0"/>
                  <w:vAlign w:val="center"/>
                </w:tcPr>
                <w:p w14:paraId="0D83E00E">
                  <w:pPr>
                    <w:pStyle w:val="98"/>
                    <w:adjustRightInd/>
                    <w:snapToGrid/>
                    <w:rPr>
                      <w:rFonts w:hint="eastAsia"/>
                      <w:color w:val="auto"/>
                      <w:highlight w:val="none"/>
                    </w:rPr>
                  </w:pPr>
                  <w:r>
                    <w:rPr>
                      <w:rFonts w:hint="eastAsia"/>
                      <w:color w:val="auto"/>
                      <w:highlight w:val="none"/>
                    </w:rPr>
                    <w:t>排放量t/a</w:t>
                  </w:r>
                </w:p>
              </w:tc>
              <w:tc>
                <w:tcPr>
                  <w:tcW w:w="687" w:type="pct"/>
                  <w:noWrap w:val="0"/>
                  <w:vAlign w:val="center"/>
                </w:tcPr>
                <w:p w14:paraId="231CBC54">
                  <w:pPr>
                    <w:pStyle w:val="98"/>
                    <w:adjustRightInd/>
                    <w:snapToGrid/>
                    <w:rPr>
                      <w:rFonts w:hint="default" w:eastAsia="宋体"/>
                      <w:color w:val="auto"/>
                      <w:highlight w:val="none"/>
                      <w:lang w:val="en-US" w:eastAsia="zh-CN"/>
                    </w:rPr>
                  </w:pPr>
                  <w:r>
                    <w:rPr>
                      <w:rFonts w:hint="eastAsia"/>
                      <w:color w:val="auto"/>
                      <w:highlight w:val="none"/>
                      <w:lang w:val="en-US" w:eastAsia="zh-CN"/>
                    </w:rPr>
                    <w:t>0.1306</w:t>
                  </w:r>
                </w:p>
              </w:tc>
              <w:tc>
                <w:tcPr>
                  <w:tcW w:w="636" w:type="pct"/>
                  <w:noWrap w:val="0"/>
                  <w:vAlign w:val="center"/>
                </w:tcPr>
                <w:p w14:paraId="39737251">
                  <w:pPr>
                    <w:pStyle w:val="98"/>
                    <w:adjustRightInd/>
                    <w:snapToGrid/>
                    <w:rPr>
                      <w:rFonts w:hint="default" w:eastAsia="宋体"/>
                      <w:color w:val="auto"/>
                      <w:highlight w:val="none"/>
                      <w:lang w:val="en-US" w:eastAsia="zh-CN"/>
                    </w:rPr>
                  </w:pPr>
                  <w:r>
                    <w:rPr>
                      <w:rFonts w:hint="eastAsia"/>
                      <w:color w:val="auto"/>
                      <w:highlight w:val="none"/>
                      <w:lang w:val="en-US" w:eastAsia="zh-CN"/>
                    </w:rPr>
                    <w:t>0.0769</w:t>
                  </w:r>
                </w:p>
              </w:tc>
              <w:tc>
                <w:tcPr>
                  <w:tcW w:w="616" w:type="pct"/>
                  <w:noWrap w:val="0"/>
                  <w:vAlign w:val="center"/>
                </w:tcPr>
                <w:p w14:paraId="487B6DB6">
                  <w:pPr>
                    <w:pStyle w:val="98"/>
                    <w:adjustRightInd/>
                    <w:snapToGrid/>
                    <w:rPr>
                      <w:rFonts w:hint="default" w:eastAsia="宋体"/>
                      <w:color w:val="auto"/>
                      <w:highlight w:val="none"/>
                      <w:lang w:val="en-US" w:eastAsia="zh-CN"/>
                    </w:rPr>
                  </w:pPr>
                  <w:r>
                    <w:rPr>
                      <w:rFonts w:hint="eastAsia"/>
                      <w:color w:val="auto"/>
                      <w:highlight w:val="none"/>
                      <w:lang w:val="en-US" w:eastAsia="zh-CN"/>
                    </w:rPr>
                    <w:t>0.0538</w:t>
                  </w:r>
                </w:p>
              </w:tc>
              <w:tc>
                <w:tcPr>
                  <w:tcW w:w="615" w:type="pct"/>
                  <w:noWrap w:val="0"/>
                  <w:vAlign w:val="center"/>
                </w:tcPr>
                <w:p w14:paraId="5D645A94">
                  <w:pPr>
                    <w:pStyle w:val="98"/>
                    <w:adjustRightInd/>
                    <w:snapToGrid/>
                    <w:rPr>
                      <w:rFonts w:hint="default" w:eastAsia="宋体"/>
                      <w:color w:val="auto"/>
                      <w:highlight w:val="none"/>
                      <w:lang w:val="en-US" w:eastAsia="zh-CN"/>
                    </w:rPr>
                  </w:pPr>
                  <w:r>
                    <w:rPr>
                      <w:rFonts w:hint="eastAsia"/>
                      <w:color w:val="auto"/>
                      <w:highlight w:val="none"/>
                      <w:lang w:val="en-US" w:eastAsia="zh-CN"/>
                    </w:rPr>
                    <w:t>0.013</w:t>
                  </w:r>
                </w:p>
              </w:tc>
              <w:tc>
                <w:tcPr>
                  <w:tcW w:w="615" w:type="pct"/>
                  <w:noWrap w:val="0"/>
                  <w:vAlign w:val="center"/>
                </w:tcPr>
                <w:p w14:paraId="24FB0D12">
                  <w:pPr>
                    <w:pStyle w:val="98"/>
                    <w:adjustRightInd/>
                    <w:snapToGrid/>
                    <w:rPr>
                      <w:rFonts w:hint="eastAsia" w:eastAsia="宋体"/>
                      <w:color w:val="auto"/>
                      <w:highlight w:val="none"/>
                      <w:lang w:val="en-US" w:eastAsia="zh-CN"/>
                    </w:rPr>
                  </w:pPr>
                  <w:r>
                    <w:rPr>
                      <w:rFonts w:hint="eastAsia"/>
                      <w:color w:val="auto"/>
                      <w:highlight w:val="none"/>
                      <w:lang w:val="en-US" w:eastAsia="zh-CN"/>
                    </w:rPr>
                    <w:t>/</w:t>
                  </w:r>
                </w:p>
              </w:tc>
            </w:tr>
            <w:tr w14:paraId="6CBADB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1" w:hRule="atLeast"/>
                <w:jc w:val="center"/>
              </w:trPr>
              <w:tc>
                <w:tcPr>
                  <w:tcW w:w="913" w:type="pct"/>
                  <w:vMerge w:val="restart"/>
                  <w:noWrap w:val="0"/>
                  <w:vAlign w:val="center"/>
                </w:tcPr>
                <w:p w14:paraId="46306506">
                  <w:pPr>
                    <w:pStyle w:val="98"/>
                    <w:adjustRightInd/>
                    <w:snapToGrid/>
                    <w:rPr>
                      <w:rFonts w:hint="eastAsia"/>
                      <w:color w:val="auto"/>
                      <w:highlight w:val="none"/>
                    </w:rPr>
                  </w:pPr>
                  <w:r>
                    <w:rPr>
                      <w:rFonts w:hint="eastAsia"/>
                      <w:color w:val="auto"/>
                      <w:highlight w:val="none"/>
                    </w:rPr>
                    <w:t>综合废水</w:t>
                  </w:r>
                </w:p>
                <w:p w14:paraId="693BD093">
                  <w:pPr>
                    <w:pStyle w:val="98"/>
                    <w:adjustRightInd/>
                    <w:snapToGrid/>
                    <w:rPr>
                      <w:rFonts w:hint="eastAsia"/>
                      <w:color w:val="auto"/>
                      <w:highlight w:val="none"/>
                    </w:rPr>
                  </w:pPr>
                  <w:r>
                    <w:rPr>
                      <w:rFonts w:hint="eastAsia"/>
                      <w:color w:val="auto"/>
                      <w:highlight w:val="none"/>
                      <w:lang w:val="en-US" w:eastAsia="zh-CN"/>
                    </w:rPr>
                    <w:t>422.4</w:t>
                  </w:r>
                  <w:r>
                    <w:rPr>
                      <w:rFonts w:hint="eastAsia"/>
                      <w:color w:val="auto"/>
                      <w:highlight w:val="none"/>
                    </w:rPr>
                    <w:t>m</w:t>
                  </w:r>
                  <w:r>
                    <w:rPr>
                      <w:rFonts w:hint="eastAsia"/>
                      <w:color w:val="auto"/>
                      <w:highlight w:val="none"/>
                      <w:vertAlign w:val="superscript"/>
                    </w:rPr>
                    <w:t>3</w:t>
                  </w:r>
                  <w:r>
                    <w:rPr>
                      <w:rFonts w:hint="eastAsia"/>
                      <w:color w:val="auto"/>
                      <w:highlight w:val="none"/>
                    </w:rPr>
                    <w:t>/a</w:t>
                  </w:r>
                </w:p>
              </w:tc>
              <w:tc>
                <w:tcPr>
                  <w:tcW w:w="914" w:type="pct"/>
                  <w:noWrap w:val="0"/>
                  <w:vAlign w:val="center"/>
                </w:tcPr>
                <w:p w14:paraId="0E374DA1">
                  <w:pPr>
                    <w:pStyle w:val="98"/>
                    <w:adjustRightInd/>
                    <w:snapToGrid/>
                    <w:rPr>
                      <w:rFonts w:hint="eastAsia" w:eastAsia="宋体"/>
                      <w:color w:val="auto"/>
                      <w:highlight w:val="none"/>
                      <w:lang w:val="en-US" w:eastAsia="zh-CN"/>
                    </w:rPr>
                  </w:pPr>
                  <w:r>
                    <w:rPr>
                      <w:rFonts w:hint="eastAsia"/>
                      <w:color w:val="auto"/>
                      <w:highlight w:val="none"/>
                      <w:lang w:val="en-US" w:eastAsia="zh-CN"/>
                    </w:rPr>
                    <w:t>排放量</w:t>
                  </w:r>
                  <w:r>
                    <w:rPr>
                      <w:rFonts w:hint="eastAsia"/>
                      <w:color w:val="auto"/>
                      <w:highlight w:val="none"/>
                    </w:rPr>
                    <w:t>t/a</w:t>
                  </w:r>
                </w:p>
              </w:tc>
              <w:tc>
                <w:tcPr>
                  <w:tcW w:w="687" w:type="pct"/>
                  <w:noWrap w:val="0"/>
                  <w:vAlign w:val="center"/>
                </w:tcPr>
                <w:p w14:paraId="4D9CD53A">
                  <w:pPr>
                    <w:pStyle w:val="98"/>
                    <w:adjustRightInd/>
                    <w:snapToGrid/>
                    <w:rPr>
                      <w:rFonts w:hint="default" w:eastAsia="宋体"/>
                      <w:color w:val="auto"/>
                      <w:highlight w:val="none"/>
                      <w:lang w:val="en-US" w:eastAsia="zh-CN"/>
                    </w:rPr>
                  </w:pPr>
                  <w:r>
                    <w:rPr>
                      <w:rFonts w:hint="eastAsia"/>
                      <w:color w:val="auto"/>
                      <w:highlight w:val="none"/>
                      <w:lang w:val="en-US" w:eastAsia="zh-CN"/>
                    </w:rPr>
                    <w:t>0.1469</w:t>
                  </w:r>
                </w:p>
              </w:tc>
              <w:tc>
                <w:tcPr>
                  <w:tcW w:w="636" w:type="pct"/>
                  <w:noWrap w:val="0"/>
                  <w:vAlign w:val="center"/>
                </w:tcPr>
                <w:p w14:paraId="657F8EF4">
                  <w:pPr>
                    <w:pStyle w:val="98"/>
                    <w:adjustRightInd/>
                    <w:snapToGrid/>
                    <w:rPr>
                      <w:rFonts w:hint="default" w:eastAsia="宋体"/>
                      <w:color w:val="auto"/>
                      <w:highlight w:val="none"/>
                      <w:lang w:val="en-US" w:eastAsia="zh-CN"/>
                    </w:rPr>
                  </w:pPr>
                  <w:r>
                    <w:rPr>
                      <w:rFonts w:hint="eastAsia"/>
                      <w:color w:val="auto"/>
                      <w:highlight w:val="none"/>
                      <w:lang w:val="en-US" w:eastAsia="zh-CN"/>
                    </w:rPr>
                    <w:t>0.0874</w:t>
                  </w:r>
                </w:p>
              </w:tc>
              <w:tc>
                <w:tcPr>
                  <w:tcW w:w="616" w:type="pct"/>
                  <w:noWrap w:val="0"/>
                  <w:vAlign w:val="center"/>
                </w:tcPr>
                <w:p w14:paraId="7D910D92">
                  <w:pPr>
                    <w:pStyle w:val="98"/>
                    <w:adjustRightInd/>
                    <w:snapToGrid/>
                    <w:rPr>
                      <w:rFonts w:hint="default" w:eastAsia="宋体"/>
                      <w:color w:val="auto"/>
                      <w:highlight w:val="none"/>
                      <w:lang w:val="en-US" w:eastAsia="zh-CN"/>
                    </w:rPr>
                  </w:pPr>
                  <w:r>
                    <w:rPr>
                      <w:rFonts w:hint="eastAsia"/>
                      <w:color w:val="auto"/>
                      <w:highlight w:val="none"/>
                      <w:lang w:val="en-US" w:eastAsia="zh-CN"/>
                    </w:rPr>
                    <w:t>0.0605</w:t>
                  </w:r>
                </w:p>
              </w:tc>
              <w:tc>
                <w:tcPr>
                  <w:tcW w:w="615" w:type="pct"/>
                  <w:noWrap w:val="0"/>
                  <w:vAlign w:val="center"/>
                </w:tcPr>
                <w:p w14:paraId="58B922F4">
                  <w:pPr>
                    <w:pStyle w:val="98"/>
                    <w:adjustRightInd/>
                    <w:snapToGrid/>
                    <w:rPr>
                      <w:rFonts w:hint="default" w:eastAsia="宋体"/>
                      <w:color w:val="auto"/>
                      <w:highlight w:val="none"/>
                      <w:lang w:val="en-US" w:eastAsia="zh-CN"/>
                    </w:rPr>
                  </w:pPr>
                  <w:r>
                    <w:rPr>
                      <w:rFonts w:hint="eastAsia"/>
                      <w:color w:val="auto"/>
                      <w:highlight w:val="none"/>
                      <w:lang w:val="en-US" w:eastAsia="zh-CN"/>
                    </w:rPr>
                    <w:t>0.01416</w:t>
                  </w:r>
                </w:p>
              </w:tc>
              <w:tc>
                <w:tcPr>
                  <w:tcW w:w="615" w:type="pct"/>
                  <w:noWrap w:val="0"/>
                  <w:vAlign w:val="center"/>
                </w:tcPr>
                <w:p w14:paraId="0FBB0323">
                  <w:pPr>
                    <w:pStyle w:val="98"/>
                    <w:adjustRightInd/>
                    <w:snapToGrid/>
                    <w:rPr>
                      <w:rFonts w:hint="default" w:eastAsia="宋体"/>
                      <w:color w:val="auto"/>
                      <w:highlight w:val="none"/>
                      <w:lang w:val="en-US" w:eastAsia="zh-CN"/>
                    </w:rPr>
                  </w:pPr>
                  <w:r>
                    <w:rPr>
                      <w:rFonts w:hint="eastAsia"/>
                      <w:color w:val="auto"/>
                      <w:highlight w:val="none"/>
                      <w:lang w:val="en-US" w:eastAsia="zh-CN"/>
                    </w:rPr>
                    <w:t>0.0019</w:t>
                  </w:r>
                </w:p>
              </w:tc>
            </w:tr>
            <w:tr w14:paraId="232362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1" w:hRule="atLeast"/>
                <w:jc w:val="center"/>
              </w:trPr>
              <w:tc>
                <w:tcPr>
                  <w:tcW w:w="913" w:type="pct"/>
                  <w:vMerge w:val="continue"/>
                  <w:noWrap w:val="0"/>
                  <w:vAlign w:val="center"/>
                </w:tcPr>
                <w:p w14:paraId="0393705C">
                  <w:pPr>
                    <w:pStyle w:val="98"/>
                    <w:adjustRightInd/>
                    <w:snapToGrid/>
                    <w:rPr>
                      <w:rFonts w:hint="eastAsia"/>
                      <w:color w:val="auto"/>
                      <w:highlight w:val="none"/>
                    </w:rPr>
                  </w:pPr>
                </w:p>
              </w:tc>
              <w:tc>
                <w:tcPr>
                  <w:tcW w:w="914" w:type="pct"/>
                  <w:noWrap w:val="0"/>
                  <w:vAlign w:val="center"/>
                </w:tcPr>
                <w:p w14:paraId="54AE024F">
                  <w:pPr>
                    <w:pStyle w:val="98"/>
                    <w:adjustRightInd/>
                    <w:snapToGrid/>
                    <w:rPr>
                      <w:rFonts w:hint="eastAsia"/>
                      <w:color w:val="auto"/>
                      <w:highlight w:val="none"/>
                    </w:rPr>
                  </w:pPr>
                  <w:r>
                    <w:rPr>
                      <w:rFonts w:hint="eastAsia"/>
                      <w:color w:val="auto"/>
                      <w:highlight w:val="none"/>
                    </w:rPr>
                    <w:t>排放浓度mg/L</w:t>
                  </w:r>
                </w:p>
              </w:tc>
              <w:tc>
                <w:tcPr>
                  <w:tcW w:w="687" w:type="pct"/>
                  <w:noWrap w:val="0"/>
                  <w:vAlign w:val="center"/>
                </w:tcPr>
                <w:p w14:paraId="135D17F6">
                  <w:pPr>
                    <w:pStyle w:val="98"/>
                    <w:adjustRightInd/>
                    <w:snapToGrid/>
                    <w:rPr>
                      <w:rFonts w:hint="default" w:eastAsia="宋体"/>
                      <w:color w:val="auto"/>
                      <w:highlight w:val="none"/>
                      <w:lang w:val="en-US" w:eastAsia="zh-CN"/>
                    </w:rPr>
                  </w:pPr>
                  <w:r>
                    <w:rPr>
                      <w:rFonts w:hint="eastAsia"/>
                      <w:color w:val="auto"/>
                      <w:highlight w:val="none"/>
                      <w:lang w:val="en-US" w:eastAsia="zh-CN"/>
                    </w:rPr>
                    <w:t>347.8</w:t>
                  </w:r>
                </w:p>
              </w:tc>
              <w:tc>
                <w:tcPr>
                  <w:tcW w:w="636" w:type="pct"/>
                  <w:noWrap w:val="0"/>
                  <w:vAlign w:val="center"/>
                </w:tcPr>
                <w:p w14:paraId="21C024E0">
                  <w:pPr>
                    <w:pStyle w:val="98"/>
                    <w:adjustRightInd/>
                    <w:snapToGrid/>
                    <w:rPr>
                      <w:rFonts w:hint="default" w:eastAsia="宋体"/>
                      <w:color w:val="auto"/>
                      <w:highlight w:val="none"/>
                      <w:lang w:val="en-US" w:eastAsia="zh-CN"/>
                    </w:rPr>
                  </w:pPr>
                  <w:r>
                    <w:rPr>
                      <w:rFonts w:hint="eastAsia"/>
                      <w:color w:val="auto"/>
                      <w:highlight w:val="none"/>
                      <w:lang w:val="en-US" w:eastAsia="zh-CN"/>
                    </w:rPr>
                    <w:t>207</w:t>
                  </w:r>
                </w:p>
              </w:tc>
              <w:tc>
                <w:tcPr>
                  <w:tcW w:w="616" w:type="pct"/>
                  <w:noWrap w:val="0"/>
                  <w:vAlign w:val="center"/>
                </w:tcPr>
                <w:p w14:paraId="384F191F">
                  <w:pPr>
                    <w:pStyle w:val="98"/>
                    <w:adjustRightInd/>
                    <w:snapToGrid/>
                    <w:rPr>
                      <w:rFonts w:hint="default" w:eastAsia="宋体"/>
                      <w:color w:val="auto"/>
                      <w:highlight w:val="none"/>
                      <w:lang w:val="en-US" w:eastAsia="zh-CN"/>
                    </w:rPr>
                  </w:pPr>
                  <w:r>
                    <w:rPr>
                      <w:rFonts w:hint="eastAsia"/>
                      <w:color w:val="auto"/>
                      <w:highlight w:val="none"/>
                      <w:lang w:val="en-US" w:eastAsia="zh-CN"/>
                    </w:rPr>
                    <w:t>143</w:t>
                  </w:r>
                </w:p>
              </w:tc>
              <w:tc>
                <w:tcPr>
                  <w:tcW w:w="615" w:type="pct"/>
                  <w:noWrap w:val="0"/>
                  <w:vAlign w:val="center"/>
                </w:tcPr>
                <w:p w14:paraId="7708DB59">
                  <w:pPr>
                    <w:pStyle w:val="98"/>
                    <w:adjustRightInd/>
                    <w:snapToGrid/>
                    <w:rPr>
                      <w:rFonts w:hint="default" w:eastAsia="宋体"/>
                      <w:color w:val="auto"/>
                      <w:highlight w:val="none"/>
                      <w:lang w:val="en-US" w:eastAsia="zh-CN"/>
                    </w:rPr>
                  </w:pPr>
                  <w:r>
                    <w:rPr>
                      <w:rFonts w:hint="eastAsia"/>
                      <w:color w:val="auto"/>
                      <w:highlight w:val="none"/>
                      <w:lang w:val="en-US" w:eastAsia="zh-CN"/>
                    </w:rPr>
                    <w:t>33.5</w:t>
                  </w:r>
                </w:p>
              </w:tc>
              <w:tc>
                <w:tcPr>
                  <w:tcW w:w="615" w:type="pct"/>
                  <w:noWrap w:val="0"/>
                  <w:vAlign w:val="center"/>
                </w:tcPr>
                <w:p w14:paraId="52B71A73">
                  <w:pPr>
                    <w:pStyle w:val="98"/>
                    <w:adjustRightInd/>
                    <w:snapToGrid/>
                    <w:rPr>
                      <w:rFonts w:hint="default" w:eastAsia="宋体"/>
                      <w:color w:val="auto"/>
                      <w:highlight w:val="none"/>
                      <w:lang w:val="en-US" w:eastAsia="zh-CN"/>
                    </w:rPr>
                  </w:pPr>
                  <w:r>
                    <w:rPr>
                      <w:rFonts w:hint="eastAsia"/>
                      <w:color w:val="auto"/>
                      <w:highlight w:val="none"/>
                      <w:lang w:val="en-US" w:eastAsia="zh-CN"/>
                    </w:rPr>
                    <w:t>4.5</w:t>
                  </w:r>
                </w:p>
              </w:tc>
            </w:tr>
            <w:tr w14:paraId="701D2F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36" w:hRule="atLeast"/>
                <w:jc w:val="center"/>
              </w:trPr>
              <w:tc>
                <w:tcPr>
                  <w:tcW w:w="1828" w:type="pct"/>
                  <w:gridSpan w:val="2"/>
                  <w:noWrap w:val="0"/>
                  <w:vAlign w:val="center"/>
                </w:tcPr>
                <w:p w14:paraId="2054E042">
                  <w:pPr>
                    <w:pStyle w:val="98"/>
                    <w:adjustRightInd/>
                    <w:snapToGrid/>
                    <w:rPr>
                      <w:color w:val="auto"/>
                      <w:highlight w:val="none"/>
                    </w:rPr>
                  </w:pPr>
                  <w:r>
                    <w:rPr>
                      <w:color w:val="auto"/>
                      <w:highlight w:val="none"/>
                    </w:rPr>
                    <w:t>GB8978-1996</w:t>
                  </w:r>
                  <w:r>
                    <w:rPr>
                      <w:rFonts w:hint="eastAsia"/>
                      <w:color w:val="auto"/>
                      <w:highlight w:val="none"/>
                    </w:rPr>
                    <w:t>表4中的标准，其中氨氮执行GB/T31962-2015表1中B级标准限值</w:t>
                  </w:r>
                  <w:r>
                    <w:rPr>
                      <w:color w:val="auto"/>
                      <w:highlight w:val="none"/>
                    </w:rPr>
                    <w:t>（mg/L）</w:t>
                  </w:r>
                </w:p>
              </w:tc>
              <w:tc>
                <w:tcPr>
                  <w:tcW w:w="687" w:type="pct"/>
                  <w:noWrap w:val="0"/>
                  <w:vAlign w:val="center"/>
                </w:tcPr>
                <w:p w14:paraId="78D4B3CC">
                  <w:pPr>
                    <w:pStyle w:val="98"/>
                    <w:adjustRightInd/>
                    <w:snapToGrid/>
                    <w:rPr>
                      <w:rFonts w:hint="eastAsia"/>
                      <w:color w:val="auto"/>
                      <w:highlight w:val="none"/>
                    </w:rPr>
                  </w:pPr>
                  <w:r>
                    <w:rPr>
                      <w:color w:val="auto"/>
                      <w:highlight w:val="none"/>
                    </w:rPr>
                    <w:t>500</w:t>
                  </w:r>
                </w:p>
              </w:tc>
              <w:tc>
                <w:tcPr>
                  <w:tcW w:w="636" w:type="pct"/>
                  <w:noWrap w:val="0"/>
                  <w:vAlign w:val="center"/>
                </w:tcPr>
                <w:p w14:paraId="28FD1E57">
                  <w:pPr>
                    <w:pStyle w:val="98"/>
                    <w:adjustRightInd/>
                    <w:snapToGrid/>
                    <w:rPr>
                      <w:rFonts w:hint="eastAsia"/>
                      <w:color w:val="auto"/>
                      <w:highlight w:val="none"/>
                    </w:rPr>
                  </w:pPr>
                  <w:r>
                    <w:rPr>
                      <w:color w:val="auto"/>
                      <w:highlight w:val="none"/>
                    </w:rPr>
                    <w:t>300</w:t>
                  </w:r>
                </w:p>
              </w:tc>
              <w:tc>
                <w:tcPr>
                  <w:tcW w:w="616" w:type="pct"/>
                  <w:noWrap w:val="0"/>
                  <w:vAlign w:val="center"/>
                </w:tcPr>
                <w:p w14:paraId="4EA0D75E">
                  <w:pPr>
                    <w:pStyle w:val="98"/>
                    <w:adjustRightInd/>
                    <w:snapToGrid/>
                    <w:rPr>
                      <w:rFonts w:hint="eastAsia"/>
                      <w:color w:val="auto"/>
                      <w:highlight w:val="none"/>
                    </w:rPr>
                  </w:pPr>
                  <w:r>
                    <w:rPr>
                      <w:color w:val="auto"/>
                      <w:highlight w:val="none"/>
                    </w:rPr>
                    <w:t>400</w:t>
                  </w:r>
                </w:p>
              </w:tc>
              <w:tc>
                <w:tcPr>
                  <w:tcW w:w="615" w:type="pct"/>
                  <w:noWrap w:val="0"/>
                  <w:vAlign w:val="center"/>
                </w:tcPr>
                <w:p w14:paraId="31680F73">
                  <w:pPr>
                    <w:pStyle w:val="98"/>
                    <w:adjustRightInd/>
                    <w:snapToGrid/>
                    <w:rPr>
                      <w:rFonts w:hint="eastAsia"/>
                      <w:color w:val="auto"/>
                      <w:highlight w:val="none"/>
                    </w:rPr>
                  </w:pPr>
                  <w:r>
                    <w:rPr>
                      <w:color w:val="auto"/>
                      <w:highlight w:val="none"/>
                    </w:rPr>
                    <w:t>45</w:t>
                  </w:r>
                </w:p>
              </w:tc>
              <w:tc>
                <w:tcPr>
                  <w:tcW w:w="615" w:type="pct"/>
                  <w:noWrap w:val="0"/>
                  <w:vAlign w:val="center"/>
                </w:tcPr>
                <w:p w14:paraId="68B5E362">
                  <w:pPr>
                    <w:pStyle w:val="98"/>
                    <w:adjustRightInd/>
                    <w:snapToGrid/>
                    <w:rPr>
                      <w:color w:val="auto"/>
                      <w:highlight w:val="none"/>
                    </w:rPr>
                  </w:pPr>
                  <w:r>
                    <w:rPr>
                      <w:rFonts w:hint="eastAsia"/>
                      <w:color w:val="auto"/>
                      <w:highlight w:val="none"/>
                      <w:lang w:val="en-US" w:eastAsia="zh-CN"/>
                    </w:rPr>
                    <w:t>100</w:t>
                  </w:r>
                </w:p>
              </w:tc>
            </w:tr>
            <w:tr w14:paraId="7FFED5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20" w:hRule="atLeast"/>
                <w:jc w:val="center"/>
              </w:trPr>
              <w:tc>
                <w:tcPr>
                  <w:tcW w:w="1828" w:type="pct"/>
                  <w:gridSpan w:val="2"/>
                  <w:noWrap w:val="0"/>
                  <w:vAlign w:val="center"/>
                </w:tcPr>
                <w:p w14:paraId="481E092E">
                  <w:pPr>
                    <w:pStyle w:val="98"/>
                    <w:adjustRightInd/>
                    <w:snapToGrid/>
                    <w:rPr>
                      <w:rFonts w:hint="eastAsia"/>
                      <w:color w:val="auto"/>
                      <w:highlight w:val="none"/>
                    </w:rPr>
                  </w:pPr>
                  <w:r>
                    <w:rPr>
                      <w:rFonts w:hint="eastAsia"/>
                      <w:color w:val="auto"/>
                      <w:highlight w:val="none"/>
                    </w:rPr>
                    <w:t>污水处理厂出水标准（一级A）（mg/L）</w:t>
                  </w:r>
                </w:p>
              </w:tc>
              <w:tc>
                <w:tcPr>
                  <w:tcW w:w="687" w:type="pct"/>
                  <w:noWrap w:val="0"/>
                  <w:vAlign w:val="center"/>
                </w:tcPr>
                <w:p w14:paraId="6E6E84D2">
                  <w:pPr>
                    <w:pStyle w:val="98"/>
                    <w:adjustRightInd/>
                    <w:snapToGrid/>
                    <w:rPr>
                      <w:rFonts w:hint="eastAsia"/>
                      <w:color w:val="auto"/>
                      <w:highlight w:val="none"/>
                    </w:rPr>
                  </w:pPr>
                  <w:r>
                    <w:rPr>
                      <w:rFonts w:hint="eastAsia"/>
                      <w:color w:val="auto"/>
                      <w:highlight w:val="none"/>
                    </w:rPr>
                    <w:t>50</w:t>
                  </w:r>
                </w:p>
              </w:tc>
              <w:tc>
                <w:tcPr>
                  <w:tcW w:w="636" w:type="pct"/>
                  <w:noWrap w:val="0"/>
                  <w:vAlign w:val="center"/>
                </w:tcPr>
                <w:p w14:paraId="2982195C">
                  <w:pPr>
                    <w:pStyle w:val="98"/>
                    <w:adjustRightInd/>
                    <w:snapToGrid/>
                    <w:rPr>
                      <w:rFonts w:hint="eastAsia"/>
                      <w:color w:val="auto"/>
                      <w:highlight w:val="none"/>
                    </w:rPr>
                  </w:pPr>
                  <w:r>
                    <w:rPr>
                      <w:rFonts w:hint="eastAsia"/>
                      <w:color w:val="auto"/>
                      <w:highlight w:val="none"/>
                    </w:rPr>
                    <w:t>10</w:t>
                  </w:r>
                </w:p>
              </w:tc>
              <w:tc>
                <w:tcPr>
                  <w:tcW w:w="616" w:type="pct"/>
                  <w:noWrap w:val="0"/>
                  <w:vAlign w:val="center"/>
                </w:tcPr>
                <w:p w14:paraId="1B30676F">
                  <w:pPr>
                    <w:pStyle w:val="98"/>
                    <w:adjustRightInd/>
                    <w:snapToGrid/>
                    <w:rPr>
                      <w:rFonts w:hint="eastAsia"/>
                      <w:color w:val="auto"/>
                      <w:highlight w:val="none"/>
                    </w:rPr>
                  </w:pPr>
                  <w:r>
                    <w:rPr>
                      <w:rFonts w:hint="eastAsia"/>
                      <w:color w:val="auto"/>
                      <w:highlight w:val="none"/>
                    </w:rPr>
                    <w:t>10</w:t>
                  </w:r>
                </w:p>
              </w:tc>
              <w:tc>
                <w:tcPr>
                  <w:tcW w:w="615" w:type="pct"/>
                  <w:noWrap w:val="0"/>
                  <w:vAlign w:val="center"/>
                </w:tcPr>
                <w:p w14:paraId="0DEDD0B7">
                  <w:pPr>
                    <w:pStyle w:val="98"/>
                    <w:adjustRightInd/>
                    <w:snapToGrid/>
                    <w:rPr>
                      <w:rFonts w:hint="eastAsia"/>
                      <w:color w:val="auto"/>
                      <w:highlight w:val="none"/>
                    </w:rPr>
                  </w:pPr>
                  <w:r>
                    <w:rPr>
                      <w:rFonts w:hint="eastAsia"/>
                      <w:color w:val="auto"/>
                      <w:highlight w:val="none"/>
                    </w:rPr>
                    <w:t>5</w:t>
                  </w:r>
                </w:p>
              </w:tc>
              <w:tc>
                <w:tcPr>
                  <w:tcW w:w="615" w:type="pct"/>
                  <w:noWrap w:val="0"/>
                  <w:vAlign w:val="center"/>
                </w:tcPr>
                <w:p w14:paraId="604BE62C">
                  <w:pPr>
                    <w:pStyle w:val="98"/>
                    <w:adjustRightInd/>
                    <w:snapToGrid/>
                    <w:rPr>
                      <w:rFonts w:hint="eastAsia" w:eastAsia="宋体"/>
                      <w:color w:val="auto"/>
                      <w:highlight w:val="none"/>
                      <w:lang w:val="en-US" w:eastAsia="zh-CN"/>
                    </w:rPr>
                  </w:pPr>
                  <w:r>
                    <w:rPr>
                      <w:rFonts w:hint="eastAsia"/>
                      <w:color w:val="auto"/>
                      <w:highlight w:val="none"/>
                      <w:lang w:val="en-US" w:eastAsia="zh-CN"/>
                    </w:rPr>
                    <w:t>1</w:t>
                  </w:r>
                </w:p>
              </w:tc>
            </w:tr>
          </w:tbl>
          <w:p w14:paraId="3DA5B855">
            <w:pPr>
              <w:pStyle w:val="5"/>
              <w:rPr>
                <w:color w:val="auto"/>
                <w:highlight w:val="none"/>
              </w:rPr>
            </w:pPr>
            <w:r>
              <w:rPr>
                <w:rFonts w:hint="eastAsia"/>
                <w:color w:val="auto"/>
                <w:highlight w:val="none"/>
              </w:rPr>
              <w:t>4.2.2.2</w:t>
            </w:r>
            <w:r>
              <w:rPr>
                <w:color w:val="auto"/>
                <w:highlight w:val="none"/>
              </w:rPr>
              <w:t>项目废水处理措施及可行性分析</w:t>
            </w:r>
          </w:p>
          <w:p w14:paraId="31CE1919">
            <w:pPr>
              <w:bidi w:val="0"/>
              <w:rPr>
                <w:b/>
                <w:bCs/>
                <w:color w:val="auto"/>
                <w:highlight w:val="none"/>
              </w:rPr>
            </w:pPr>
            <w:r>
              <w:rPr>
                <w:rFonts w:hint="eastAsia"/>
                <w:b/>
                <w:bCs/>
                <w:color w:val="auto"/>
                <w:highlight w:val="none"/>
                <w:lang w:val="en-US" w:eastAsia="zh-CN"/>
              </w:rPr>
              <w:t xml:space="preserve">1、车辆冲洗废水回用可行性分析 </w:t>
            </w:r>
          </w:p>
          <w:p w14:paraId="20B7669E">
            <w:pPr>
              <w:bidi w:val="0"/>
              <w:rPr>
                <w:color w:val="auto"/>
                <w:highlight w:val="none"/>
              </w:rPr>
            </w:pPr>
            <w:r>
              <w:rPr>
                <w:rFonts w:hint="eastAsia"/>
                <w:color w:val="auto"/>
                <w:highlight w:val="none"/>
                <w:lang w:val="en-US" w:eastAsia="zh-CN"/>
              </w:rPr>
              <w:t>本项目车辆冲洗废水产生量约为13.86m</w:t>
            </w:r>
            <w:r>
              <w:rPr>
                <w:rFonts w:hint="eastAsia"/>
                <w:color w:val="auto"/>
                <w:highlight w:val="none"/>
                <w:vertAlign w:val="superscript"/>
                <w:lang w:val="en-US" w:eastAsia="zh-CN"/>
              </w:rPr>
              <w:t>3</w:t>
            </w:r>
            <w:r>
              <w:rPr>
                <w:rFonts w:hint="eastAsia"/>
                <w:color w:val="auto"/>
                <w:highlight w:val="none"/>
                <w:lang w:val="en-US" w:eastAsia="zh-CN"/>
              </w:rPr>
              <w:t>/d，主要污染因子为</w:t>
            </w:r>
            <w:r>
              <w:rPr>
                <w:rFonts w:hint="default"/>
                <w:color w:val="auto"/>
                <w:highlight w:val="none"/>
                <w:lang w:val="en-US" w:eastAsia="zh-CN"/>
              </w:rPr>
              <w:t>SS</w:t>
            </w:r>
            <w:r>
              <w:rPr>
                <w:rFonts w:hint="eastAsia"/>
                <w:color w:val="auto"/>
                <w:highlight w:val="none"/>
                <w:lang w:val="en-US" w:eastAsia="zh-CN"/>
              </w:rPr>
              <w:t>，建设单位拟在厂区内建造</w:t>
            </w:r>
            <w:r>
              <w:rPr>
                <w:rFonts w:hint="default"/>
                <w:color w:val="auto"/>
                <w:highlight w:val="none"/>
                <w:lang w:val="en-US" w:eastAsia="zh-CN"/>
              </w:rPr>
              <w:t>1</w:t>
            </w:r>
            <w:r>
              <w:rPr>
                <w:rFonts w:hint="eastAsia" w:ascii="宋体" w:hAnsi="宋体" w:eastAsia="宋体" w:cs="宋体"/>
                <w:color w:val="auto"/>
                <w:kern w:val="0"/>
                <w:szCs w:val="24"/>
                <w:highlight w:val="none"/>
                <w:lang w:val="en-US" w:eastAsia="zh-CN" w:bidi="ar"/>
              </w:rPr>
              <w:t>个处理规模为</w:t>
            </w:r>
            <w:r>
              <w:rPr>
                <w:rFonts w:hint="eastAsia" w:cs="Times New Roman"/>
                <w:color w:val="auto"/>
                <w:kern w:val="0"/>
                <w:szCs w:val="24"/>
                <w:highlight w:val="none"/>
                <w:lang w:val="en-US" w:eastAsia="zh-CN" w:bidi="ar"/>
              </w:rPr>
              <w:t>15</w:t>
            </w:r>
            <w:r>
              <w:rPr>
                <w:rFonts w:hint="default" w:ascii="Times New Roman" w:hAnsi="Times New Roman" w:eastAsia="宋体" w:cs="Times New Roman"/>
                <w:color w:val="auto"/>
                <w:kern w:val="0"/>
                <w:szCs w:val="24"/>
                <w:highlight w:val="none"/>
                <w:lang w:val="en-US" w:eastAsia="zh-CN" w:bidi="ar"/>
              </w:rPr>
              <w:t>m</w:t>
            </w:r>
            <w:r>
              <w:rPr>
                <w:rFonts w:hint="eastAsia" w:ascii="Times New Roman" w:hAnsi="Times New Roman" w:eastAsia="宋体" w:cs="Times New Roman"/>
                <w:color w:val="auto"/>
                <w:kern w:val="0"/>
                <w:szCs w:val="24"/>
                <w:highlight w:val="none"/>
                <w:vertAlign w:val="superscript"/>
                <w:lang w:val="en-US" w:eastAsia="zh-CN" w:bidi="ar"/>
              </w:rPr>
              <w:t>3</w:t>
            </w:r>
            <w:r>
              <w:rPr>
                <w:rFonts w:hint="default" w:ascii="Times New Roman" w:hAnsi="Times New Roman" w:eastAsia="宋体" w:cs="Times New Roman"/>
                <w:color w:val="auto"/>
                <w:kern w:val="0"/>
                <w:szCs w:val="24"/>
                <w:highlight w:val="none"/>
                <w:lang w:val="en-US" w:eastAsia="zh-CN" w:bidi="ar"/>
              </w:rPr>
              <w:t>/d</w:t>
            </w:r>
            <w:r>
              <w:rPr>
                <w:rFonts w:hint="eastAsia" w:ascii="宋体" w:hAnsi="宋体" w:eastAsia="宋体" w:cs="宋体"/>
                <w:color w:val="auto"/>
                <w:kern w:val="0"/>
                <w:szCs w:val="24"/>
                <w:highlight w:val="none"/>
                <w:lang w:val="en-US" w:eastAsia="zh-CN" w:bidi="ar"/>
              </w:rPr>
              <w:t>的沉淀池，可以完全接纳并处理项目产生的清洗废</w:t>
            </w:r>
            <w:r>
              <w:rPr>
                <w:rFonts w:hint="eastAsia"/>
                <w:color w:val="auto"/>
                <w:highlight w:val="none"/>
                <w:lang w:val="en-US" w:eastAsia="zh-CN"/>
              </w:rPr>
              <w:t xml:space="preserve">水，并将淀池处理后的水回用于运输车清洗，不外排，对周边地表水环境影响可接受。 </w:t>
            </w:r>
          </w:p>
          <w:p w14:paraId="20C85769">
            <w:pPr>
              <w:bidi w:val="0"/>
              <w:rPr>
                <w:b/>
                <w:bCs/>
                <w:color w:val="auto"/>
                <w:highlight w:val="none"/>
              </w:rPr>
            </w:pPr>
            <w:r>
              <w:rPr>
                <w:rFonts w:hint="eastAsia"/>
                <w:b/>
                <w:bCs/>
                <w:color w:val="auto"/>
                <w:highlight w:val="none"/>
                <w:lang w:val="en-US" w:eastAsia="zh-CN"/>
              </w:rPr>
              <w:t xml:space="preserve">2、生活废水及食堂废水外排可行性 </w:t>
            </w:r>
          </w:p>
          <w:p w14:paraId="0D978D83">
            <w:pPr>
              <w:widowControl/>
              <w:ind w:firstLine="480"/>
              <w:jc w:val="left"/>
              <w:rPr>
                <w:rFonts w:hint="default" w:eastAsia="宋体"/>
                <w:color w:val="auto"/>
                <w:kern w:val="0"/>
                <w:highlight w:val="none"/>
                <w:lang w:val="en-US" w:eastAsia="zh-CN" w:bidi="ar"/>
              </w:rPr>
            </w:pPr>
            <w:r>
              <w:rPr>
                <w:rFonts w:hint="eastAsia"/>
                <w:color w:val="auto"/>
                <w:kern w:val="0"/>
                <w:highlight w:val="none"/>
                <w:lang w:val="en-US" w:eastAsia="zh-CN" w:bidi="ar"/>
              </w:rPr>
              <w:t>（1）废水处理措施可行性</w:t>
            </w:r>
          </w:p>
          <w:p w14:paraId="543E5667">
            <w:pPr>
              <w:widowControl/>
              <w:ind w:firstLine="480"/>
              <w:jc w:val="left"/>
              <w:rPr>
                <w:color w:val="auto"/>
                <w:kern w:val="0"/>
                <w:highlight w:val="none"/>
                <w:lang w:bidi="ar"/>
              </w:rPr>
            </w:pPr>
            <w:r>
              <w:rPr>
                <w:color w:val="auto"/>
                <w:kern w:val="0"/>
                <w:highlight w:val="none"/>
                <w:lang w:bidi="ar"/>
              </w:rPr>
              <w:t>项目</w:t>
            </w:r>
            <w:r>
              <w:rPr>
                <w:rFonts w:hint="eastAsia"/>
                <w:color w:val="auto"/>
                <w:kern w:val="0"/>
                <w:highlight w:val="none"/>
                <w:lang w:val="en-US" w:eastAsia="zh-CN" w:bidi="ar"/>
              </w:rPr>
              <w:t>厂区</w:t>
            </w:r>
            <w:r>
              <w:rPr>
                <w:color w:val="auto"/>
                <w:kern w:val="0"/>
                <w:highlight w:val="none"/>
                <w:lang w:bidi="ar"/>
              </w:rPr>
              <w:t>实行雨污分流，雨水经雨水管网收集后排入市政雨水管网；本项目</w:t>
            </w:r>
            <w:r>
              <w:rPr>
                <w:rFonts w:hint="eastAsia"/>
                <w:color w:val="auto"/>
                <w:kern w:val="0"/>
                <w:highlight w:val="none"/>
                <w:lang w:val="en-US" w:eastAsia="zh-CN" w:bidi="ar"/>
              </w:rPr>
              <w:t>食堂废水经隔油池预处理后与</w:t>
            </w:r>
            <w:r>
              <w:rPr>
                <w:rFonts w:hint="eastAsia"/>
                <w:color w:val="auto"/>
                <w:kern w:val="0"/>
                <w:highlight w:val="none"/>
                <w:lang w:bidi="ar"/>
              </w:rPr>
              <w:t>生活废水一起</w:t>
            </w:r>
            <w:r>
              <w:rPr>
                <w:color w:val="auto"/>
                <w:kern w:val="0"/>
                <w:highlight w:val="none"/>
                <w:lang w:bidi="ar"/>
              </w:rPr>
              <w:t>经</w:t>
            </w:r>
            <w:r>
              <w:rPr>
                <w:rFonts w:hint="eastAsia"/>
                <w:color w:val="auto"/>
                <w:kern w:val="0"/>
                <w:highlight w:val="none"/>
                <w:lang w:val="en-US" w:eastAsia="zh-CN" w:bidi="ar"/>
              </w:rPr>
              <w:t>厂区</w:t>
            </w:r>
            <w:r>
              <w:rPr>
                <w:color w:val="auto"/>
                <w:kern w:val="0"/>
                <w:highlight w:val="none"/>
                <w:lang w:bidi="ar"/>
              </w:rPr>
              <w:t>化粪池处理达到《污水综合排放标准》（GB8978-1996）表4三级标准（其中氨氮指标参照《污水排入城镇下水道水质标准》（GB/T31962-2015）表1的B级标准）后排入市政污水管网纳入</w:t>
            </w:r>
            <w:r>
              <w:rPr>
                <w:rFonts w:hint="eastAsia"/>
                <w:color w:val="auto"/>
                <w:kern w:val="0"/>
                <w:highlight w:val="none"/>
                <w:lang w:bidi="ar"/>
              </w:rPr>
              <w:t>金港工业区生活污水处理厂</w:t>
            </w:r>
            <w:r>
              <w:rPr>
                <w:color w:val="auto"/>
                <w:kern w:val="0"/>
                <w:highlight w:val="none"/>
                <w:lang w:bidi="ar"/>
              </w:rPr>
              <w:t>进一步处理。</w:t>
            </w:r>
          </w:p>
          <w:p w14:paraId="142EB616">
            <w:pPr>
              <w:keepNext w:val="0"/>
              <w:keepLines w:val="0"/>
              <w:widowControl/>
              <w:suppressLineNumbers w:val="0"/>
              <w:jc w:val="left"/>
              <w:rPr>
                <w:rFonts w:hint="eastAsia" w:ascii="宋体" w:hAnsi="宋体" w:cs="宋体"/>
                <w:color w:val="auto"/>
                <w:kern w:val="0"/>
                <w:highlight w:val="none"/>
                <w:lang w:val="en-US" w:eastAsia="zh-CN" w:bidi="ar"/>
              </w:rPr>
            </w:pPr>
            <w:r>
              <w:rPr>
                <w:color w:val="auto"/>
                <w:highlight w:val="none"/>
              </w:rPr>
              <w:t>本企业</w:t>
            </w:r>
            <w:r>
              <w:rPr>
                <w:rFonts w:hint="eastAsia"/>
                <w:color w:val="auto"/>
                <w:highlight w:val="none"/>
              </w:rPr>
              <w:t>生活废水</w:t>
            </w:r>
            <w:r>
              <w:rPr>
                <w:color w:val="auto"/>
                <w:highlight w:val="none"/>
              </w:rPr>
              <w:t>排放的化粪池的处理能力为</w:t>
            </w:r>
            <w:r>
              <w:rPr>
                <w:rFonts w:hint="eastAsia"/>
                <w:color w:val="auto"/>
                <w:highlight w:val="none"/>
                <w:lang w:val="en-US" w:eastAsia="zh-CN"/>
              </w:rPr>
              <w:t>3</w:t>
            </w:r>
            <w:r>
              <w:rPr>
                <w:color w:val="auto"/>
                <w:highlight w:val="none"/>
              </w:rPr>
              <w:t>m</w:t>
            </w:r>
            <w:r>
              <w:rPr>
                <w:color w:val="auto"/>
                <w:highlight w:val="none"/>
                <w:vertAlign w:val="superscript"/>
              </w:rPr>
              <w:t>3</w:t>
            </w:r>
            <w:r>
              <w:rPr>
                <w:color w:val="auto"/>
                <w:highlight w:val="none"/>
              </w:rPr>
              <w:t>/d，本项目</w:t>
            </w:r>
            <w:r>
              <w:rPr>
                <w:rFonts w:hint="eastAsia"/>
                <w:color w:val="auto"/>
                <w:highlight w:val="none"/>
              </w:rPr>
              <w:t>生活废水</w:t>
            </w:r>
            <w:r>
              <w:rPr>
                <w:color w:val="auto"/>
                <w:highlight w:val="none"/>
              </w:rPr>
              <w:t>排放量为</w:t>
            </w:r>
            <w:r>
              <w:rPr>
                <w:rFonts w:hint="eastAsia"/>
                <w:color w:val="auto"/>
                <w:highlight w:val="none"/>
                <w:lang w:val="en-US" w:eastAsia="zh-CN"/>
              </w:rPr>
              <w:t>2.08</w:t>
            </w:r>
            <w:r>
              <w:rPr>
                <w:color w:val="auto"/>
                <w:highlight w:val="none"/>
              </w:rPr>
              <w:t>m</w:t>
            </w:r>
            <w:r>
              <w:rPr>
                <w:color w:val="auto"/>
                <w:highlight w:val="none"/>
                <w:vertAlign w:val="superscript"/>
              </w:rPr>
              <w:t>3</w:t>
            </w:r>
            <w:r>
              <w:rPr>
                <w:color w:val="auto"/>
                <w:highlight w:val="none"/>
              </w:rPr>
              <w:t>/</w:t>
            </w:r>
            <w:r>
              <w:rPr>
                <w:rFonts w:hint="eastAsia"/>
                <w:color w:val="auto"/>
                <w:highlight w:val="none"/>
                <w:lang w:val="en-US" w:eastAsia="zh-CN"/>
              </w:rPr>
              <w:t>d</w:t>
            </w:r>
            <w:r>
              <w:rPr>
                <w:color w:val="auto"/>
                <w:highlight w:val="none"/>
              </w:rPr>
              <w:t>，因此该化粪池能够接纳并满足项目废水处理要求，并保证在污水处理设施正常运行情况下，废水出水水质能够稳定达到</w:t>
            </w:r>
            <w:r>
              <w:rPr>
                <w:color w:val="auto"/>
                <w:kern w:val="0"/>
                <w:highlight w:val="none"/>
                <w:lang w:bidi="ar"/>
              </w:rPr>
              <w:t>《污水综合排放标准》（GB8978-1996）表4三级标准要求（其中氨氮指标参照《污水排入城镇下水道水质标准》（GB/T31962-2015）表1的B级标准）。</w:t>
            </w:r>
          </w:p>
          <w:p w14:paraId="3B4FAD3E">
            <w:pPr>
              <w:ind w:firstLine="482"/>
              <w:rPr>
                <w:rFonts w:hint="eastAsia"/>
                <w:b w:val="0"/>
                <w:bCs w:val="0"/>
                <w:color w:val="auto"/>
                <w:highlight w:val="none"/>
              </w:rPr>
            </w:pPr>
            <w:r>
              <w:rPr>
                <w:rFonts w:hint="eastAsia"/>
                <w:b w:val="0"/>
                <w:bCs w:val="0"/>
                <w:color w:val="auto"/>
                <w:highlight w:val="none"/>
                <w:lang w:eastAsia="zh-CN"/>
              </w:rPr>
              <w:t>（</w:t>
            </w:r>
            <w:r>
              <w:rPr>
                <w:rFonts w:hint="eastAsia"/>
                <w:b w:val="0"/>
                <w:bCs w:val="0"/>
                <w:color w:val="auto"/>
                <w:highlight w:val="none"/>
                <w:lang w:val="en-US" w:eastAsia="zh-CN"/>
              </w:rPr>
              <w:t>2</w:t>
            </w:r>
            <w:r>
              <w:rPr>
                <w:rFonts w:hint="eastAsia"/>
                <w:b w:val="0"/>
                <w:bCs w:val="0"/>
                <w:color w:val="auto"/>
                <w:highlight w:val="none"/>
                <w:lang w:eastAsia="zh-CN"/>
              </w:rPr>
              <w:t>）</w:t>
            </w:r>
            <w:r>
              <w:rPr>
                <w:rFonts w:hint="eastAsia"/>
                <w:b w:val="0"/>
                <w:bCs w:val="0"/>
                <w:color w:val="auto"/>
                <w:highlight w:val="none"/>
              </w:rPr>
              <w:t xml:space="preserve">项目外排废水环境影响减缓措施有效性评价 </w:t>
            </w:r>
          </w:p>
          <w:p w14:paraId="54F29DA6">
            <w:pPr>
              <w:ind w:firstLine="480"/>
              <w:rPr>
                <w:color w:val="auto"/>
                <w:highlight w:val="none"/>
              </w:rPr>
            </w:pPr>
            <w:r>
              <w:rPr>
                <w:rFonts w:hint="eastAsia" w:ascii="宋体" w:hAnsi="宋体" w:cs="宋体"/>
                <w:color w:val="auto"/>
                <w:kern w:val="0"/>
                <w:highlight w:val="none"/>
                <w:lang w:bidi="ar"/>
              </w:rPr>
              <w:t>据《常用污水处理设备及去除率》可知，化粪池对</w:t>
            </w:r>
            <w:r>
              <w:rPr>
                <w:rFonts w:hint="eastAsia" w:ascii="宋体" w:hAnsi="宋体" w:cs="宋体"/>
                <w:color w:val="auto"/>
                <w:kern w:val="0"/>
                <w:highlight w:val="none"/>
                <w:lang w:val="en-US" w:eastAsia="zh-CN" w:bidi="ar"/>
              </w:rPr>
              <w:t>食堂废水和</w:t>
            </w:r>
            <w:r>
              <w:rPr>
                <w:rFonts w:hint="eastAsia" w:ascii="宋体" w:hAnsi="宋体" w:cs="宋体"/>
                <w:color w:val="auto"/>
                <w:kern w:val="0"/>
                <w:highlight w:val="none"/>
                <w:lang w:bidi="ar"/>
              </w:rPr>
              <w:t>生活废水中主要污染物的去除率分别为：</w:t>
            </w:r>
            <w:r>
              <w:rPr>
                <w:color w:val="auto"/>
                <w:kern w:val="0"/>
                <w:highlight w:val="none"/>
                <w:lang w:bidi="ar"/>
              </w:rPr>
              <w:t>COD15%</w:t>
            </w:r>
            <w:r>
              <w:rPr>
                <w:rFonts w:hint="eastAsia" w:ascii="宋体" w:hAnsi="宋体" w:cs="宋体"/>
                <w:color w:val="auto"/>
                <w:kern w:val="0"/>
                <w:highlight w:val="none"/>
                <w:lang w:bidi="ar"/>
              </w:rPr>
              <w:t>、</w:t>
            </w:r>
            <w:r>
              <w:rPr>
                <w:color w:val="auto"/>
                <w:kern w:val="0"/>
                <w:highlight w:val="none"/>
                <w:lang w:bidi="ar"/>
              </w:rPr>
              <w:t>BOD</w:t>
            </w:r>
            <w:r>
              <w:rPr>
                <w:color w:val="auto"/>
                <w:kern w:val="0"/>
                <w:szCs w:val="15"/>
                <w:highlight w:val="none"/>
                <w:vertAlign w:val="subscript"/>
                <w:lang w:bidi="ar"/>
              </w:rPr>
              <w:t>5</w:t>
            </w:r>
            <w:r>
              <w:rPr>
                <w:color w:val="auto"/>
                <w:kern w:val="0"/>
                <w:highlight w:val="none"/>
                <w:lang w:bidi="ar"/>
              </w:rPr>
              <w:t>9%</w:t>
            </w:r>
            <w:r>
              <w:rPr>
                <w:rFonts w:hint="eastAsia" w:ascii="宋体" w:hAnsi="宋体" w:cs="宋体"/>
                <w:color w:val="auto"/>
                <w:kern w:val="0"/>
                <w:highlight w:val="none"/>
                <w:lang w:bidi="ar"/>
              </w:rPr>
              <w:t>、氨氮</w:t>
            </w:r>
            <w:r>
              <w:rPr>
                <w:color w:val="auto"/>
                <w:kern w:val="0"/>
                <w:highlight w:val="none"/>
                <w:lang w:bidi="ar"/>
              </w:rPr>
              <w:t>3%</w:t>
            </w:r>
            <w:r>
              <w:rPr>
                <w:rFonts w:hint="eastAsia" w:ascii="宋体" w:hAnsi="宋体" w:cs="宋体"/>
                <w:color w:val="auto"/>
                <w:kern w:val="0"/>
                <w:highlight w:val="none"/>
                <w:lang w:bidi="ar"/>
              </w:rPr>
              <w:t>、</w:t>
            </w:r>
            <w:r>
              <w:rPr>
                <w:color w:val="auto"/>
                <w:kern w:val="0"/>
                <w:highlight w:val="none"/>
                <w:lang w:bidi="ar"/>
              </w:rPr>
              <w:t>SS30%</w:t>
            </w:r>
            <w:r>
              <w:rPr>
                <w:rFonts w:hint="eastAsia" w:ascii="宋体" w:hAnsi="宋体" w:cs="宋体"/>
                <w:color w:val="auto"/>
                <w:kern w:val="0"/>
                <w:highlight w:val="none"/>
                <w:lang w:bidi="ar"/>
              </w:rPr>
              <w:t>，因此，项目</w:t>
            </w:r>
            <w:r>
              <w:rPr>
                <w:rFonts w:hint="eastAsia" w:ascii="宋体" w:hAnsi="宋体" w:cs="宋体"/>
                <w:color w:val="auto"/>
                <w:kern w:val="0"/>
                <w:highlight w:val="none"/>
                <w:lang w:val="en-US" w:eastAsia="zh-CN" w:bidi="ar"/>
              </w:rPr>
              <w:t>食堂废水和</w:t>
            </w:r>
            <w:r>
              <w:rPr>
                <w:rFonts w:hint="eastAsia" w:ascii="宋体" w:hAnsi="宋体" w:cs="宋体"/>
                <w:color w:val="auto"/>
                <w:kern w:val="0"/>
                <w:highlight w:val="none"/>
                <w:lang w:bidi="ar"/>
              </w:rPr>
              <w:t>生活废水经</w:t>
            </w:r>
            <w:r>
              <w:rPr>
                <w:rFonts w:hint="eastAsia" w:ascii="宋体" w:hAnsi="宋体" w:cs="宋体"/>
                <w:color w:val="auto"/>
                <w:kern w:val="0"/>
                <w:highlight w:val="none"/>
                <w:lang w:val="en-US" w:eastAsia="zh-CN" w:bidi="ar"/>
              </w:rPr>
              <w:t>厂区</w:t>
            </w:r>
            <w:r>
              <w:rPr>
                <w:rFonts w:hint="eastAsia" w:ascii="宋体" w:hAnsi="宋体" w:cs="宋体"/>
                <w:color w:val="auto"/>
                <w:kern w:val="0"/>
                <w:highlight w:val="none"/>
                <w:lang w:bidi="ar"/>
              </w:rPr>
              <w:t>化粪池处理后各主要污染物排放浓度为：</w:t>
            </w:r>
            <w:r>
              <w:rPr>
                <w:color w:val="auto"/>
                <w:kern w:val="0"/>
                <w:highlight w:val="none"/>
                <w:lang w:bidi="ar"/>
              </w:rPr>
              <w:t>COD</w:t>
            </w:r>
            <w:r>
              <w:rPr>
                <w:rFonts w:hint="eastAsia" w:ascii="宋体" w:hAnsi="宋体" w:cs="宋体"/>
                <w:color w:val="auto"/>
                <w:kern w:val="0"/>
                <w:highlight w:val="none"/>
                <w:lang w:bidi="ar"/>
              </w:rPr>
              <w:t>：</w:t>
            </w:r>
            <w:r>
              <w:rPr>
                <w:rFonts w:hint="eastAsia"/>
                <w:color w:val="auto"/>
                <w:kern w:val="0"/>
                <w:highlight w:val="none"/>
                <w:lang w:val="en-US" w:eastAsia="zh-CN" w:bidi="ar"/>
              </w:rPr>
              <w:t>347.8</w:t>
            </w:r>
            <w:r>
              <w:rPr>
                <w:color w:val="auto"/>
                <w:kern w:val="0"/>
                <w:highlight w:val="none"/>
                <w:lang w:bidi="ar"/>
              </w:rPr>
              <w:t>mg/L</w:t>
            </w:r>
            <w:r>
              <w:rPr>
                <w:rFonts w:hint="eastAsia" w:ascii="宋体" w:hAnsi="宋体" w:cs="宋体"/>
                <w:color w:val="auto"/>
                <w:kern w:val="0"/>
                <w:highlight w:val="none"/>
                <w:lang w:bidi="ar"/>
              </w:rPr>
              <w:t>，</w:t>
            </w:r>
            <w:r>
              <w:rPr>
                <w:color w:val="auto"/>
                <w:kern w:val="0"/>
                <w:highlight w:val="none"/>
                <w:lang w:bidi="ar"/>
              </w:rPr>
              <w:t>BOD</w:t>
            </w:r>
            <w:r>
              <w:rPr>
                <w:color w:val="auto"/>
                <w:kern w:val="0"/>
                <w:szCs w:val="15"/>
                <w:highlight w:val="none"/>
                <w:vertAlign w:val="subscript"/>
                <w:lang w:bidi="ar"/>
              </w:rPr>
              <w:t>5</w:t>
            </w:r>
            <w:r>
              <w:rPr>
                <w:rFonts w:hint="eastAsia" w:ascii="宋体" w:hAnsi="宋体" w:cs="宋体"/>
                <w:color w:val="auto"/>
                <w:kern w:val="0"/>
                <w:highlight w:val="none"/>
                <w:lang w:bidi="ar"/>
              </w:rPr>
              <w:t>：</w:t>
            </w:r>
            <w:r>
              <w:rPr>
                <w:rFonts w:hint="eastAsia"/>
                <w:color w:val="auto"/>
                <w:kern w:val="0"/>
                <w:highlight w:val="none"/>
                <w:lang w:val="en-US" w:eastAsia="zh-CN" w:bidi="ar"/>
              </w:rPr>
              <w:t>207</w:t>
            </w:r>
            <w:r>
              <w:rPr>
                <w:color w:val="auto"/>
                <w:highlight w:val="none"/>
              </w:rPr>
              <w:t>mg/L</w:t>
            </w:r>
            <w:r>
              <w:rPr>
                <w:rFonts w:hint="eastAsia"/>
                <w:color w:val="auto"/>
                <w:highlight w:val="none"/>
              </w:rPr>
              <w:t>，</w:t>
            </w:r>
            <w:r>
              <w:rPr>
                <w:color w:val="auto"/>
                <w:highlight w:val="none"/>
              </w:rPr>
              <w:t>SS</w:t>
            </w:r>
            <w:r>
              <w:rPr>
                <w:rFonts w:hint="eastAsia"/>
                <w:color w:val="auto"/>
                <w:highlight w:val="none"/>
              </w:rPr>
              <w:t>：</w:t>
            </w:r>
            <w:r>
              <w:rPr>
                <w:rFonts w:hint="eastAsia"/>
                <w:color w:val="auto"/>
                <w:highlight w:val="none"/>
                <w:lang w:val="en-US" w:eastAsia="zh-CN"/>
              </w:rPr>
              <w:t>143</w:t>
            </w:r>
            <w:r>
              <w:rPr>
                <w:color w:val="auto"/>
                <w:highlight w:val="none"/>
              </w:rPr>
              <w:t>mg/L</w:t>
            </w:r>
            <w:r>
              <w:rPr>
                <w:rFonts w:hint="eastAsia"/>
                <w:color w:val="auto"/>
                <w:highlight w:val="none"/>
              </w:rPr>
              <w:t>，</w:t>
            </w:r>
            <w:r>
              <w:rPr>
                <w:color w:val="auto"/>
                <w:highlight w:val="none"/>
              </w:rPr>
              <w:t>NH</w:t>
            </w:r>
            <w:r>
              <w:rPr>
                <w:color w:val="auto"/>
                <w:highlight w:val="none"/>
                <w:vertAlign w:val="subscript"/>
              </w:rPr>
              <w:t>3</w:t>
            </w:r>
            <w:r>
              <w:rPr>
                <w:color w:val="auto"/>
                <w:highlight w:val="none"/>
              </w:rPr>
              <w:t>-N</w:t>
            </w:r>
            <w:r>
              <w:rPr>
                <w:rFonts w:hint="eastAsia"/>
                <w:color w:val="auto"/>
                <w:highlight w:val="none"/>
              </w:rPr>
              <w:t>：</w:t>
            </w:r>
            <w:r>
              <w:rPr>
                <w:rFonts w:hint="eastAsia"/>
                <w:color w:val="auto"/>
                <w:highlight w:val="none"/>
                <w:lang w:val="en-US" w:eastAsia="zh-CN"/>
              </w:rPr>
              <w:t>33.5</w:t>
            </w:r>
            <w:r>
              <w:rPr>
                <w:color w:val="auto"/>
                <w:highlight w:val="none"/>
              </w:rPr>
              <w:t>mg/L</w:t>
            </w:r>
            <w:r>
              <w:rPr>
                <w:rFonts w:hint="eastAsia"/>
                <w:color w:val="auto"/>
                <w:highlight w:val="none"/>
                <w:lang w:eastAsia="zh-CN"/>
              </w:rPr>
              <w:t>，</w:t>
            </w:r>
            <w:r>
              <w:rPr>
                <w:rFonts w:hint="eastAsia"/>
                <w:color w:val="auto"/>
                <w:highlight w:val="none"/>
                <w:lang w:val="en-US" w:eastAsia="zh-CN"/>
              </w:rPr>
              <w:t>动植物油：4.5mg/L</w:t>
            </w:r>
            <w:r>
              <w:rPr>
                <w:rFonts w:hint="eastAsia" w:ascii="宋体" w:hAnsi="宋体" w:cs="宋体"/>
                <w:color w:val="auto"/>
                <w:kern w:val="0"/>
                <w:highlight w:val="none"/>
                <w:lang w:bidi="ar"/>
              </w:rPr>
              <w:t>；满足《污水综合排放标准》（</w:t>
            </w:r>
            <w:r>
              <w:rPr>
                <w:color w:val="auto"/>
                <w:kern w:val="0"/>
                <w:highlight w:val="none"/>
                <w:lang w:bidi="ar"/>
              </w:rPr>
              <w:t>GB8978-1996</w:t>
            </w:r>
            <w:r>
              <w:rPr>
                <w:rFonts w:hint="eastAsia" w:ascii="宋体" w:hAnsi="宋体" w:cs="宋体"/>
                <w:color w:val="auto"/>
                <w:kern w:val="0"/>
                <w:highlight w:val="none"/>
                <w:lang w:bidi="ar"/>
              </w:rPr>
              <w:t>）表</w:t>
            </w:r>
            <w:r>
              <w:rPr>
                <w:color w:val="auto"/>
                <w:kern w:val="0"/>
                <w:highlight w:val="none"/>
                <w:lang w:bidi="ar"/>
              </w:rPr>
              <w:t>4</w:t>
            </w:r>
            <w:r>
              <w:rPr>
                <w:rFonts w:hint="eastAsia" w:ascii="宋体" w:hAnsi="宋体" w:cs="宋体"/>
                <w:color w:val="auto"/>
                <w:kern w:val="0"/>
                <w:highlight w:val="none"/>
                <w:lang w:bidi="ar"/>
              </w:rPr>
              <w:t>三级标准（其中</w:t>
            </w:r>
            <w:r>
              <w:rPr>
                <w:color w:val="auto"/>
                <w:kern w:val="0"/>
                <w:highlight w:val="none"/>
                <w:lang w:bidi="ar"/>
              </w:rPr>
              <w:t>NH</w:t>
            </w:r>
            <w:r>
              <w:rPr>
                <w:color w:val="auto"/>
                <w:kern w:val="0"/>
                <w:szCs w:val="15"/>
                <w:highlight w:val="none"/>
                <w:vertAlign w:val="subscript"/>
                <w:lang w:bidi="ar"/>
              </w:rPr>
              <w:t>3</w:t>
            </w:r>
            <w:r>
              <w:rPr>
                <w:color w:val="auto"/>
                <w:kern w:val="0"/>
                <w:highlight w:val="none"/>
                <w:lang w:bidi="ar"/>
              </w:rPr>
              <w:t>-N</w:t>
            </w:r>
            <w:r>
              <w:rPr>
                <w:rFonts w:hint="eastAsia" w:ascii="宋体" w:hAnsi="宋体" w:cs="宋体"/>
                <w:color w:val="auto"/>
                <w:kern w:val="0"/>
                <w:highlight w:val="none"/>
                <w:lang w:bidi="ar"/>
              </w:rPr>
              <w:t>参照《污水排入城镇下水道水质标准》（</w:t>
            </w:r>
            <w:r>
              <w:rPr>
                <w:color w:val="auto"/>
                <w:kern w:val="0"/>
                <w:highlight w:val="none"/>
                <w:lang w:bidi="ar"/>
              </w:rPr>
              <w:t>GB/T31962-2015</w:t>
            </w:r>
            <w:r>
              <w:rPr>
                <w:rFonts w:hint="eastAsia" w:ascii="宋体" w:hAnsi="宋体" w:cs="宋体"/>
                <w:color w:val="auto"/>
                <w:kern w:val="0"/>
                <w:highlight w:val="none"/>
                <w:lang w:bidi="ar"/>
              </w:rPr>
              <w:t>）表</w:t>
            </w:r>
            <w:r>
              <w:rPr>
                <w:color w:val="auto"/>
                <w:kern w:val="0"/>
                <w:highlight w:val="none"/>
                <w:lang w:bidi="ar"/>
              </w:rPr>
              <w:t>1</w:t>
            </w:r>
            <w:r>
              <w:rPr>
                <w:rFonts w:hint="eastAsia" w:ascii="宋体" w:hAnsi="宋体" w:cs="宋体"/>
                <w:color w:val="auto"/>
                <w:kern w:val="0"/>
                <w:highlight w:val="none"/>
                <w:lang w:bidi="ar"/>
              </w:rPr>
              <w:t>中的</w:t>
            </w:r>
            <w:r>
              <w:rPr>
                <w:color w:val="auto"/>
                <w:highlight w:val="none"/>
              </w:rPr>
              <w:t>B</w:t>
            </w:r>
            <w:r>
              <w:rPr>
                <w:rFonts w:hint="eastAsia"/>
                <w:color w:val="auto"/>
                <w:highlight w:val="none"/>
              </w:rPr>
              <w:t>级标准），满足金港工业区生活污水处理厂接收要求，措施有效。</w:t>
            </w:r>
          </w:p>
          <w:p w14:paraId="1308EF71">
            <w:pPr>
              <w:bidi w:val="0"/>
              <w:rPr>
                <w:color w:val="auto"/>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rFonts w:hint="eastAsia"/>
                <w:color w:val="auto"/>
                <w:highlight w:val="none"/>
              </w:rPr>
              <w:t>依托集中污水处理厂的可行性分析</w:t>
            </w:r>
          </w:p>
          <w:p w14:paraId="38956328">
            <w:pPr>
              <w:bidi w:val="0"/>
              <w:rPr>
                <w:rFonts w:hint="default"/>
                <w:color w:val="auto"/>
                <w:highlight w:val="none"/>
              </w:rPr>
            </w:pPr>
            <w:r>
              <w:rPr>
                <w:rFonts w:hint="default"/>
                <w:color w:val="auto"/>
                <w:highlight w:val="none"/>
              </w:rPr>
              <w:t>项目食堂废水经隔油预处理后，与职工日常生活</w:t>
            </w:r>
            <w:r>
              <w:rPr>
                <w:rFonts w:hint="eastAsia"/>
                <w:color w:val="auto"/>
                <w:highlight w:val="none"/>
                <w:lang w:val="en-US" w:eastAsia="zh-CN"/>
              </w:rPr>
              <w:t>废水</w:t>
            </w:r>
            <w:r>
              <w:rPr>
                <w:rFonts w:hint="default"/>
                <w:color w:val="auto"/>
                <w:highlight w:val="none"/>
              </w:rPr>
              <w:t>一并经化粪池处理</w:t>
            </w:r>
            <w:r>
              <w:rPr>
                <w:rFonts w:hint="eastAsia"/>
                <w:color w:val="auto"/>
                <w:highlight w:val="none"/>
                <w:lang w:val="en-US" w:eastAsia="zh-CN"/>
              </w:rPr>
              <w:t>后</w:t>
            </w:r>
            <w:r>
              <w:rPr>
                <w:rFonts w:hint="default"/>
                <w:color w:val="auto"/>
                <w:highlight w:val="none"/>
              </w:rPr>
              <w:t>通过市政污水管道，纳入金港工业区生活污水处理厂集中处理。</w:t>
            </w:r>
          </w:p>
          <w:p w14:paraId="16F4D1B3">
            <w:pPr>
              <w:bidi w:val="0"/>
              <w:rPr>
                <w:rFonts w:hint="default"/>
                <w:color w:val="auto"/>
                <w:highlight w:val="none"/>
              </w:rPr>
            </w:pPr>
            <w:r>
              <w:rPr>
                <w:rFonts w:hint="default"/>
                <w:color w:val="auto"/>
                <w:highlight w:val="none"/>
              </w:rPr>
              <w:t>①水质可行性</w:t>
            </w:r>
            <w:r>
              <w:rPr>
                <w:rFonts w:hint="eastAsia"/>
                <w:color w:val="auto"/>
                <w:highlight w:val="none"/>
                <w:lang w:eastAsia="zh-CN"/>
              </w:rPr>
              <w:t>：</w:t>
            </w:r>
            <w:r>
              <w:rPr>
                <w:rFonts w:hint="default"/>
                <w:color w:val="auto"/>
                <w:highlight w:val="none"/>
              </w:rPr>
              <w:t>项目排放的食堂废水、职工生活</w:t>
            </w:r>
            <w:r>
              <w:rPr>
                <w:rFonts w:hint="eastAsia"/>
                <w:color w:val="auto"/>
                <w:highlight w:val="none"/>
                <w:lang w:val="en-US" w:eastAsia="zh-CN"/>
              </w:rPr>
              <w:t>废水</w:t>
            </w:r>
            <w:r>
              <w:rPr>
                <w:rFonts w:hint="default"/>
                <w:color w:val="auto"/>
                <w:highlight w:val="none"/>
              </w:rPr>
              <w:t>，水质较为简单，不涉及有毒有害污染物，不涉及持久性、重金属，也不含有腐蚀成分，先经化粪池处理后，水质可达《污水综合排放标准》（GB8978-1996）三级标准，可满足金港工业区生活污水处理厂进水水质标准要求，不会对金港工业区生活污水处理厂造成水质冲击负荷影响，也不会对市政污水管道产生腐蚀影响。</w:t>
            </w:r>
          </w:p>
          <w:p w14:paraId="6CBBDDFD">
            <w:pPr>
              <w:bidi w:val="0"/>
              <w:rPr>
                <w:rFonts w:hint="default"/>
                <w:color w:val="auto"/>
                <w:highlight w:val="none"/>
              </w:rPr>
            </w:pPr>
            <w:r>
              <w:rPr>
                <w:rFonts w:hint="default"/>
                <w:color w:val="auto"/>
                <w:highlight w:val="none"/>
              </w:rPr>
              <w:t>②水量可行性</w:t>
            </w:r>
            <w:r>
              <w:rPr>
                <w:rFonts w:hint="eastAsia"/>
                <w:color w:val="auto"/>
                <w:highlight w:val="none"/>
                <w:lang w:eastAsia="zh-CN"/>
              </w:rPr>
              <w:t>：</w:t>
            </w:r>
            <w:r>
              <w:rPr>
                <w:rFonts w:hint="default"/>
                <w:color w:val="auto"/>
                <w:highlight w:val="none"/>
              </w:rPr>
              <w:t>金港工业区生活污水处理厂处理规模为2000t/d，采用Carrousel氧化沟污水处理工艺，主要收集处理宝钢德盛不锈钢有限公司和福建罗源闽光钢铁有限责任公司排放的生活污水，收集处理水量达500~600</w:t>
            </w:r>
            <w:r>
              <w:rPr>
                <w:rFonts w:hint="eastAsia"/>
                <w:color w:val="auto"/>
                <w:highlight w:val="none"/>
                <w:lang w:val="en-US" w:eastAsia="zh-CN"/>
              </w:rPr>
              <w:t>t</w:t>
            </w:r>
            <w:r>
              <w:rPr>
                <w:rFonts w:hint="default"/>
                <w:color w:val="auto"/>
                <w:highlight w:val="none"/>
              </w:rPr>
              <w:t>/</w:t>
            </w:r>
            <w:r>
              <w:rPr>
                <w:rFonts w:hint="eastAsia"/>
                <w:color w:val="auto"/>
                <w:highlight w:val="none"/>
                <w:lang w:val="en-US" w:eastAsia="zh-CN"/>
              </w:rPr>
              <w:t>d</w:t>
            </w:r>
            <w:r>
              <w:rPr>
                <w:rFonts w:hint="default"/>
                <w:color w:val="auto"/>
                <w:highlight w:val="none"/>
              </w:rPr>
              <w:t>，目前剩下1400</w:t>
            </w:r>
            <w:r>
              <w:rPr>
                <w:rFonts w:hint="eastAsia"/>
                <w:color w:val="auto"/>
                <w:highlight w:val="none"/>
                <w:lang w:val="en-US" w:eastAsia="zh-CN"/>
              </w:rPr>
              <w:t>t</w:t>
            </w:r>
            <w:r>
              <w:rPr>
                <w:rFonts w:hint="default"/>
                <w:color w:val="auto"/>
                <w:highlight w:val="none"/>
              </w:rPr>
              <w:t>/</w:t>
            </w:r>
            <w:r>
              <w:rPr>
                <w:rFonts w:hint="eastAsia"/>
                <w:color w:val="auto"/>
                <w:highlight w:val="none"/>
                <w:lang w:val="en-US" w:eastAsia="zh-CN"/>
              </w:rPr>
              <w:t>d</w:t>
            </w:r>
            <w:r>
              <w:rPr>
                <w:rFonts w:hint="default"/>
                <w:color w:val="auto"/>
                <w:highlight w:val="none"/>
              </w:rPr>
              <w:t>的废水处理能力，可以接纳本项目排放的</w:t>
            </w:r>
            <w:r>
              <w:rPr>
                <w:rFonts w:hint="eastAsia"/>
                <w:color w:val="auto"/>
                <w:highlight w:val="none"/>
                <w:lang w:val="en-US" w:eastAsia="zh-CN"/>
              </w:rPr>
              <w:t>2.08</w:t>
            </w:r>
            <w:r>
              <w:rPr>
                <w:rFonts w:hint="default"/>
                <w:color w:val="auto"/>
                <w:highlight w:val="none"/>
              </w:rPr>
              <w:t>t/d</w:t>
            </w:r>
            <w:r>
              <w:rPr>
                <w:rFonts w:hint="eastAsia"/>
                <w:color w:val="auto"/>
                <w:highlight w:val="none"/>
                <w:lang w:val="en-US" w:eastAsia="zh-CN"/>
              </w:rPr>
              <w:t>废水</w:t>
            </w:r>
            <w:r>
              <w:rPr>
                <w:rFonts w:hint="default"/>
                <w:color w:val="auto"/>
                <w:highlight w:val="none"/>
              </w:rPr>
              <w:t>进行处理，因此项目</w:t>
            </w:r>
            <w:r>
              <w:rPr>
                <w:rFonts w:hint="eastAsia"/>
                <w:color w:val="auto"/>
                <w:highlight w:val="none"/>
                <w:lang w:val="en-US" w:eastAsia="zh-CN"/>
              </w:rPr>
              <w:t>废水</w:t>
            </w:r>
            <w:r>
              <w:rPr>
                <w:rFonts w:hint="default"/>
                <w:color w:val="auto"/>
                <w:highlight w:val="none"/>
              </w:rPr>
              <w:t xml:space="preserve">排放不会对金港工业区生活污水处理厂造成水量冲击负荷影响。 </w:t>
            </w:r>
          </w:p>
          <w:p w14:paraId="15C3BA97">
            <w:pPr>
              <w:widowControl/>
              <w:ind w:firstLine="480"/>
              <w:jc w:val="left"/>
              <w:rPr>
                <w:rFonts w:hint="default"/>
                <w:color w:val="auto"/>
                <w:highlight w:val="none"/>
              </w:rPr>
            </w:pPr>
            <w:r>
              <w:rPr>
                <w:rFonts w:hint="default"/>
                <w:color w:val="auto"/>
                <w:highlight w:val="none"/>
              </w:rPr>
              <w:t>③管网衔接可行性</w:t>
            </w:r>
            <w:r>
              <w:rPr>
                <w:rFonts w:hint="eastAsia"/>
                <w:color w:val="auto"/>
                <w:highlight w:val="none"/>
                <w:lang w:eastAsia="zh-CN"/>
              </w:rPr>
              <w:t>：</w:t>
            </w:r>
            <w:r>
              <w:rPr>
                <w:rFonts w:hint="default"/>
                <w:color w:val="auto"/>
                <w:highlight w:val="none"/>
              </w:rPr>
              <w:t>金港工业区生活污水处理厂位于宝钢德盛不锈钢有限公司厂区西南边界处，本项目厂址在金港工业区生活污水处理厂服务范围内，根据调查了解，项目区市政污水管道将先于本项目投产前完成埋设，项目运营投产时，</w:t>
            </w:r>
            <w:r>
              <w:rPr>
                <w:rFonts w:hint="eastAsia"/>
                <w:color w:val="auto"/>
                <w:highlight w:val="none"/>
                <w:lang w:val="en-US" w:eastAsia="zh-CN"/>
              </w:rPr>
              <w:t>项目排放废水</w:t>
            </w:r>
            <w:r>
              <w:rPr>
                <w:rFonts w:hint="default"/>
                <w:color w:val="auto"/>
                <w:highlight w:val="none"/>
              </w:rPr>
              <w:t>可通过市政污水管道排入金港工业区生活污水处理厂处理</w:t>
            </w:r>
            <w:r>
              <w:rPr>
                <w:rFonts w:hint="eastAsia"/>
                <w:color w:val="auto"/>
                <w:highlight w:val="none"/>
                <w:lang w:eastAsia="zh-CN"/>
              </w:rPr>
              <w:t>（</w:t>
            </w:r>
            <w:r>
              <w:rPr>
                <w:rFonts w:hint="eastAsia"/>
                <w:color w:val="auto"/>
                <w:highlight w:val="none"/>
                <w:lang w:val="en-US" w:eastAsia="zh-CN"/>
              </w:rPr>
              <w:t>纳管证明详见附件8</w:t>
            </w:r>
            <w:r>
              <w:rPr>
                <w:rFonts w:hint="eastAsia"/>
                <w:color w:val="auto"/>
                <w:highlight w:val="none"/>
                <w:lang w:eastAsia="zh-CN"/>
              </w:rPr>
              <w:t>）</w:t>
            </w:r>
            <w:r>
              <w:rPr>
                <w:rFonts w:hint="default"/>
                <w:color w:val="auto"/>
                <w:highlight w:val="none"/>
              </w:rPr>
              <w:t>。综上，项目</w:t>
            </w:r>
            <w:r>
              <w:rPr>
                <w:rFonts w:hint="eastAsia"/>
                <w:color w:val="auto"/>
                <w:highlight w:val="none"/>
                <w:lang w:val="en-US" w:eastAsia="zh-CN"/>
              </w:rPr>
              <w:t>排放废水</w:t>
            </w:r>
            <w:r>
              <w:rPr>
                <w:rFonts w:hint="default"/>
                <w:color w:val="auto"/>
                <w:highlight w:val="none"/>
              </w:rPr>
              <w:t>经收集处理达标后可以纳入</w:t>
            </w:r>
            <w:r>
              <w:rPr>
                <w:rFonts w:hint="default"/>
                <w:color w:val="auto"/>
                <w:highlight w:val="none"/>
                <w:lang w:eastAsia="zh-CN"/>
              </w:rPr>
              <w:t>金港工业区生活污水处理厂</w:t>
            </w:r>
            <w:r>
              <w:rPr>
                <w:rFonts w:hint="default"/>
                <w:color w:val="auto"/>
                <w:highlight w:val="none"/>
              </w:rPr>
              <w:t>进一步处理，措施可行，不会对区域地表水环境产生直接不利影响。</w:t>
            </w:r>
          </w:p>
          <w:p w14:paraId="671A0E8C">
            <w:pPr>
              <w:bidi w:val="0"/>
              <w:rPr>
                <w:b/>
                <w:bCs/>
                <w:color w:val="auto"/>
                <w:highlight w:val="none"/>
              </w:rPr>
            </w:pPr>
            <w:r>
              <w:rPr>
                <w:rFonts w:hint="eastAsia"/>
                <w:b/>
                <w:bCs/>
                <w:color w:val="auto"/>
                <w:highlight w:val="none"/>
                <w:lang w:val="en-US" w:eastAsia="zh-CN"/>
              </w:rPr>
              <w:t xml:space="preserve">3、初期雨水收集可行性分析 </w:t>
            </w:r>
          </w:p>
          <w:p w14:paraId="26928129">
            <w:pPr>
              <w:keepNext w:val="0"/>
              <w:keepLines w:val="0"/>
              <w:widowControl/>
              <w:suppressLineNumbers w:val="0"/>
              <w:jc w:val="left"/>
              <w:rPr>
                <w:rFonts w:hint="eastAsia"/>
                <w:color w:val="auto"/>
                <w:highlight w:val="none"/>
                <w:lang w:val="en-US" w:eastAsia="zh-CN"/>
              </w:rPr>
            </w:pPr>
            <w:r>
              <w:rPr>
                <w:rFonts w:hint="eastAsia" w:ascii="宋体" w:hAnsi="宋体" w:eastAsia="宋体" w:cs="宋体"/>
                <w:color w:val="auto"/>
                <w:kern w:val="0"/>
                <w:sz w:val="24"/>
                <w:szCs w:val="24"/>
                <w:highlight w:val="none"/>
                <w:lang w:val="en-US" w:eastAsia="zh-CN" w:bidi="ar"/>
              </w:rPr>
              <w:t>建设单位在项目厂区设置雨水管网，雨水管网与沉淀池相连接，初期雨水经雨水管网收集后汇入沉淀池处理。根据初期雨水量估算结果，项目一次初期雨水量为</w:t>
            </w:r>
            <w:r>
              <w:rPr>
                <w:rFonts w:hint="eastAsia" w:ascii="Times New Roman" w:hAnsi="Times New Roman" w:eastAsia="宋体" w:cs="Times New Roman"/>
                <w:color w:val="auto"/>
                <w:kern w:val="0"/>
                <w:sz w:val="24"/>
                <w:szCs w:val="24"/>
                <w:highlight w:val="none"/>
                <w:lang w:val="en-US" w:eastAsia="zh-CN" w:bidi="ar"/>
              </w:rPr>
              <w:t>1</w:t>
            </w:r>
            <w:r>
              <w:rPr>
                <w:rFonts w:hint="eastAsia" w:cs="Times New Roman"/>
                <w:color w:val="auto"/>
                <w:kern w:val="0"/>
                <w:sz w:val="24"/>
                <w:szCs w:val="24"/>
                <w:highlight w:val="none"/>
                <w:lang w:val="en-US" w:eastAsia="zh-CN" w:bidi="ar"/>
              </w:rPr>
              <w:t>03</w:t>
            </w:r>
            <w:r>
              <w:rPr>
                <w:rFonts w:hint="default" w:ascii="Times New Roman" w:hAnsi="Times New Roman" w:eastAsia="宋体" w:cs="Times New Roman"/>
                <w:color w:val="auto"/>
                <w:kern w:val="0"/>
                <w:sz w:val="24"/>
                <w:szCs w:val="24"/>
                <w:highlight w:val="none"/>
                <w:lang w:val="en-US" w:eastAsia="zh-CN" w:bidi="ar"/>
              </w:rPr>
              <w:t>m</w:t>
            </w:r>
            <w:r>
              <w:rPr>
                <w:rFonts w:hint="eastAsia" w:ascii="Times New Roman" w:hAnsi="Times New Roman" w:eastAsia="宋体" w:cs="Times New Roman"/>
                <w:color w:val="auto"/>
                <w:kern w:val="0"/>
                <w:sz w:val="24"/>
                <w:szCs w:val="24"/>
                <w:highlight w:val="none"/>
                <w:vertAlign w:val="superscript"/>
                <w:lang w:val="en-US" w:eastAsia="zh-CN" w:bidi="ar"/>
              </w:rPr>
              <w:t>3</w:t>
            </w:r>
            <w:r>
              <w:rPr>
                <w:rFonts w:hint="eastAsia" w:ascii="宋体" w:hAnsi="宋体" w:eastAsia="宋体" w:cs="宋体"/>
                <w:color w:val="auto"/>
                <w:kern w:val="0"/>
                <w:sz w:val="24"/>
                <w:szCs w:val="24"/>
                <w:highlight w:val="none"/>
                <w:lang w:val="en-US" w:eastAsia="zh-CN" w:bidi="ar"/>
              </w:rPr>
              <w:t>，建设单位拟在厂区平缓处修建容积</w:t>
            </w:r>
            <w:r>
              <w:rPr>
                <w:rFonts w:hint="eastAsia"/>
                <w:color w:val="auto"/>
                <w:highlight w:val="none"/>
                <w:lang w:val="en-US" w:eastAsia="zh-CN"/>
              </w:rPr>
              <w:t>为105</w:t>
            </w:r>
            <w:r>
              <w:rPr>
                <w:rFonts w:hint="default" w:ascii="Times New Roman" w:hAnsi="Times New Roman" w:eastAsia="宋体" w:cs="Times New Roman"/>
                <w:color w:val="auto"/>
                <w:kern w:val="0"/>
                <w:sz w:val="24"/>
                <w:szCs w:val="24"/>
                <w:highlight w:val="none"/>
                <w:lang w:val="en-US" w:eastAsia="zh-CN" w:bidi="ar"/>
              </w:rPr>
              <w:t>m</w:t>
            </w:r>
            <w:r>
              <w:rPr>
                <w:rFonts w:hint="eastAsia" w:ascii="Times New Roman" w:hAnsi="Times New Roman" w:eastAsia="宋体" w:cs="Times New Roman"/>
                <w:color w:val="auto"/>
                <w:kern w:val="0"/>
                <w:sz w:val="24"/>
                <w:szCs w:val="24"/>
                <w:highlight w:val="none"/>
                <w:vertAlign w:val="superscript"/>
                <w:lang w:val="en-US" w:eastAsia="zh-CN" w:bidi="ar"/>
              </w:rPr>
              <w:t>3</w:t>
            </w:r>
            <w:r>
              <w:rPr>
                <w:rFonts w:hint="eastAsia" w:ascii="宋体" w:hAnsi="宋体" w:eastAsia="宋体" w:cs="宋体"/>
                <w:color w:val="auto"/>
                <w:kern w:val="0"/>
                <w:sz w:val="24"/>
                <w:szCs w:val="24"/>
                <w:highlight w:val="none"/>
                <w:lang w:val="en-US" w:eastAsia="zh-CN" w:bidi="ar"/>
              </w:rPr>
              <w:t>的初期雨水池，可确保容纳最大一次初期雨水量。</w:t>
            </w:r>
          </w:p>
          <w:p w14:paraId="13D64AF6">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综上所述，本项目所采取的水污染控制和水环境影响减缓措施有效，</w:t>
            </w:r>
            <w:r>
              <w:rPr>
                <w:rFonts w:hint="eastAsia" w:ascii="宋体" w:hAnsi="宋体" w:cs="宋体"/>
                <w:color w:val="auto"/>
                <w:kern w:val="0"/>
                <w:highlight w:val="none"/>
                <w:lang w:bidi="ar"/>
              </w:rPr>
              <w:t>本项目废水不会对金港工业区生活污水处理厂的正常运行造成不利影响</w:t>
            </w:r>
            <w:r>
              <w:rPr>
                <w:rFonts w:hint="eastAsia" w:ascii="宋体" w:hAnsi="宋体" w:eastAsia="宋体" w:cs="宋体"/>
                <w:color w:val="auto"/>
                <w:kern w:val="0"/>
                <w:sz w:val="24"/>
                <w:szCs w:val="24"/>
                <w:highlight w:val="none"/>
                <w:lang w:val="en-US" w:eastAsia="zh-CN" w:bidi="ar"/>
              </w:rPr>
              <w:t>，车辆冲洗废水回用具有环境可行性，项目地表水环境影响可以接受。</w:t>
            </w:r>
          </w:p>
          <w:p w14:paraId="33EC3DB7">
            <w:pPr>
              <w:pStyle w:val="4"/>
              <w:rPr>
                <w:color w:val="auto"/>
                <w:highlight w:val="none"/>
              </w:rPr>
            </w:pPr>
            <w:r>
              <w:rPr>
                <w:color w:val="auto"/>
                <w:highlight w:val="none"/>
              </w:rPr>
              <w:t>4.</w:t>
            </w:r>
            <w:r>
              <w:rPr>
                <w:rFonts w:hint="eastAsia"/>
                <w:color w:val="auto"/>
                <w:highlight w:val="none"/>
              </w:rPr>
              <w:t>2.3</w:t>
            </w:r>
            <w:r>
              <w:rPr>
                <w:color w:val="auto"/>
                <w:highlight w:val="none"/>
              </w:rPr>
              <w:t>运营期声环境影响分析和污染防治措施</w:t>
            </w:r>
          </w:p>
          <w:p w14:paraId="01185628">
            <w:pPr>
              <w:pStyle w:val="5"/>
              <w:rPr>
                <w:color w:val="auto"/>
                <w:highlight w:val="none"/>
              </w:rPr>
            </w:pPr>
            <w:r>
              <w:rPr>
                <w:color w:val="auto"/>
                <w:highlight w:val="none"/>
              </w:rPr>
              <w:t>4.</w:t>
            </w:r>
            <w:r>
              <w:rPr>
                <w:rFonts w:hint="eastAsia"/>
                <w:color w:val="auto"/>
                <w:highlight w:val="none"/>
              </w:rPr>
              <w:t>2.3.1</w:t>
            </w:r>
            <w:r>
              <w:rPr>
                <w:color w:val="auto"/>
                <w:highlight w:val="none"/>
              </w:rPr>
              <w:t xml:space="preserve"> 运营期噪声源强核算</w:t>
            </w:r>
          </w:p>
          <w:p w14:paraId="511C5261">
            <w:pPr>
              <w:ind w:firstLine="480"/>
              <w:rPr>
                <w:b/>
                <w:color w:val="auto"/>
                <w:highlight w:val="none"/>
              </w:rPr>
            </w:pPr>
            <w:r>
              <w:rPr>
                <w:color w:val="auto"/>
                <w:highlight w:val="none"/>
              </w:rPr>
              <w:t>本项目主要的噪声污染源为</w:t>
            </w:r>
            <w:r>
              <w:rPr>
                <w:rFonts w:hint="eastAsia"/>
                <w:color w:val="auto"/>
                <w:highlight w:val="none"/>
              </w:rPr>
              <w:t>项目生产设备</w:t>
            </w:r>
            <w:r>
              <w:rPr>
                <w:color w:val="auto"/>
                <w:highlight w:val="none"/>
              </w:rPr>
              <w:t>运行</w:t>
            </w:r>
            <w:r>
              <w:rPr>
                <w:rFonts w:hint="eastAsia"/>
                <w:color w:val="auto"/>
                <w:highlight w:val="none"/>
              </w:rPr>
              <w:t>过程中</w:t>
            </w:r>
            <w:r>
              <w:rPr>
                <w:color w:val="auto"/>
                <w:highlight w:val="none"/>
              </w:rPr>
              <w:t>产生的噪声，根据类比分析，</w:t>
            </w:r>
            <w:r>
              <w:rPr>
                <w:rFonts w:hint="eastAsia"/>
                <w:color w:val="auto"/>
                <w:highlight w:val="none"/>
              </w:rPr>
              <w:t>本项目室内噪声源强调查清单详见表4.2-</w:t>
            </w:r>
            <w:r>
              <w:rPr>
                <w:rFonts w:hint="eastAsia"/>
                <w:color w:val="auto"/>
                <w:highlight w:val="none"/>
                <w:lang w:val="en-US" w:eastAsia="zh-CN"/>
              </w:rPr>
              <w:t>20</w:t>
            </w:r>
            <w:r>
              <w:rPr>
                <w:color w:val="auto"/>
                <w:highlight w:val="none"/>
              </w:rPr>
              <w:t>。</w:t>
            </w:r>
          </w:p>
          <w:p w14:paraId="01F95C36">
            <w:pPr>
              <w:pStyle w:val="59"/>
              <w:ind w:left="0" w:firstLine="0" w:firstLineChars="0"/>
              <w:rPr>
                <w:color w:val="auto"/>
                <w:highlight w:val="none"/>
              </w:rPr>
            </w:pPr>
            <w:r>
              <w:rPr>
                <w:color w:val="auto"/>
                <w:highlight w:val="none"/>
              </w:rPr>
              <w:t>表</w:t>
            </w:r>
            <w:r>
              <w:rPr>
                <w:rFonts w:hint="eastAsia"/>
                <w:color w:val="auto"/>
                <w:highlight w:val="none"/>
              </w:rPr>
              <w:t>4.2-</w:t>
            </w:r>
            <w:r>
              <w:rPr>
                <w:rFonts w:hint="eastAsia"/>
                <w:color w:val="auto"/>
                <w:highlight w:val="none"/>
                <w:lang w:val="en-US" w:eastAsia="zh-CN"/>
              </w:rPr>
              <w:t>20</w:t>
            </w:r>
            <w:r>
              <w:rPr>
                <w:rFonts w:hint="eastAsia"/>
                <w:color w:val="auto"/>
                <w:highlight w:val="none"/>
              </w:rPr>
              <w:t xml:space="preserve"> </w:t>
            </w:r>
            <w:r>
              <w:rPr>
                <w:color w:val="auto"/>
                <w:highlight w:val="none"/>
              </w:rPr>
              <w:t xml:space="preserve"> 项目主要设备噪声一览表</w:t>
            </w:r>
            <w:r>
              <w:rPr>
                <w:rFonts w:hint="eastAsia"/>
                <w:color w:val="auto"/>
                <w:highlight w:val="none"/>
              </w:rPr>
              <w:t xml:space="preserve">  </w:t>
            </w:r>
            <w:r>
              <w:rPr>
                <w:color w:val="auto"/>
                <w:highlight w:val="none"/>
              </w:rPr>
              <w:t>单位：dB(A)</w:t>
            </w:r>
          </w:p>
          <w:tbl>
            <w:tblPr>
              <w:tblStyle w:val="129"/>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2276"/>
              <w:gridCol w:w="1508"/>
              <w:gridCol w:w="2698"/>
              <w:gridCol w:w="1937"/>
            </w:tblGrid>
            <w:tr w14:paraId="668DA04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351" w:type="pct"/>
                  <w:tcBorders>
                    <w:tl2br w:val="nil"/>
                    <w:tr2bl w:val="nil"/>
                  </w:tcBorders>
                  <w:noWrap w:val="0"/>
                  <w:vAlign w:val="center"/>
                </w:tcPr>
                <w:p w14:paraId="5ED0E1A7">
                  <w:pPr>
                    <w:widowControl w:val="0"/>
                    <w:kinsoku/>
                    <w:autoSpaceDE/>
                    <w:autoSpaceDN/>
                    <w:adjustRightInd/>
                    <w:snapToGrid/>
                    <w:spacing w:line="340" w:lineRule="exact"/>
                    <w:ind w:firstLine="0" w:firstLineChars="0"/>
                    <w:jc w:val="center"/>
                    <w:textAlignment w:val="auto"/>
                    <w:rPr>
                      <w:rFonts w:hint="eastAsia" w:ascii="Times New Roman" w:hAnsi="Times New Roman" w:eastAsia="宋体" w:cs="Times New Roman"/>
                      <w:b/>
                      <w:bCs/>
                      <w:snapToGrid/>
                      <w:color w:val="auto"/>
                      <w:kern w:val="2"/>
                      <w:sz w:val="21"/>
                      <w:szCs w:val="21"/>
                      <w:highlight w:val="none"/>
                      <w:lang w:eastAsia="zh-CN" w:bidi="ar"/>
                    </w:rPr>
                  </w:pPr>
                  <w:r>
                    <w:rPr>
                      <w:rFonts w:hint="eastAsia" w:ascii="Times New Roman" w:hAnsi="Times New Roman" w:eastAsia="宋体" w:cs="Times New Roman"/>
                      <w:b/>
                      <w:bCs/>
                      <w:snapToGrid/>
                      <w:color w:val="auto"/>
                      <w:kern w:val="2"/>
                      <w:sz w:val="21"/>
                      <w:szCs w:val="21"/>
                      <w:highlight w:val="none"/>
                      <w:lang w:eastAsia="zh-CN" w:bidi="ar"/>
                    </w:rPr>
                    <w:t>噪声源</w:t>
                  </w:r>
                </w:p>
              </w:tc>
              <w:tc>
                <w:tcPr>
                  <w:tcW w:w="895" w:type="pct"/>
                  <w:tcBorders>
                    <w:tl2br w:val="nil"/>
                    <w:tr2bl w:val="nil"/>
                  </w:tcBorders>
                  <w:noWrap w:val="0"/>
                  <w:vAlign w:val="center"/>
                </w:tcPr>
                <w:p w14:paraId="45585A8D">
                  <w:pPr>
                    <w:widowControl w:val="0"/>
                    <w:kinsoku/>
                    <w:autoSpaceDE/>
                    <w:autoSpaceDN/>
                    <w:adjustRightInd/>
                    <w:snapToGrid/>
                    <w:spacing w:line="340" w:lineRule="exact"/>
                    <w:ind w:firstLine="0" w:firstLineChars="0"/>
                    <w:jc w:val="center"/>
                    <w:textAlignment w:val="auto"/>
                    <w:rPr>
                      <w:rFonts w:hint="eastAsia" w:ascii="Times New Roman" w:hAnsi="Times New Roman" w:eastAsia="宋体" w:cs="Times New Roman"/>
                      <w:b/>
                      <w:bCs/>
                      <w:snapToGrid/>
                      <w:color w:val="auto"/>
                      <w:kern w:val="2"/>
                      <w:sz w:val="21"/>
                      <w:szCs w:val="21"/>
                      <w:highlight w:val="none"/>
                      <w:lang w:eastAsia="zh-CN" w:bidi="ar"/>
                    </w:rPr>
                  </w:pPr>
                  <w:r>
                    <w:rPr>
                      <w:rFonts w:hint="eastAsia" w:ascii="Times New Roman" w:hAnsi="Times New Roman" w:eastAsia="宋体" w:cs="Times New Roman"/>
                      <w:b/>
                      <w:bCs/>
                      <w:snapToGrid/>
                      <w:color w:val="auto"/>
                      <w:kern w:val="2"/>
                      <w:sz w:val="21"/>
                      <w:szCs w:val="21"/>
                      <w:highlight w:val="none"/>
                      <w:lang w:eastAsia="zh-CN" w:bidi="ar"/>
                    </w:rPr>
                    <w:t>产生强度</w:t>
                  </w:r>
                </w:p>
              </w:tc>
              <w:tc>
                <w:tcPr>
                  <w:tcW w:w="1602" w:type="pct"/>
                  <w:tcBorders>
                    <w:tl2br w:val="nil"/>
                    <w:tr2bl w:val="nil"/>
                  </w:tcBorders>
                  <w:noWrap w:val="0"/>
                  <w:vAlign w:val="center"/>
                </w:tcPr>
                <w:p w14:paraId="6D773E55">
                  <w:pPr>
                    <w:widowControl w:val="0"/>
                    <w:kinsoku/>
                    <w:autoSpaceDE/>
                    <w:autoSpaceDN/>
                    <w:adjustRightInd/>
                    <w:snapToGrid/>
                    <w:spacing w:line="340" w:lineRule="exact"/>
                    <w:ind w:firstLine="0" w:firstLineChars="0"/>
                    <w:jc w:val="center"/>
                    <w:textAlignment w:val="auto"/>
                    <w:rPr>
                      <w:rFonts w:hint="eastAsia" w:ascii="Times New Roman" w:hAnsi="Times New Roman" w:eastAsia="宋体" w:cs="Times New Roman"/>
                      <w:b/>
                      <w:bCs/>
                      <w:snapToGrid/>
                      <w:color w:val="auto"/>
                      <w:kern w:val="2"/>
                      <w:sz w:val="21"/>
                      <w:szCs w:val="21"/>
                      <w:highlight w:val="none"/>
                      <w:lang w:eastAsia="zh-CN" w:bidi="ar"/>
                    </w:rPr>
                  </w:pPr>
                  <w:r>
                    <w:rPr>
                      <w:rFonts w:hint="eastAsia" w:ascii="Times New Roman" w:hAnsi="Times New Roman" w:eastAsia="宋体" w:cs="Times New Roman"/>
                      <w:b/>
                      <w:bCs/>
                      <w:snapToGrid/>
                      <w:color w:val="auto"/>
                      <w:kern w:val="2"/>
                      <w:sz w:val="21"/>
                      <w:szCs w:val="21"/>
                      <w:highlight w:val="none"/>
                      <w:lang w:eastAsia="zh-CN" w:bidi="ar"/>
                    </w:rPr>
                    <w:t>治理措施</w:t>
                  </w:r>
                </w:p>
              </w:tc>
              <w:tc>
                <w:tcPr>
                  <w:tcW w:w="1150" w:type="pct"/>
                  <w:tcBorders>
                    <w:tl2br w:val="nil"/>
                    <w:tr2bl w:val="nil"/>
                  </w:tcBorders>
                  <w:noWrap w:val="0"/>
                  <w:vAlign w:val="center"/>
                </w:tcPr>
                <w:p w14:paraId="004158AE">
                  <w:pPr>
                    <w:widowControl w:val="0"/>
                    <w:kinsoku/>
                    <w:autoSpaceDE/>
                    <w:autoSpaceDN/>
                    <w:adjustRightInd/>
                    <w:snapToGrid/>
                    <w:spacing w:line="340" w:lineRule="exact"/>
                    <w:ind w:firstLine="0" w:firstLineChars="0"/>
                    <w:jc w:val="center"/>
                    <w:textAlignment w:val="auto"/>
                    <w:rPr>
                      <w:rFonts w:hint="eastAsia" w:ascii="Times New Roman" w:hAnsi="Times New Roman" w:eastAsia="宋体" w:cs="Times New Roman"/>
                      <w:b/>
                      <w:bCs/>
                      <w:snapToGrid/>
                      <w:color w:val="auto"/>
                      <w:kern w:val="2"/>
                      <w:sz w:val="21"/>
                      <w:szCs w:val="21"/>
                      <w:highlight w:val="none"/>
                      <w:lang w:eastAsia="zh-CN" w:bidi="ar"/>
                    </w:rPr>
                  </w:pPr>
                  <w:r>
                    <w:rPr>
                      <w:rFonts w:hint="eastAsia" w:ascii="Times New Roman" w:hAnsi="Times New Roman" w:eastAsia="宋体" w:cs="Times New Roman"/>
                      <w:b/>
                      <w:bCs/>
                      <w:snapToGrid/>
                      <w:color w:val="auto"/>
                      <w:kern w:val="2"/>
                      <w:sz w:val="21"/>
                      <w:szCs w:val="21"/>
                      <w:highlight w:val="none"/>
                      <w:lang w:eastAsia="zh-CN" w:bidi="ar"/>
                    </w:rPr>
                    <w:t>排放强度</w:t>
                  </w:r>
                </w:p>
              </w:tc>
            </w:tr>
            <w:tr w14:paraId="0F0A82E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351" w:type="pct"/>
                  <w:tcBorders>
                    <w:tl2br w:val="nil"/>
                    <w:tr2bl w:val="nil"/>
                  </w:tcBorders>
                  <w:noWrap w:val="0"/>
                  <w:vAlign w:val="center"/>
                </w:tcPr>
                <w:p w14:paraId="18DF8151">
                  <w:pPr>
                    <w:widowControl w:val="0"/>
                    <w:kinsoku/>
                    <w:autoSpaceDE/>
                    <w:autoSpaceDN/>
                    <w:adjustRightInd/>
                    <w:snapToGrid/>
                    <w:spacing w:line="340" w:lineRule="exact"/>
                    <w:ind w:firstLine="0" w:firstLineChars="0"/>
                    <w:jc w:val="center"/>
                    <w:textAlignment w:val="auto"/>
                    <w:rPr>
                      <w:rFonts w:hint="eastAsia" w:ascii="Times New Roman" w:hAnsi="Times New Roman" w:eastAsia="宋体" w:cs="Times New Roman"/>
                      <w:snapToGrid/>
                      <w:color w:val="auto"/>
                      <w:kern w:val="2"/>
                      <w:sz w:val="21"/>
                      <w:szCs w:val="21"/>
                      <w:highlight w:val="none"/>
                      <w:lang w:eastAsia="zh-CN" w:bidi="ar"/>
                    </w:rPr>
                  </w:pPr>
                  <w:r>
                    <w:rPr>
                      <w:rFonts w:hint="eastAsia" w:ascii="Times New Roman" w:hAnsi="Times New Roman" w:eastAsia="宋体" w:cs="Times New Roman"/>
                      <w:snapToGrid/>
                      <w:color w:val="auto"/>
                      <w:kern w:val="2"/>
                      <w:sz w:val="21"/>
                      <w:szCs w:val="21"/>
                      <w:highlight w:val="none"/>
                      <w:lang w:val="en-US" w:eastAsia="zh-CN" w:bidi="ar"/>
                    </w:rPr>
                    <w:t>骨料</w:t>
                  </w:r>
                  <w:r>
                    <w:rPr>
                      <w:rFonts w:hint="eastAsia" w:ascii="Times New Roman" w:hAnsi="Times New Roman" w:eastAsia="宋体" w:cs="Times New Roman"/>
                      <w:snapToGrid/>
                      <w:color w:val="auto"/>
                      <w:kern w:val="2"/>
                      <w:sz w:val="21"/>
                      <w:szCs w:val="21"/>
                      <w:highlight w:val="none"/>
                      <w:lang w:eastAsia="zh-CN" w:bidi="ar"/>
                    </w:rPr>
                    <w:t>输送机</w:t>
                  </w:r>
                </w:p>
              </w:tc>
              <w:tc>
                <w:tcPr>
                  <w:tcW w:w="895" w:type="pct"/>
                  <w:tcBorders>
                    <w:tl2br w:val="nil"/>
                    <w:tr2bl w:val="nil"/>
                  </w:tcBorders>
                  <w:noWrap w:val="0"/>
                  <w:vAlign w:val="center"/>
                </w:tcPr>
                <w:p w14:paraId="2037ABC3">
                  <w:pPr>
                    <w:widowControl w:val="0"/>
                    <w:kinsoku/>
                    <w:autoSpaceDE/>
                    <w:autoSpaceDN/>
                    <w:adjustRightInd/>
                    <w:snapToGrid/>
                    <w:spacing w:line="340" w:lineRule="exact"/>
                    <w:ind w:firstLine="0" w:firstLineChars="0"/>
                    <w:jc w:val="center"/>
                    <w:textAlignment w:val="auto"/>
                    <w:rPr>
                      <w:rFonts w:hint="eastAsia" w:ascii="Times New Roman" w:hAnsi="Times New Roman" w:eastAsia="宋体" w:cs="Times New Roman"/>
                      <w:snapToGrid/>
                      <w:color w:val="auto"/>
                      <w:kern w:val="2"/>
                      <w:sz w:val="21"/>
                      <w:szCs w:val="21"/>
                      <w:highlight w:val="none"/>
                      <w:lang w:eastAsia="zh-CN" w:bidi="ar"/>
                    </w:rPr>
                  </w:pPr>
                  <w:r>
                    <w:rPr>
                      <w:rFonts w:hint="eastAsia" w:ascii="Times New Roman" w:hAnsi="Times New Roman" w:eastAsia="宋体" w:cs="Times New Roman"/>
                      <w:snapToGrid/>
                      <w:color w:val="auto"/>
                      <w:kern w:val="2"/>
                      <w:sz w:val="21"/>
                      <w:szCs w:val="21"/>
                      <w:highlight w:val="none"/>
                      <w:lang w:eastAsia="zh-CN" w:bidi="ar"/>
                    </w:rPr>
                    <w:t>80</w:t>
                  </w:r>
                </w:p>
              </w:tc>
              <w:tc>
                <w:tcPr>
                  <w:tcW w:w="1602" w:type="pct"/>
                  <w:tcBorders>
                    <w:tl2br w:val="nil"/>
                    <w:tr2bl w:val="nil"/>
                  </w:tcBorders>
                  <w:noWrap w:val="0"/>
                  <w:vAlign w:val="center"/>
                </w:tcPr>
                <w:p w14:paraId="46D53ADB">
                  <w:pPr>
                    <w:widowControl w:val="0"/>
                    <w:kinsoku/>
                    <w:autoSpaceDE/>
                    <w:autoSpaceDN/>
                    <w:adjustRightInd/>
                    <w:snapToGrid/>
                    <w:spacing w:line="340" w:lineRule="exact"/>
                    <w:ind w:firstLine="0" w:firstLineChars="0"/>
                    <w:jc w:val="center"/>
                    <w:textAlignment w:val="auto"/>
                    <w:rPr>
                      <w:rFonts w:hint="eastAsia" w:ascii="Times New Roman" w:hAnsi="Times New Roman" w:eastAsia="宋体" w:cs="Times New Roman"/>
                      <w:snapToGrid/>
                      <w:color w:val="auto"/>
                      <w:kern w:val="2"/>
                      <w:sz w:val="21"/>
                      <w:szCs w:val="21"/>
                      <w:highlight w:val="none"/>
                      <w:lang w:eastAsia="zh-CN" w:bidi="ar"/>
                    </w:rPr>
                  </w:pPr>
                  <w:r>
                    <w:rPr>
                      <w:rFonts w:hint="eastAsia" w:ascii="Times New Roman" w:hAnsi="Times New Roman" w:eastAsia="宋体" w:cs="Times New Roman"/>
                      <w:snapToGrid/>
                      <w:color w:val="auto"/>
                      <w:kern w:val="2"/>
                      <w:sz w:val="21"/>
                      <w:szCs w:val="21"/>
                      <w:highlight w:val="none"/>
                      <w:lang w:eastAsia="zh-CN" w:bidi="ar"/>
                    </w:rPr>
                    <w:t>基础减震、厂房隔声</w:t>
                  </w:r>
                </w:p>
              </w:tc>
              <w:tc>
                <w:tcPr>
                  <w:tcW w:w="1150" w:type="pct"/>
                  <w:tcBorders>
                    <w:tl2br w:val="nil"/>
                    <w:tr2bl w:val="nil"/>
                  </w:tcBorders>
                  <w:noWrap w:val="0"/>
                  <w:vAlign w:val="center"/>
                </w:tcPr>
                <w:p w14:paraId="10F3418E">
                  <w:pPr>
                    <w:widowControl w:val="0"/>
                    <w:kinsoku/>
                    <w:autoSpaceDE/>
                    <w:autoSpaceDN/>
                    <w:adjustRightInd/>
                    <w:snapToGrid/>
                    <w:spacing w:line="340" w:lineRule="exact"/>
                    <w:ind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
                    </w:rPr>
                  </w:pPr>
                  <w:r>
                    <w:rPr>
                      <w:rFonts w:hint="eastAsia" w:ascii="Times New Roman" w:hAnsi="Times New Roman" w:eastAsia="宋体" w:cs="Times New Roman"/>
                      <w:snapToGrid/>
                      <w:color w:val="auto"/>
                      <w:kern w:val="2"/>
                      <w:sz w:val="21"/>
                      <w:szCs w:val="21"/>
                      <w:highlight w:val="none"/>
                      <w:lang w:val="en-US" w:eastAsia="zh-CN" w:bidi="ar"/>
                    </w:rPr>
                    <w:t>65</w:t>
                  </w:r>
                </w:p>
              </w:tc>
            </w:tr>
            <w:tr w14:paraId="3495614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4" w:hRule="atLeast"/>
              </w:trPr>
              <w:tc>
                <w:tcPr>
                  <w:tcW w:w="1351" w:type="pct"/>
                  <w:tcBorders>
                    <w:tl2br w:val="nil"/>
                    <w:tr2bl w:val="nil"/>
                  </w:tcBorders>
                  <w:noWrap w:val="0"/>
                  <w:vAlign w:val="center"/>
                </w:tcPr>
                <w:p w14:paraId="041B316C">
                  <w:pPr>
                    <w:widowControl w:val="0"/>
                    <w:kinsoku/>
                    <w:autoSpaceDE/>
                    <w:autoSpaceDN/>
                    <w:adjustRightInd/>
                    <w:snapToGrid/>
                    <w:spacing w:line="340" w:lineRule="exact"/>
                    <w:ind w:firstLine="0" w:firstLineChars="0"/>
                    <w:jc w:val="center"/>
                    <w:textAlignment w:val="auto"/>
                    <w:rPr>
                      <w:rFonts w:hint="eastAsia" w:ascii="Times New Roman" w:hAnsi="Times New Roman" w:eastAsia="宋体" w:cs="Times New Roman"/>
                      <w:snapToGrid/>
                      <w:color w:val="auto"/>
                      <w:kern w:val="2"/>
                      <w:sz w:val="21"/>
                      <w:szCs w:val="21"/>
                      <w:highlight w:val="none"/>
                      <w:lang w:eastAsia="zh-CN" w:bidi="ar"/>
                    </w:rPr>
                  </w:pPr>
                  <w:r>
                    <w:rPr>
                      <w:rFonts w:hint="eastAsia" w:ascii="Times New Roman" w:hAnsi="Times New Roman" w:eastAsia="宋体" w:cs="Times New Roman"/>
                      <w:snapToGrid/>
                      <w:color w:val="auto"/>
                      <w:kern w:val="2"/>
                      <w:sz w:val="21"/>
                      <w:szCs w:val="21"/>
                      <w:highlight w:val="none"/>
                      <w:lang w:eastAsia="zh-CN" w:bidi="ar"/>
                    </w:rPr>
                    <w:t>烘干</w:t>
                  </w:r>
                  <w:r>
                    <w:rPr>
                      <w:rFonts w:hint="eastAsia" w:ascii="Times New Roman" w:hAnsi="Times New Roman" w:eastAsia="宋体" w:cs="Times New Roman"/>
                      <w:snapToGrid/>
                      <w:color w:val="auto"/>
                      <w:kern w:val="2"/>
                      <w:sz w:val="21"/>
                      <w:szCs w:val="21"/>
                      <w:highlight w:val="none"/>
                      <w:lang w:val="en-US" w:eastAsia="zh-CN" w:bidi="ar"/>
                    </w:rPr>
                    <w:t>滚筒</w:t>
                  </w:r>
                </w:p>
              </w:tc>
              <w:tc>
                <w:tcPr>
                  <w:tcW w:w="895" w:type="pct"/>
                  <w:tcBorders>
                    <w:tl2br w:val="nil"/>
                    <w:tr2bl w:val="nil"/>
                  </w:tcBorders>
                  <w:noWrap w:val="0"/>
                  <w:vAlign w:val="center"/>
                </w:tcPr>
                <w:p w14:paraId="0C17D0C3">
                  <w:pPr>
                    <w:widowControl w:val="0"/>
                    <w:kinsoku/>
                    <w:autoSpaceDE/>
                    <w:autoSpaceDN/>
                    <w:adjustRightInd/>
                    <w:snapToGrid/>
                    <w:spacing w:line="340" w:lineRule="exact"/>
                    <w:ind w:firstLine="0" w:firstLineChars="0"/>
                    <w:jc w:val="center"/>
                    <w:textAlignment w:val="auto"/>
                    <w:rPr>
                      <w:rFonts w:hint="eastAsia" w:ascii="Times New Roman" w:hAnsi="Times New Roman" w:eastAsia="宋体" w:cs="Times New Roman"/>
                      <w:snapToGrid/>
                      <w:color w:val="auto"/>
                      <w:kern w:val="2"/>
                      <w:sz w:val="21"/>
                      <w:szCs w:val="21"/>
                      <w:highlight w:val="none"/>
                      <w:lang w:eastAsia="zh-CN" w:bidi="ar"/>
                    </w:rPr>
                  </w:pPr>
                  <w:r>
                    <w:rPr>
                      <w:rFonts w:hint="eastAsia" w:ascii="Times New Roman" w:hAnsi="Times New Roman" w:eastAsia="宋体" w:cs="Times New Roman"/>
                      <w:snapToGrid/>
                      <w:color w:val="auto"/>
                      <w:kern w:val="2"/>
                      <w:sz w:val="21"/>
                      <w:szCs w:val="21"/>
                      <w:highlight w:val="none"/>
                      <w:lang w:eastAsia="zh-CN" w:bidi="ar"/>
                    </w:rPr>
                    <w:t>85</w:t>
                  </w:r>
                </w:p>
              </w:tc>
              <w:tc>
                <w:tcPr>
                  <w:tcW w:w="1602" w:type="pct"/>
                  <w:tcBorders>
                    <w:tl2br w:val="nil"/>
                    <w:tr2bl w:val="nil"/>
                  </w:tcBorders>
                  <w:noWrap w:val="0"/>
                  <w:vAlign w:val="center"/>
                </w:tcPr>
                <w:p w14:paraId="6A618CE3">
                  <w:pPr>
                    <w:widowControl w:val="0"/>
                    <w:kinsoku/>
                    <w:autoSpaceDE/>
                    <w:autoSpaceDN/>
                    <w:adjustRightInd/>
                    <w:snapToGrid/>
                    <w:spacing w:line="340" w:lineRule="exact"/>
                    <w:ind w:firstLine="0" w:firstLineChars="0"/>
                    <w:jc w:val="center"/>
                    <w:textAlignment w:val="auto"/>
                    <w:rPr>
                      <w:rFonts w:hint="eastAsia" w:ascii="Times New Roman" w:hAnsi="Times New Roman" w:eastAsia="宋体" w:cs="Times New Roman"/>
                      <w:snapToGrid/>
                      <w:color w:val="auto"/>
                      <w:kern w:val="2"/>
                      <w:sz w:val="21"/>
                      <w:szCs w:val="21"/>
                      <w:highlight w:val="none"/>
                      <w:lang w:eastAsia="zh-CN" w:bidi="ar"/>
                    </w:rPr>
                  </w:pPr>
                  <w:r>
                    <w:rPr>
                      <w:rFonts w:hint="eastAsia" w:ascii="Times New Roman" w:hAnsi="Times New Roman" w:eastAsia="宋体" w:cs="Times New Roman"/>
                      <w:snapToGrid/>
                      <w:color w:val="auto"/>
                      <w:kern w:val="2"/>
                      <w:sz w:val="21"/>
                      <w:szCs w:val="21"/>
                      <w:highlight w:val="none"/>
                      <w:lang w:eastAsia="zh-CN" w:bidi="ar"/>
                    </w:rPr>
                    <w:t>基础减震、厂房隔声</w:t>
                  </w:r>
                </w:p>
              </w:tc>
              <w:tc>
                <w:tcPr>
                  <w:tcW w:w="1150" w:type="pct"/>
                  <w:tcBorders>
                    <w:tl2br w:val="nil"/>
                    <w:tr2bl w:val="nil"/>
                  </w:tcBorders>
                  <w:noWrap w:val="0"/>
                  <w:vAlign w:val="center"/>
                </w:tcPr>
                <w:p w14:paraId="3D8041FC">
                  <w:pPr>
                    <w:widowControl w:val="0"/>
                    <w:kinsoku/>
                    <w:autoSpaceDE/>
                    <w:autoSpaceDN/>
                    <w:adjustRightInd/>
                    <w:snapToGrid/>
                    <w:spacing w:line="340" w:lineRule="exact"/>
                    <w:ind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
                    </w:rPr>
                  </w:pPr>
                  <w:r>
                    <w:rPr>
                      <w:rFonts w:hint="eastAsia" w:ascii="Times New Roman" w:hAnsi="Times New Roman" w:eastAsia="宋体" w:cs="Times New Roman"/>
                      <w:snapToGrid/>
                      <w:color w:val="auto"/>
                      <w:kern w:val="2"/>
                      <w:sz w:val="21"/>
                      <w:szCs w:val="21"/>
                      <w:highlight w:val="none"/>
                      <w:lang w:val="en-US" w:eastAsia="zh-CN" w:bidi="ar"/>
                    </w:rPr>
                    <w:t>70</w:t>
                  </w:r>
                </w:p>
              </w:tc>
            </w:tr>
            <w:tr w14:paraId="01DD383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trPr>
              <w:tc>
                <w:tcPr>
                  <w:tcW w:w="1351" w:type="pct"/>
                  <w:tcBorders>
                    <w:tl2br w:val="nil"/>
                    <w:tr2bl w:val="nil"/>
                  </w:tcBorders>
                  <w:noWrap w:val="0"/>
                  <w:vAlign w:val="center"/>
                </w:tcPr>
                <w:p w14:paraId="7CC11B21">
                  <w:pPr>
                    <w:widowControl w:val="0"/>
                    <w:kinsoku/>
                    <w:autoSpaceDE/>
                    <w:autoSpaceDN/>
                    <w:adjustRightInd/>
                    <w:snapToGrid/>
                    <w:spacing w:line="340" w:lineRule="exact"/>
                    <w:ind w:firstLine="0" w:firstLineChars="0"/>
                    <w:jc w:val="center"/>
                    <w:textAlignment w:val="auto"/>
                    <w:rPr>
                      <w:rFonts w:hint="eastAsia" w:ascii="Times New Roman" w:hAnsi="Times New Roman" w:eastAsia="宋体" w:cs="Times New Roman"/>
                      <w:snapToGrid/>
                      <w:color w:val="auto"/>
                      <w:kern w:val="2"/>
                      <w:sz w:val="21"/>
                      <w:szCs w:val="21"/>
                      <w:highlight w:val="none"/>
                      <w:lang w:eastAsia="zh-CN" w:bidi="ar"/>
                    </w:rPr>
                  </w:pPr>
                  <w:r>
                    <w:rPr>
                      <w:rFonts w:hint="eastAsia" w:ascii="Times New Roman" w:hAnsi="Times New Roman" w:eastAsia="宋体" w:cs="Times New Roman"/>
                      <w:snapToGrid/>
                      <w:color w:val="auto"/>
                      <w:kern w:val="2"/>
                      <w:sz w:val="21"/>
                      <w:szCs w:val="21"/>
                      <w:highlight w:val="none"/>
                      <w:lang w:eastAsia="zh-CN" w:bidi="ar"/>
                    </w:rPr>
                    <w:t>燃烧器</w:t>
                  </w:r>
                </w:p>
              </w:tc>
              <w:tc>
                <w:tcPr>
                  <w:tcW w:w="895" w:type="pct"/>
                  <w:tcBorders>
                    <w:tl2br w:val="nil"/>
                    <w:tr2bl w:val="nil"/>
                  </w:tcBorders>
                  <w:noWrap w:val="0"/>
                  <w:vAlign w:val="center"/>
                </w:tcPr>
                <w:p w14:paraId="228040D4">
                  <w:pPr>
                    <w:widowControl w:val="0"/>
                    <w:kinsoku/>
                    <w:autoSpaceDE/>
                    <w:autoSpaceDN/>
                    <w:adjustRightInd/>
                    <w:snapToGrid/>
                    <w:spacing w:line="340" w:lineRule="exact"/>
                    <w:ind w:firstLine="0" w:firstLineChars="0"/>
                    <w:jc w:val="center"/>
                    <w:textAlignment w:val="auto"/>
                    <w:rPr>
                      <w:rFonts w:hint="eastAsia" w:ascii="Times New Roman" w:hAnsi="Times New Roman" w:eastAsia="宋体" w:cs="Times New Roman"/>
                      <w:snapToGrid/>
                      <w:color w:val="auto"/>
                      <w:kern w:val="2"/>
                      <w:sz w:val="21"/>
                      <w:szCs w:val="21"/>
                      <w:highlight w:val="none"/>
                      <w:lang w:eastAsia="zh-CN" w:bidi="ar"/>
                    </w:rPr>
                  </w:pPr>
                  <w:r>
                    <w:rPr>
                      <w:rFonts w:hint="eastAsia" w:ascii="Times New Roman" w:hAnsi="Times New Roman" w:eastAsia="宋体" w:cs="Times New Roman"/>
                      <w:snapToGrid/>
                      <w:color w:val="auto"/>
                      <w:kern w:val="2"/>
                      <w:sz w:val="21"/>
                      <w:szCs w:val="21"/>
                      <w:highlight w:val="none"/>
                      <w:lang w:eastAsia="zh-CN" w:bidi="ar"/>
                    </w:rPr>
                    <w:t>75</w:t>
                  </w:r>
                </w:p>
              </w:tc>
              <w:tc>
                <w:tcPr>
                  <w:tcW w:w="1602" w:type="pct"/>
                  <w:tcBorders>
                    <w:tl2br w:val="nil"/>
                    <w:tr2bl w:val="nil"/>
                  </w:tcBorders>
                  <w:noWrap w:val="0"/>
                  <w:vAlign w:val="center"/>
                </w:tcPr>
                <w:p w14:paraId="7493A26E">
                  <w:pPr>
                    <w:widowControl w:val="0"/>
                    <w:kinsoku/>
                    <w:autoSpaceDE/>
                    <w:autoSpaceDN/>
                    <w:adjustRightInd/>
                    <w:snapToGrid/>
                    <w:spacing w:line="340" w:lineRule="exact"/>
                    <w:ind w:firstLine="0" w:firstLineChars="0"/>
                    <w:jc w:val="center"/>
                    <w:textAlignment w:val="auto"/>
                    <w:rPr>
                      <w:rFonts w:hint="eastAsia" w:ascii="Times New Roman" w:hAnsi="Times New Roman" w:eastAsia="宋体" w:cs="Times New Roman"/>
                      <w:snapToGrid/>
                      <w:color w:val="auto"/>
                      <w:kern w:val="2"/>
                      <w:sz w:val="21"/>
                      <w:szCs w:val="21"/>
                      <w:highlight w:val="none"/>
                      <w:lang w:eastAsia="zh-CN" w:bidi="ar"/>
                    </w:rPr>
                  </w:pPr>
                  <w:r>
                    <w:rPr>
                      <w:rFonts w:hint="eastAsia" w:ascii="Times New Roman" w:hAnsi="Times New Roman" w:eastAsia="宋体" w:cs="Times New Roman"/>
                      <w:snapToGrid/>
                      <w:color w:val="auto"/>
                      <w:kern w:val="2"/>
                      <w:sz w:val="21"/>
                      <w:szCs w:val="21"/>
                      <w:highlight w:val="none"/>
                      <w:lang w:eastAsia="zh-CN" w:bidi="ar"/>
                    </w:rPr>
                    <w:t>基础减震、厂房隔声</w:t>
                  </w:r>
                </w:p>
              </w:tc>
              <w:tc>
                <w:tcPr>
                  <w:tcW w:w="1150" w:type="pct"/>
                  <w:tcBorders>
                    <w:tl2br w:val="nil"/>
                    <w:tr2bl w:val="nil"/>
                  </w:tcBorders>
                  <w:noWrap w:val="0"/>
                  <w:vAlign w:val="center"/>
                </w:tcPr>
                <w:p w14:paraId="29FD45A6">
                  <w:pPr>
                    <w:widowControl w:val="0"/>
                    <w:kinsoku/>
                    <w:autoSpaceDE/>
                    <w:autoSpaceDN/>
                    <w:adjustRightInd/>
                    <w:snapToGrid/>
                    <w:spacing w:line="340" w:lineRule="exact"/>
                    <w:ind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
                    </w:rPr>
                  </w:pPr>
                  <w:r>
                    <w:rPr>
                      <w:rFonts w:hint="eastAsia" w:ascii="Times New Roman" w:hAnsi="Times New Roman" w:eastAsia="宋体" w:cs="Times New Roman"/>
                      <w:snapToGrid/>
                      <w:color w:val="auto"/>
                      <w:kern w:val="2"/>
                      <w:sz w:val="21"/>
                      <w:szCs w:val="21"/>
                      <w:highlight w:val="none"/>
                      <w:lang w:val="en-US" w:eastAsia="zh-CN" w:bidi="ar"/>
                    </w:rPr>
                    <w:t>40</w:t>
                  </w:r>
                </w:p>
              </w:tc>
            </w:tr>
            <w:tr w14:paraId="65BDD23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1351" w:type="pct"/>
                  <w:tcBorders>
                    <w:tl2br w:val="nil"/>
                    <w:tr2bl w:val="nil"/>
                  </w:tcBorders>
                  <w:noWrap w:val="0"/>
                  <w:vAlign w:val="center"/>
                </w:tcPr>
                <w:p w14:paraId="03756901">
                  <w:pPr>
                    <w:widowControl w:val="0"/>
                    <w:kinsoku/>
                    <w:autoSpaceDE/>
                    <w:autoSpaceDN/>
                    <w:adjustRightInd/>
                    <w:snapToGrid/>
                    <w:spacing w:line="340" w:lineRule="exact"/>
                    <w:ind w:firstLine="0" w:firstLineChars="0"/>
                    <w:jc w:val="center"/>
                    <w:textAlignment w:val="auto"/>
                    <w:rPr>
                      <w:rFonts w:hint="eastAsia" w:ascii="Times New Roman" w:hAnsi="Times New Roman" w:eastAsia="宋体" w:cs="Times New Roman"/>
                      <w:snapToGrid/>
                      <w:color w:val="auto"/>
                      <w:kern w:val="2"/>
                      <w:sz w:val="21"/>
                      <w:szCs w:val="21"/>
                      <w:highlight w:val="none"/>
                      <w:lang w:eastAsia="zh-CN" w:bidi="ar"/>
                    </w:rPr>
                  </w:pPr>
                  <w:r>
                    <w:rPr>
                      <w:rFonts w:hint="eastAsia" w:ascii="Times New Roman" w:hAnsi="Times New Roman" w:eastAsia="宋体" w:cs="Times New Roman"/>
                      <w:snapToGrid/>
                      <w:color w:val="auto"/>
                      <w:kern w:val="2"/>
                      <w:sz w:val="21"/>
                      <w:szCs w:val="21"/>
                      <w:highlight w:val="none"/>
                      <w:lang w:eastAsia="zh-CN" w:bidi="ar"/>
                    </w:rPr>
                    <w:t>热骨料提升机</w:t>
                  </w:r>
                </w:p>
              </w:tc>
              <w:tc>
                <w:tcPr>
                  <w:tcW w:w="895" w:type="pct"/>
                  <w:tcBorders>
                    <w:tl2br w:val="nil"/>
                    <w:tr2bl w:val="nil"/>
                  </w:tcBorders>
                  <w:noWrap w:val="0"/>
                  <w:vAlign w:val="center"/>
                </w:tcPr>
                <w:p w14:paraId="60A1E793">
                  <w:pPr>
                    <w:widowControl w:val="0"/>
                    <w:kinsoku/>
                    <w:autoSpaceDE/>
                    <w:autoSpaceDN/>
                    <w:adjustRightInd/>
                    <w:snapToGrid/>
                    <w:spacing w:line="340" w:lineRule="exact"/>
                    <w:ind w:firstLine="0" w:firstLineChars="0"/>
                    <w:jc w:val="center"/>
                    <w:textAlignment w:val="auto"/>
                    <w:rPr>
                      <w:rFonts w:hint="eastAsia" w:ascii="Times New Roman" w:hAnsi="Times New Roman" w:eastAsia="宋体" w:cs="Times New Roman"/>
                      <w:snapToGrid/>
                      <w:color w:val="auto"/>
                      <w:kern w:val="2"/>
                      <w:sz w:val="21"/>
                      <w:szCs w:val="21"/>
                      <w:highlight w:val="none"/>
                      <w:lang w:eastAsia="zh-CN" w:bidi="ar"/>
                    </w:rPr>
                  </w:pPr>
                  <w:r>
                    <w:rPr>
                      <w:rFonts w:hint="eastAsia" w:ascii="Times New Roman" w:hAnsi="Times New Roman" w:eastAsia="宋体" w:cs="Times New Roman"/>
                      <w:snapToGrid/>
                      <w:color w:val="auto"/>
                      <w:kern w:val="2"/>
                      <w:sz w:val="21"/>
                      <w:szCs w:val="21"/>
                      <w:highlight w:val="none"/>
                      <w:lang w:eastAsia="zh-CN" w:bidi="ar"/>
                    </w:rPr>
                    <w:t>80</w:t>
                  </w:r>
                </w:p>
              </w:tc>
              <w:tc>
                <w:tcPr>
                  <w:tcW w:w="1602" w:type="pct"/>
                  <w:tcBorders>
                    <w:tl2br w:val="nil"/>
                    <w:tr2bl w:val="nil"/>
                  </w:tcBorders>
                  <w:noWrap w:val="0"/>
                  <w:vAlign w:val="center"/>
                </w:tcPr>
                <w:p w14:paraId="72D14E54">
                  <w:pPr>
                    <w:widowControl w:val="0"/>
                    <w:kinsoku/>
                    <w:autoSpaceDE/>
                    <w:autoSpaceDN/>
                    <w:adjustRightInd/>
                    <w:snapToGrid/>
                    <w:spacing w:line="340" w:lineRule="exact"/>
                    <w:ind w:firstLine="0" w:firstLineChars="0"/>
                    <w:jc w:val="center"/>
                    <w:textAlignment w:val="auto"/>
                    <w:rPr>
                      <w:rFonts w:hint="eastAsia" w:ascii="Times New Roman" w:hAnsi="Times New Roman" w:eastAsia="宋体" w:cs="Times New Roman"/>
                      <w:snapToGrid/>
                      <w:color w:val="auto"/>
                      <w:kern w:val="2"/>
                      <w:sz w:val="21"/>
                      <w:szCs w:val="21"/>
                      <w:highlight w:val="none"/>
                      <w:lang w:eastAsia="zh-CN" w:bidi="ar"/>
                    </w:rPr>
                  </w:pPr>
                  <w:r>
                    <w:rPr>
                      <w:rFonts w:hint="eastAsia" w:ascii="Times New Roman" w:hAnsi="Times New Roman" w:eastAsia="宋体" w:cs="Times New Roman"/>
                      <w:snapToGrid/>
                      <w:color w:val="auto"/>
                      <w:kern w:val="2"/>
                      <w:sz w:val="21"/>
                      <w:szCs w:val="21"/>
                      <w:highlight w:val="none"/>
                      <w:lang w:eastAsia="zh-CN" w:bidi="ar"/>
                    </w:rPr>
                    <w:t>基础减震、厂房隔声</w:t>
                  </w:r>
                </w:p>
              </w:tc>
              <w:tc>
                <w:tcPr>
                  <w:tcW w:w="1150" w:type="pct"/>
                  <w:tcBorders>
                    <w:tl2br w:val="nil"/>
                    <w:tr2bl w:val="nil"/>
                  </w:tcBorders>
                  <w:noWrap w:val="0"/>
                  <w:vAlign w:val="center"/>
                </w:tcPr>
                <w:p w14:paraId="56FBA0A8">
                  <w:pPr>
                    <w:widowControl w:val="0"/>
                    <w:kinsoku/>
                    <w:autoSpaceDE/>
                    <w:autoSpaceDN/>
                    <w:adjustRightInd/>
                    <w:snapToGrid/>
                    <w:spacing w:line="340" w:lineRule="exact"/>
                    <w:ind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
                    </w:rPr>
                  </w:pPr>
                  <w:r>
                    <w:rPr>
                      <w:rFonts w:hint="eastAsia" w:ascii="Times New Roman" w:hAnsi="Times New Roman" w:eastAsia="宋体" w:cs="Times New Roman"/>
                      <w:snapToGrid/>
                      <w:color w:val="auto"/>
                      <w:kern w:val="2"/>
                      <w:sz w:val="21"/>
                      <w:szCs w:val="21"/>
                      <w:highlight w:val="none"/>
                      <w:lang w:val="en-US" w:eastAsia="zh-CN" w:bidi="ar"/>
                    </w:rPr>
                    <w:t>65</w:t>
                  </w:r>
                </w:p>
              </w:tc>
            </w:tr>
            <w:tr w14:paraId="6803050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351" w:type="pct"/>
                  <w:tcBorders>
                    <w:tl2br w:val="nil"/>
                    <w:tr2bl w:val="nil"/>
                  </w:tcBorders>
                  <w:noWrap w:val="0"/>
                  <w:vAlign w:val="center"/>
                </w:tcPr>
                <w:p w14:paraId="30137BD8">
                  <w:pPr>
                    <w:widowControl w:val="0"/>
                    <w:kinsoku/>
                    <w:autoSpaceDE/>
                    <w:autoSpaceDN/>
                    <w:adjustRightInd/>
                    <w:snapToGrid/>
                    <w:spacing w:line="340" w:lineRule="exact"/>
                    <w:ind w:firstLine="0" w:firstLineChars="0"/>
                    <w:jc w:val="center"/>
                    <w:textAlignment w:val="auto"/>
                    <w:rPr>
                      <w:rFonts w:hint="eastAsia" w:ascii="Times New Roman" w:hAnsi="Times New Roman" w:eastAsia="宋体" w:cs="Times New Roman"/>
                      <w:snapToGrid/>
                      <w:color w:val="auto"/>
                      <w:kern w:val="2"/>
                      <w:sz w:val="21"/>
                      <w:szCs w:val="21"/>
                      <w:highlight w:val="none"/>
                      <w:lang w:eastAsia="zh-CN" w:bidi="ar"/>
                    </w:rPr>
                  </w:pPr>
                  <w:r>
                    <w:rPr>
                      <w:rFonts w:hint="eastAsia" w:ascii="Times New Roman" w:hAnsi="Times New Roman" w:eastAsia="宋体" w:cs="Times New Roman"/>
                      <w:snapToGrid/>
                      <w:color w:val="auto"/>
                      <w:kern w:val="2"/>
                      <w:sz w:val="21"/>
                      <w:szCs w:val="21"/>
                      <w:highlight w:val="none"/>
                      <w:lang w:eastAsia="zh-CN" w:bidi="ar"/>
                    </w:rPr>
                    <w:t>粉料提升机</w:t>
                  </w:r>
                </w:p>
              </w:tc>
              <w:tc>
                <w:tcPr>
                  <w:tcW w:w="895" w:type="pct"/>
                  <w:tcBorders>
                    <w:tl2br w:val="nil"/>
                    <w:tr2bl w:val="nil"/>
                  </w:tcBorders>
                  <w:noWrap w:val="0"/>
                  <w:vAlign w:val="center"/>
                </w:tcPr>
                <w:p w14:paraId="03F8A49E">
                  <w:pPr>
                    <w:widowControl w:val="0"/>
                    <w:kinsoku/>
                    <w:autoSpaceDE/>
                    <w:autoSpaceDN/>
                    <w:adjustRightInd/>
                    <w:snapToGrid/>
                    <w:spacing w:line="340" w:lineRule="exact"/>
                    <w:ind w:firstLine="0" w:firstLineChars="0"/>
                    <w:jc w:val="center"/>
                    <w:textAlignment w:val="auto"/>
                    <w:rPr>
                      <w:rFonts w:hint="eastAsia" w:ascii="Times New Roman" w:hAnsi="Times New Roman" w:eastAsia="宋体" w:cs="Times New Roman"/>
                      <w:snapToGrid/>
                      <w:color w:val="auto"/>
                      <w:kern w:val="2"/>
                      <w:sz w:val="21"/>
                      <w:szCs w:val="21"/>
                      <w:highlight w:val="none"/>
                      <w:lang w:eastAsia="zh-CN" w:bidi="ar"/>
                    </w:rPr>
                  </w:pPr>
                  <w:r>
                    <w:rPr>
                      <w:rFonts w:hint="eastAsia" w:ascii="Times New Roman" w:hAnsi="Times New Roman" w:eastAsia="宋体" w:cs="Times New Roman"/>
                      <w:snapToGrid/>
                      <w:color w:val="auto"/>
                      <w:kern w:val="2"/>
                      <w:sz w:val="21"/>
                      <w:szCs w:val="21"/>
                      <w:highlight w:val="none"/>
                      <w:lang w:eastAsia="zh-CN" w:bidi="ar"/>
                    </w:rPr>
                    <w:t>80</w:t>
                  </w:r>
                </w:p>
              </w:tc>
              <w:tc>
                <w:tcPr>
                  <w:tcW w:w="1602" w:type="pct"/>
                  <w:tcBorders>
                    <w:tl2br w:val="nil"/>
                    <w:tr2bl w:val="nil"/>
                  </w:tcBorders>
                  <w:noWrap w:val="0"/>
                  <w:vAlign w:val="center"/>
                </w:tcPr>
                <w:p w14:paraId="01BE6DEC">
                  <w:pPr>
                    <w:widowControl w:val="0"/>
                    <w:kinsoku/>
                    <w:autoSpaceDE/>
                    <w:autoSpaceDN/>
                    <w:adjustRightInd/>
                    <w:snapToGrid/>
                    <w:spacing w:line="340" w:lineRule="exact"/>
                    <w:ind w:firstLine="0" w:firstLineChars="0"/>
                    <w:jc w:val="center"/>
                    <w:textAlignment w:val="auto"/>
                    <w:rPr>
                      <w:rFonts w:hint="eastAsia" w:ascii="Times New Roman" w:hAnsi="Times New Roman" w:eastAsia="宋体" w:cs="Times New Roman"/>
                      <w:snapToGrid/>
                      <w:color w:val="auto"/>
                      <w:kern w:val="2"/>
                      <w:sz w:val="21"/>
                      <w:szCs w:val="21"/>
                      <w:highlight w:val="none"/>
                      <w:lang w:eastAsia="zh-CN" w:bidi="ar"/>
                    </w:rPr>
                  </w:pPr>
                  <w:r>
                    <w:rPr>
                      <w:rFonts w:hint="eastAsia" w:ascii="Times New Roman" w:hAnsi="Times New Roman" w:eastAsia="宋体" w:cs="Times New Roman"/>
                      <w:snapToGrid/>
                      <w:color w:val="auto"/>
                      <w:kern w:val="2"/>
                      <w:sz w:val="21"/>
                      <w:szCs w:val="21"/>
                      <w:highlight w:val="none"/>
                      <w:lang w:eastAsia="zh-CN" w:bidi="ar"/>
                    </w:rPr>
                    <w:t>基础减震、厂房隔声</w:t>
                  </w:r>
                </w:p>
              </w:tc>
              <w:tc>
                <w:tcPr>
                  <w:tcW w:w="1150" w:type="pct"/>
                  <w:tcBorders>
                    <w:tl2br w:val="nil"/>
                    <w:tr2bl w:val="nil"/>
                  </w:tcBorders>
                  <w:noWrap w:val="0"/>
                  <w:vAlign w:val="center"/>
                </w:tcPr>
                <w:p w14:paraId="7451DE93">
                  <w:pPr>
                    <w:widowControl w:val="0"/>
                    <w:kinsoku/>
                    <w:autoSpaceDE/>
                    <w:autoSpaceDN/>
                    <w:adjustRightInd/>
                    <w:snapToGrid/>
                    <w:spacing w:line="340" w:lineRule="exact"/>
                    <w:ind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
                    </w:rPr>
                  </w:pPr>
                  <w:r>
                    <w:rPr>
                      <w:rFonts w:hint="eastAsia" w:ascii="Times New Roman" w:hAnsi="Times New Roman" w:eastAsia="宋体" w:cs="Times New Roman"/>
                      <w:snapToGrid/>
                      <w:color w:val="auto"/>
                      <w:kern w:val="2"/>
                      <w:sz w:val="21"/>
                      <w:szCs w:val="21"/>
                      <w:highlight w:val="none"/>
                      <w:lang w:val="en-US" w:eastAsia="zh-CN" w:bidi="ar"/>
                    </w:rPr>
                    <w:t>65</w:t>
                  </w:r>
                </w:p>
              </w:tc>
            </w:tr>
            <w:tr w14:paraId="17E176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351" w:type="pct"/>
                  <w:tcBorders>
                    <w:tl2br w:val="nil"/>
                    <w:tr2bl w:val="nil"/>
                  </w:tcBorders>
                  <w:noWrap w:val="0"/>
                  <w:vAlign w:val="center"/>
                </w:tcPr>
                <w:p w14:paraId="291EBC18">
                  <w:pPr>
                    <w:widowControl w:val="0"/>
                    <w:kinsoku/>
                    <w:autoSpaceDE/>
                    <w:autoSpaceDN/>
                    <w:adjustRightInd/>
                    <w:snapToGrid/>
                    <w:spacing w:line="340" w:lineRule="exact"/>
                    <w:ind w:firstLine="0" w:firstLineChars="0"/>
                    <w:jc w:val="center"/>
                    <w:textAlignment w:val="auto"/>
                    <w:rPr>
                      <w:rFonts w:hint="eastAsia" w:ascii="Times New Roman" w:hAnsi="Times New Roman" w:eastAsia="宋体" w:cs="Times New Roman"/>
                      <w:snapToGrid/>
                      <w:color w:val="auto"/>
                      <w:kern w:val="2"/>
                      <w:sz w:val="21"/>
                      <w:szCs w:val="21"/>
                      <w:highlight w:val="none"/>
                      <w:lang w:eastAsia="zh-CN" w:bidi="ar"/>
                    </w:rPr>
                  </w:pPr>
                  <w:r>
                    <w:rPr>
                      <w:rFonts w:hint="eastAsia" w:ascii="Times New Roman" w:hAnsi="Times New Roman" w:eastAsia="宋体" w:cs="Times New Roman"/>
                      <w:snapToGrid/>
                      <w:color w:val="auto"/>
                      <w:kern w:val="2"/>
                      <w:sz w:val="21"/>
                      <w:szCs w:val="21"/>
                      <w:highlight w:val="none"/>
                      <w:lang w:eastAsia="zh-CN" w:bidi="ar"/>
                    </w:rPr>
                    <w:t>骨料筛选系统</w:t>
                  </w:r>
                </w:p>
              </w:tc>
              <w:tc>
                <w:tcPr>
                  <w:tcW w:w="895" w:type="pct"/>
                  <w:tcBorders>
                    <w:tl2br w:val="nil"/>
                    <w:tr2bl w:val="nil"/>
                  </w:tcBorders>
                  <w:noWrap w:val="0"/>
                  <w:vAlign w:val="center"/>
                </w:tcPr>
                <w:p w14:paraId="652EDE82">
                  <w:pPr>
                    <w:widowControl w:val="0"/>
                    <w:kinsoku/>
                    <w:autoSpaceDE/>
                    <w:autoSpaceDN/>
                    <w:adjustRightInd/>
                    <w:snapToGrid/>
                    <w:spacing w:line="340" w:lineRule="exact"/>
                    <w:ind w:firstLine="0" w:firstLineChars="0"/>
                    <w:jc w:val="center"/>
                    <w:textAlignment w:val="auto"/>
                    <w:rPr>
                      <w:rFonts w:hint="eastAsia" w:ascii="Times New Roman" w:hAnsi="Times New Roman" w:eastAsia="宋体" w:cs="Times New Roman"/>
                      <w:snapToGrid/>
                      <w:color w:val="auto"/>
                      <w:kern w:val="2"/>
                      <w:sz w:val="21"/>
                      <w:szCs w:val="21"/>
                      <w:highlight w:val="none"/>
                      <w:lang w:eastAsia="zh-CN" w:bidi="ar"/>
                    </w:rPr>
                  </w:pPr>
                  <w:r>
                    <w:rPr>
                      <w:rFonts w:hint="eastAsia" w:ascii="Times New Roman" w:hAnsi="Times New Roman" w:eastAsia="宋体" w:cs="Times New Roman"/>
                      <w:snapToGrid/>
                      <w:color w:val="auto"/>
                      <w:kern w:val="2"/>
                      <w:sz w:val="21"/>
                      <w:szCs w:val="21"/>
                      <w:highlight w:val="none"/>
                      <w:lang w:eastAsia="zh-CN" w:bidi="ar"/>
                    </w:rPr>
                    <w:t>75</w:t>
                  </w:r>
                </w:p>
              </w:tc>
              <w:tc>
                <w:tcPr>
                  <w:tcW w:w="1602" w:type="pct"/>
                  <w:tcBorders>
                    <w:tl2br w:val="nil"/>
                    <w:tr2bl w:val="nil"/>
                  </w:tcBorders>
                  <w:noWrap w:val="0"/>
                  <w:vAlign w:val="center"/>
                </w:tcPr>
                <w:p w14:paraId="110F476C">
                  <w:pPr>
                    <w:widowControl w:val="0"/>
                    <w:kinsoku/>
                    <w:autoSpaceDE/>
                    <w:autoSpaceDN/>
                    <w:adjustRightInd/>
                    <w:snapToGrid/>
                    <w:spacing w:line="340" w:lineRule="exact"/>
                    <w:ind w:firstLine="0" w:firstLineChars="0"/>
                    <w:jc w:val="center"/>
                    <w:textAlignment w:val="auto"/>
                    <w:rPr>
                      <w:rFonts w:hint="eastAsia" w:ascii="Times New Roman" w:hAnsi="Times New Roman" w:eastAsia="宋体" w:cs="Times New Roman"/>
                      <w:snapToGrid/>
                      <w:color w:val="auto"/>
                      <w:kern w:val="2"/>
                      <w:sz w:val="21"/>
                      <w:szCs w:val="21"/>
                      <w:highlight w:val="none"/>
                      <w:lang w:eastAsia="zh-CN" w:bidi="ar"/>
                    </w:rPr>
                  </w:pPr>
                  <w:r>
                    <w:rPr>
                      <w:rFonts w:hint="eastAsia" w:ascii="Times New Roman" w:hAnsi="Times New Roman" w:eastAsia="宋体" w:cs="Times New Roman"/>
                      <w:snapToGrid/>
                      <w:color w:val="auto"/>
                      <w:kern w:val="2"/>
                      <w:sz w:val="21"/>
                      <w:szCs w:val="21"/>
                      <w:highlight w:val="none"/>
                      <w:lang w:eastAsia="zh-CN" w:bidi="ar"/>
                    </w:rPr>
                    <w:t>基础减震、厂房隔声</w:t>
                  </w:r>
                </w:p>
              </w:tc>
              <w:tc>
                <w:tcPr>
                  <w:tcW w:w="1150" w:type="pct"/>
                  <w:tcBorders>
                    <w:tl2br w:val="nil"/>
                    <w:tr2bl w:val="nil"/>
                  </w:tcBorders>
                  <w:noWrap w:val="0"/>
                  <w:vAlign w:val="center"/>
                </w:tcPr>
                <w:p w14:paraId="7EC4F607">
                  <w:pPr>
                    <w:widowControl w:val="0"/>
                    <w:kinsoku/>
                    <w:autoSpaceDE/>
                    <w:autoSpaceDN/>
                    <w:adjustRightInd/>
                    <w:snapToGrid/>
                    <w:spacing w:line="340" w:lineRule="exact"/>
                    <w:ind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
                    </w:rPr>
                  </w:pPr>
                  <w:r>
                    <w:rPr>
                      <w:rFonts w:hint="eastAsia" w:ascii="Times New Roman" w:hAnsi="Times New Roman" w:eastAsia="宋体" w:cs="Times New Roman"/>
                      <w:snapToGrid/>
                      <w:color w:val="auto"/>
                      <w:kern w:val="2"/>
                      <w:sz w:val="21"/>
                      <w:szCs w:val="21"/>
                      <w:highlight w:val="none"/>
                      <w:lang w:val="en-US" w:eastAsia="zh-CN" w:bidi="ar"/>
                    </w:rPr>
                    <w:t>60</w:t>
                  </w:r>
                </w:p>
              </w:tc>
            </w:tr>
            <w:tr w14:paraId="283B6A7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1351" w:type="pct"/>
                  <w:tcBorders>
                    <w:tl2br w:val="nil"/>
                    <w:tr2bl w:val="nil"/>
                  </w:tcBorders>
                  <w:noWrap w:val="0"/>
                  <w:vAlign w:val="center"/>
                </w:tcPr>
                <w:p w14:paraId="69D9E30F">
                  <w:pPr>
                    <w:widowControl w:val="0"/>
                    <w:kinsoku/>
                    <w:autoSpaceDE/>
                    <w:autoSpaceDN/>
                    <w:adjustRightInd/>
                    <w:snapToGrid/>
                    <w:spacing w:line="340" w:lineRule="exact"/>
                    <w:ind w:firstLine="0" w:firstLineChars="0"/>
                    <w:jc w:val="center"/>
                    <w:textAlignment w:val="auto"/>
                    <w:rPr>
                      <w:rFonts w:hint="eastAsia" w:ascii="Times New Roman" w:hAnsi="Times New Roman" w:eastAsia="宋体" w:cs="Times New Roman"/>
                      <w:snapToGrid/>
                      <w:color w:val="auto"/>
                      <w:kern w:val="2"/>
                      <w:sz w:val="21"/>
                      <w:szCs w:val="21"/>
                      <w:highlight w:val="none"/>
                      <w:lang w:eastAsia="zh-CN" w:bidi="ar"/>
                    </w:rPr>
                  </w:pPr>
                  <w:r>
                    <w:rPr>
                      <w:rFonts w:hint="eastAsia" w:ascii="Times New Roman" w:hAnsi="Times New Roman" w:eastAsia="宋体" w:cs="Times New Roman"/>
                      <w:snapToGrid/>
                      <w:color w:val="auto"/>
                      <w:kern w:val="2"/>
                      <w:sz w:val="21"/>
                      <w:szCs w:val="21"/>
                      <w:highlight w:val="none"/>
                      <w:lang w:eastAsia="zh-CN" w:bidi="ar"/>
                    </w:rPr>
                    <w:t>骨料计量系统</w:t>
                  </w:r>
                </w:p>
              </w:tc>
              <w:tc>
                <w:tcPr>
                  <w:tcW w:w="895" w:type="pct"/>
                  <w:tcBorders>
                    <w:tl2br w:val="nil"/>
                    <w:tr2bl w:val="nil"/>
                  </w:tcBorders>
                  <w:noWrap w:val="0"/>
                  <w:vAlign w:val="center"/>
                </w:tcPr>
                <w:p w14:paraId="0848A883">
                  <w:pPr>
                    <w:widowControl w:val="0"/>
                    <w:kinsoku/>
                    <w:autoSpaceDE/>
                    <w:autoSpaceDN/>
                    <w:adjustRightInd/>
                    <w:snapToGrid/>
                    <w:spacing w:line="340" w:lineRule="exact"/>
                    <w:ind w:firstLine="0" w:firstLineChars="0"/>
                    <w:jc w:val="center"/>
                    <w:textAlignment w:val="auto"/>
                    <w:rPr>
                      <w:rFonts w:hint="eastAsia" w:ascii="Times New Roman" w:hAnsi="Times New Roman" w:eastAsia="宋体" w:cs="Times New Roman"/>
                      <w:snapToGrid/>
                      <w:color w:val="auto"/>
                      <w:kern w:val="2"/>
                      <w:sz w:val="21"/>
                      <w:szCs w:val="21"/>
                      <w:highlight w:val="none"/>
                      <w:lang w:eastAsia="zh-CN" w:bidi="ar"/>
                    </w:rPr>
                  </w:pPr>
                  <w:r>
                    <w:rPr>
                      <w:rFonts w:hint="eastAsia" w:ascii="Times New Roman" w:hAnsi="Times New Roman" w:eastAsia="宋体" w:cs="Times New Roman"/>
                      <w:snapToGrid/>
                      <w:color w:val="auto"/>
                      <w:kern w:val="2"/>
                      <w:sz w:val="21"/>
                      <w:szCs w:val="21"/>
                      <w:highlight w:val="none"/>
                      <w:lang w:eastAsia="zh-CN" w:bidi="ar"/>
                    </w:rPr>
                    <w:t>70</w:t>
                  </w:r>
                </w:p>
              </w:tc>
              <w:tc>
                <w:tcPr>
                  <w:tcW w:w="1602" w:type="pct"/>
                  <w:tcBorders>
                    <w:tl2br w:val="nil"/>
                    <w:tr2bl w:val="nil"/>
                  </w:tcBorders>
                  <w:noWrap w:val="0"/>
                  <w:vAlign w:val="center"/>
                </w:tcPr>
                <w:p w14:paraId="087B870F">
                  <w:pPr>
                    <w:widowControl w:val="0"/>
                    <w:kinsoku/>
                    <w:autoSpaceDE/>
                    <w:autoSpaceDN/>
                    <w:adjustRightInd/>
                    <w:snapToGrid/>
                    <w:spacing w:line="340" w:lineRule="exact"/>
                    <w:ind w:firstLine="0" w:firstLineChars="0"/>
                    <w:jc w:val="center"/>
                    <w:textAlignment w:val="auto"/>
                    <w:rPr>
                      <w:rFonts w:hint="eastAsia" w:ascii="Times New Roman" w:hAnsi="Times New Roman" w:eastAsia="宋体" w:cs="Times New Roman"/>
                      <w:snapToGrid/>
                      <w:color w:val="auto"/>
                      <w:kern w:val="2"/>
                      <w:sz w:val="21"/>
                      <w:szCs w:val="21"/>
                      <w:highlight w:val="none"/>
                      <w:lang w:eastAsia="zh-CN" w:bidi="ar"/>
                    </w:rPr>
                  </w:pPr>
                  <w:r>
                    <w:rPr>
                      <w:rFonts w:hint="eastAsia" w:ascii="Times New Roman" w:hAnsi="Times New Roman" w:eastAsia="宋体" w:cs="Times New Roman"/>
                      <w:snapToGrid/>
                      <w:color w:val="auto"/>
                      <w:kern w:val="2"/>
                      <w:sz w:val="21"/>
                      <w:szCs w:val="21"/>
                      <w:highlight w:val="none"/>
                      <w:lang w:eastAsia="zh-CN" w:bidi="ar"/>
                    </w:rPr>
                    <w:t>基础减震、厂房隔声</w:t>
                  </w:r>
                </w:p>
              </w:tc>
              <w:tc>
                <w:tcPr>
                  <w:tcW w:w="1150" w:type="pct"/>
                  <w:tcBorders>
                    <w:tl2br w:val="nil"/>
                    <w:tr2bl w:val="nil"/>
                  </w:tcBorders>
                  <w:noWrap w:val="0"/>
                  <w:vAlign w:val="center"/>
                </w:tcPr>
                <w:p w14:paraId="651D5D21">
                  <w:pPr>
                    <w:widowControl w:val="0"/>
                    <w:kinsoku/>
                    <w:autoSpaceDE/>
                    <w:autoSpaceDN/>
                    <w:adjustRightInd/>
                    <w:snapToGrid/>
                    <w:spacing w:line="340" w:lineRule="exact"/>
                    <w:ind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
                    </w:rPr>
                  </w:pPr>
                  <w:r>
                    <w:rPr>
                      <w:rFonts w:hint="eastAsia" w:ascii="Times New Roman" w:hAnsi="Times New Roman" w:eastAsia="宋体" w:cs="Times New Roman"/>
                      <w:snapToGrid/>
                      <w:color w:val="auto"/>
                      <w:kern w:val="2"/>
                      <w:sz w:val="21"/>
                      <w:szCs w:val="21"/>
                      <w:highlight w:val="none"/>
                      <w:lang w:val="en-US" w:eastAsia="zh-CN" w:bidi="ar"/>
                    </w:rPr>
                    <w:t>55</w:t>
                  </w:r>
                </w:p>
              </w:tc>
            </w:tr>
            <w:tr w14:paraId="1E0945C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351" w:type="pct"/>
                  <w:tcBorders>
                    <w:tl2br w:val="nil"/>
                    <w:tr2bl w:val="nil"/>
                  </w:tcBorders>
                  <w:noWrap w:val="0"/>
                  <w:vAlign w:val="center"/>
                </w:tcPr>
                <w:p w14:paraId="5C2D1444">
                  <w:pPr>
                    <w:widowControl w:val="0"/>
                    <w:kinsoku/>
                    <w:autoSpaceDE/>
                    <w:autoSpaceDN/>
                    <w:adjustRightInd/>
                    <w:snapToGrid/>
                    <w:spacing w:line="340" w:lineRule="exact"/>
                    <w:ind w:firstLine="0" w:firstLineChars="0"/>
                    <w:jc w:val="center"/>
                    <w:textAlignment w:val="auto"/>
                    <w:rPr>
                      <w:rFonts w:hint="eastAsia" w:ascii="Times New Roman" w:hAnsi="Times New Roman" w:eastAsia="宋体" w:cs="Times New Roman"/>
                      <w:snapToGrid/>
                      <w:color w:val="auto"/>
                      <w:kern w:val="2"/>
                      <w:sz w:val="21"/>
                      <w:szCs w:val="21"/>
                      <w:highlight w:val="none"/>
                      <w:lang w:eastAsia="zh-CN" w:bidi="ar"/>
                    </w:rPr>
                  </w:pPr>
                  <w:r>
                    <w:rPr>
                      <w:rFonts w:hint="eastAsia" w:ascii="Times New Roman" w:hAnsi="Times New Roman" w:eastAsia="宋体" w:cs="Times New Roman"/>
                      <w:snapToGrid/>
                      <w:color w:val="auto"/>
                      <w:kern w:val="2"/>
                      <w:sz w:val="21"/>
                      <w:szCs w:val="21"/>
                      <w:highlight w:val="none"/>
                      <w:lang w:eastAsia="zh-CN" w:bidi="ar"/>
                    </w:rPr>
                    <w:t>粉料计量系统</w:t>
                  </w:r>
                </w:p>
              </w:tc>
              <w:tc>
                <w:tcPr>
                  <w:tcW w:w="895" w:type="pct"/>
                  <w:tcBorders>
                    <w:tl2br w:val="nil"/>
                    <w:tr2bl w:val="nil"/>
                  </w:tcBorders>
                  <w:noWrap w:val="0"/>
                  <w:vAlign w:val="center"/>
                </w:tcPr>
                <w:p w14:paraId="23A9D670">
                  <w:pPr>
                    <w:widowControl w:val="0"/>
                    <w:kinsoku/>
                    <w:autoSpaceDE/>
                    <w:autoSpaceDN/>
                    <w:adjustRightInd/>
                    <w:snapToGrid/>
                    <w:spacing w:line="340" w:lineRule="exact"/>
                    <w:ind w:firstLine="0" w:firstLineChars="0"/>
                    <w:jc w:val="center"/>
                    <w:textAlignment w:val="auto"/>
                    <w:rPr>
                      <w:rFonts w:hint="eastAsia" w:ascii="Times New Roman" w:hAnsi="Times New Roman" w:eastAsia="宋体" w:cs="Times New Roman"/>
                      <w:snapToGrid/>
                      <w:color w:val="auto"/>
                      <w:kern w:val="2"/>
                      <w:sz w:val="21"/>
                      <w:szCs w:val="21"/>
                      <w:highlight w:val="none"/>
                      <w:lang w:eastAsia="zh-CN" w:bidi="ar"/>
                    </w:rPr>
                  </w:pPr>
                  <w:r>
                    <w:rPr>
                      <w:rFonts w:hint="eastAsia" w:ascii="Times New Roman" w:hAnsi="Times New Roman" w:eastAsia="宋体" w:cs="Times New Roman"/>
                      <w:snapToGrid/>
                      <w:color w:val="auto"/>
                      <w:kern w:val="2"/>
                      <w:sz w:val="21"/>
                      <w:szCs w:val="21"/>
                      <w:highlight w:val="none"/>
                      <w:lang w:eastAsia="zh-CN" w:bidi="ar"/>
                    </w:rPr>
                    <w:t>70</w:t>
                  </w:r>
                </w:p>
              </w:tc>
              <w:tc>
                <w:tcPr>
                  <w:tcW w:w="1602" w:type="pct"/>
                  <w:tcBorders>
                    <w:tl2br w:val="nil"/>
                    <w:tr2bl w:val="nil"/>
                  </w:tcBorders>
                  <w:noWrap w:val="0"/>
                  <w:vAlign w:val="center"/>
                </w:tcPr>
                <w:p w14:paraId="5AB421B5">
                  <w:pPr>
                    <w:widowControl w:val="0"/>
                    <w:kinsoku/>
                    <w:autoSpaceDE/>
                    <w:autoSpaceDN/>
                    <w:adjustRightInd/>
                    <w:snapToGrid/>
                    <w:spacing w:line="340" w:lineRule="exact"/>
                    <w:ind w:firstLine="0" w:firstLineChars="0"/>
                    <w:jc w:val="center"/>
                    <w:textAlignment w:val="auto"/>
                    <w:rPr>
                      <w:rFonts w:hint="eastAsia" w:ascii="Times New Roman" w:hAnsi="Times New Roman" w:eastAsia="宋体" w:cs="Times New Roman"/>
                      <w:snapToGrid/>
                      <w:color w:val="auto"/>
                      <w:kern w:val="2"/>
                      <w:sz w:val="21"/>
                      <w:szCs w:val="21"/>
                      <w:highlight w:val="none"/>
                      <w:lang w:eastAsia="zh-CN" w:bidi="ar"/>
                    </w:rPr>
                  </w:pPr>
                  <w:r>
                    <w:rPr>
                      <w:rFonts w:hint="eastAsia" w:ascii="Times New Roman" w:hAnsi="Times New Roman" w:eastAsia="宋体" w:cs="Times New Roman"/>
                      <w:snapToGrid/>
                      <w:color w:val="auto"/>
                      <w:kern w:val="2"/>
                      <w:sz w:val="21"/>
                      <w:szCs w:val="21"/>
                      <w:highlight w:val="none"/>
                      <w:lang w:eastAsia="zh-CN" w:bidi="ar"/>
                    </w:rPr>
                    <w:t>基础减震、厂房隔声</w:t>
                  </w:r>
                </w:p>
              </w:tc>
              <w:tc>
                <w:tcPr>
                  <w:tcW w:w="1150" w:type="pct"/>
                  <w:tcBorders>
                    <w:tl2br w:val="nil"/>
                    <w:tr2bl w:val="nil"/>
                  </w:tcBorders>
                  <w:noWrap w:val="0"/>
                  <w:vAlign w:val="center"/>
                </w:tcPr>
                <w:p w14:paraId="25AE9D8F">
                  <w:pPr>
                    <w:widowControl w:val="0"/>
                    <w:kinsoku/>
                    <w:autoSpaceDE/>
                    <w:autoSpaceDN/>
                    <w:adjustRightInd/>
                    <w:snapToGrid/>
                    <w:spacing w:line="340" w:lineRule="exact"/>
                    <w:ind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
                    </w:rPr>
                  </w:pPr>
                  <w:r>
                    <w:rPr>
                      <w:rFonts w:hint="eastAsia" w:ascii="Times New Roman" w:hAnsi="Times New Roman" w:eastAsia="宋体" w:cs="Times New Roman"/>
                      <w:snapToGrid/>
                      <w:color w:val="auto"/>
                      <w:kern w:val="2"/>
                      <w:sz w:val="21"/>
                      <w:szCs w:val="21"/>
                      <w:highlight w:val="none"/>
                      <w:lang w:val="en-US" w:eastAsia="zh-CN" w:bidi="ar"/>
                    </w:rPr>
                    <w:t>55</w:t>
                  </w:r>
                </w:p>
              </w:tc>
            </w:tr>
            <w:tr w14:paraId="4EE21E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1351" w:type="pct"/>
                  <w:tcBorders>
                    <w:tl2br w:val="nil"/>
                    <w:tr2bl w:val="nil"/>
                  </w:tcBorders>
                  <w:noWrap w:val="0"/>
                  <w:vAlign w:val="center"/>
                </w:tcPr>
                <w:p w14:paraId="22D317FF">
                  <w:pPr>
                    <w:widowControl w:val="0"/>
                    <w:kinsoku/>
                    <w:autoSpaceDE/>
                    <w:autoSpaceDN/>
                    <w:adjustRightInd/>
                    <w:snapToGrid/>
                    <w:spacing w:line="340" w:lineRule="exact"/>
                    <w:ind w:firstLine="0" w:firstLineChars="0"/>
                    <w:jc w:val="center"/>
                    <w:textAlignment w:val="auto"/>
                    <w:rPr>
                      <w:rFonts w:hint="eastAsia" w:ascii="Times New Roman" w:hAnsi="Times New Roman" w:eastAsia="宋体" w:cs="Times New Roman"/>
                      <w:snapToGrid/>
                      <w:color w:val="auto"/>
                      <w:kern w:val="2"/>
                      <w:sz w:val="21"/>
                      <w:szCs w:val="21"/>
                      <w:highlight w:val="none"/>
                      <w:lang w:eastAsia="zh-CN" w:bidi="ar"/>
                    </w:rPr>
                  </w:pPr>
                  <w:r>
                    <w:rPr>
                      <w:rFonts w:hint="eastAsia" w:ascii="Times New Roman" w:hAnsi="Times New Roman" w:eastAsia="宋体" w:cs="Times New Roman"/>
                      <w:snapToGrid/>
                      <w:color w:val="auto"/>
                      <w:kern w:val="2"/>
                      <w:sz w:val="21"/>
                      <w:szCs w:val="21"/>
                      <w:highlight w:val="none"/>
                      <w:lang w:eastAsia="zh-CN" w:bidi="ar"/>
                    </w:rPr>
                    <w:t>沥青计量系统</w:t>
                  </w:r>
                </w:p>
              </w:tc>
              <w:tc>
                <w:tcPr>
                  <w:tcW w:w="895" w:type="pct"/>
                  <w:tcBorders>
                    <w:tl2br w:val="nil"/>
                    <w:tr2bl w:val="nil"/>
                  </w:tcBorders>
                  <w:noWrap w:val="0"/>
                  <w:vAlign w:val="center"/>
                </w:tcPr>
                <w:p w14:paraId="28C12934">
                  <w:pPr>
                    <w:widowControl w:val="0"/>
                    <w:kinsoku/>
                    <w:autoSpaceDE/>
                    <w:autoSpaceDN/>
                    <w:adjustRightInd/>
                    <w:snapToGrid/>
                    <w:spacing w:line="340" w:lineRule="exact"/>
                    <w:ind w:firstLine="0" w:firstLineChars="0"/>
                    <w:jc w:val="center"/>
                    <w:textAlignment w:val="auto"/>
                    <w:rPr>
                      <w:rFonts w:hint="eastAsia" w:ascii="Times New Roman" w:hAnsi="Times New Roman" w:eastAsia="宋体" w:cs="Times New Roman"/>
                      <w:snapToGrid/>
                      <w:color w:val="auto"/>
                      <w:kern w:val="2"/>
                      <w:sz w:val="21"/>
                      <w:szCs w:val="21"/>
                      <w:highlight w:val="none"/>
                      <w:lang w:eastAsia="zh-CN" w:bidi="ar"/>
                    </w:rPr>
                  </w:pPr>
                  <w:r>
                    <w:rPr>
                      <w:rFonts w:hint="eastAsia" w:ascii="Times New Roman" w:hAnsi="Times New Roman" w:eastAsia="宋体" w:cs="Times New Roman"/>
                      <w:snapToGrid/>
                      <w:color w:val="auto"/>
                      <w:kern w:val="2"/>
                      <w:sz w:val="21"/>
                      <w:szCs w:val="21"/>
                      <w:highlight w:val="none"/>
                      <w:lang w:eastAsia="zh-CN" w:bidi="ar"/>
                    </w:rPr>
                    <w:t>70</w:t>
                  </w:r>
                </w:p>
              </w:tc>
              <w:tc>
                <w:tcPr>
                  <w:tcW w:w="1602" w:type="pct"/>
                  <w:tcBorders>
                    <w:tl2br w:val="nil"/>
                    <w:tr2bl w:val="nil"/>
                  </w:tcBorders>
                  <w:noWrap w:val="0"/>
                  <w:vAlign w:val="center"/>
                </w:tcPr>
                <w:p w14:paraId="00D30771">
                  <w:pPr>
                    <w:widowControl w:val="0"/>
                    <w:kinsoku/>
                    <w:autoSpaceDE/>
                    <w:autoSpaceDN/>
                    <w:adjustRightInd/>
                    <w:snapToGrid/>
                    <w:spacing w:line="340" w:lineRule="exact"/>
                    <w:ind w:firstLine="0" w:firstLineChars="0"/>
                    <w:jc w:val="center"/>
                    <w:textAlignment w:val="auto"/>
                    <w:rPr>
                      <w:rFonts w:hint="eastAsia" w:ascii="Times New Roman" w:hAnsi="Times New Roman" w:eastAsia="宋体" w:cs="Times New Roman"/>
                      <w:snapToGrid/>
                      <w:color w:val="auto"/>
                      <w:kern w:val="2"/>
                      <w:sz w:val="21"/>
                      <w:szCs w:val="21"/>
                      <w:highlight w:val="none"/>
                      <w:lang w:eastAsia="zh-CN" w:bidi="ar"/>
                    </w:rPr>
                  </w:pPr>
                  <w:r>
                    <w:rPr>
                      <w:rFonts w:hint="eastAsia" w:ascii="Times New Roman" w:hAnsi="Times New Roman" w:eastAsia="宋体" w:cs="Times New Roman"/>
                      <w:snapToGrid/>
                      <w:color w:val="auto"/>
                      <w:kern w:val="2"/>
                      <w:sz w:val="21"/>
                      <w:szCs w:val="21"/>
                      <w:highlight w:val="none"/>
                      <w:lang w:eastAsia="zh-CN" w:bidi="ar"/>
                    </w:rPr>
                    <w:t>基础减震、厂房隔声</w:t>
                  </w:r>
                </w:p>
              </w:tc>
              <w:tc>
                <w:tcPr>
                  <w:tcW w:w="1150" w:type="pct"/>
                  <w:tcBorders>
                    <w:tl2br w:val="nil"/>
                    <w:tr2bl w:val="nil"/>
                  </w:tcBorders>
                  <w:noWrap w:val="0"/>
                  <w:vAlign w:val="center"/>
                </w:tcPr>
                <w:p w14:paraId="340C8411">
                  <w:pPr>
                    <w:widowControl w:val="0"/>
                    <w:kinsoku/>
                    <w:autoSpaceDE/>
                    <w:autoSpaceDN/>
                    <w:adjustRightInd/>
                    <w:snapToGrid/>
                    <w:spacing w:line="340" w:lineRule="exact"/>
                    <w:ind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
                    </w:rPr>
                  </w:pPr>
                  <w:r>
                    <w:rPr>
                      <w:rFonts w:hint="eastAsia" w:ascii="Times New Roman" w:hAnsi="Times New Roman" w:eastAsia="宋体" w:cs="Times New Roman"/>
                      <w:snapToGrid/>
                      <w:color w:val="auto"/>
                      <w:kern w:val="2"/>
                      <w:sz w:val="21"/>
                      <w:szCs w:val="21"/>
                      <w:highlight w:val="none"/>
                      <w:lang w:val="en-US" w:eastAsia="zh-CN" w:bidi="ar"/>
                    </w:rPr>
                    <w:t>55</w:t>
                  </w:r>
                </w:p>
              </w:tc>
            </w:tr>
            <w:tr w14:paraId="1456DC0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351" w:type="pct"/>
                  <w:tcBorders>
                    <w:tl2br w:val="nil"/>
                    <w:tr2bl w:val="nil"/>
                  </w:tcBorders>
                  <w:noWrap w:val="0"/>
                  <w:vAlign w:val="center"/>
                </w:tcPr>
                <w:p w14:paraId="2F98A522">
                  <w:pPr>
                    <w:widowControl w:val="0"/>
                    <w:kinsoku/>
                    <w:autoSpaceDE/>
                    <w:autoSpaceDN/>
                    <w:adjustRightInd/>
                    <w:snapToGrid/>
                    <w:spacing w:line="340" w:lineRule="exact"/>
                    <w:ind w:firstLine="0" w:firstLineChars="0"/>
                    <w:jc w:val="center"/>
                    <w:textAlignment w:val="auto"/>
                    <w:rPr>
                      <w:rFonts w:hint="eastAsia" w:ascii="Times New Roman" w:hAnsi="Times New Roman" w:eastAsia="宋体" w:cs="Times New Roman"/>
                      <w:snapToGrid/>
                      <w:color w:val="auto"/>
                      <w:kern w:val="2"/>
                      <w:sz w:val="21"/>
                      <w:szCs w:val="21"/>
                      <w:highlight w:val="none"/>
                      <w:lang w:eastAsia="zh-CN" w:bidi="ar"/>
                    </w:rPr>
                  </w:pPr>
                  <w:r>
                    <w:rPr>
                      <w:rFonts w:hint="eastAsia" w:ascii="Times New Roman" w:hAnsi="Times New Roman" w:eastAsia="宋体" w:cs="Times New Roman"/>
                      <w:snapToGrid/>
                      <w:color w:val="auto"/>
                      <w:kern w:val="2"/>
                      <w:sz w:val="21"/>
                      <w:szCs w:val="21"/>
                      <w:highlight w:val="none"/>
                      <w:lang w:eastAsia="zh-CN" w:bidi="ar"/>
                    </w:rPr>
                    <w:t>沥青输送系统</w:t>
                  </w:r>
                </w:p>
              </w:tc>
              <w:tc>
                <w:tcPr>
                  <w:tcW w:w="895" w:type="pct"/>
                  <w:tcBorders>
                    <w:tl2br w:val="nil"/>
                    <w:tr2bl w:val="nil"/>
                  </w:tcBorders>
                  <w:noWrap w:val="0"/>
                  <w:vAlign w:val="center"/>
                </w:tcPr>
                <w:p w14:paraId="038AC1F6">
                  <w:pPr>
                    <w:widowControl w:val="0"/>
                    <w:kinsoku/>
                    <w:autoSpaceDE/>
                    <w:autoSpaceDN/>
                    <w:adjustRightInd/>
                    <w:snapToGrid/>
                    <w:spacing w:line="340" w:lineRule="exact"/>
                    <w:ind w:firstLine="0" w:firstLineChars="0"/>
                    <w:jc w:val="center"/>
                    <w:textAlignment w:val="auto"/>
                    <w:rPr>
                      <w:rFonts w:hint="eastAsia" w:ascii="Times New Roman" w:hAnsi="Times New Roman" w:eastAsia="宋体" w:cs="Times New Roman"/>
                      <w:snapToGrid/>
                      <w:color w:val="auto"/>
                      <w:kern w:val="2"/>
                      <w:sz w:val="21"/>
                      <w:szCs w:val="21"/>
                      <w:highlight w:val="none"/>
                      <w:lang w:eastAsia="zh-CN" w:bidi="ar"/>
                    </w:rPr>
                  </w:pPr>
                  <w:r>
                    <w:rPr>
                      <w:rFonts w:hint="eastAsia" w:ascii="Times New Roman" w:hAnsi="Times New Roman" w:eastAsia="宋体" w:cs="Times New Roman"/>
                      <w:snapToGrid/>
                      <w:color w:val="auto"/>
                      <w:kern w:val="2"/>
                      <w:sz w:val="21"/>
                      <w:szCs w:val="21"/>
                      <w:highlight w:val="none"/>
                      <w:lang w:eastAsia="zh-CN" w:bidi="ar"/>
                    </w:rPr>
                    <w:t>80</w:t>
                  </w:r>
                </w:p>
              </w:tc>
              <w:tc>
                <w:tcPr>
                  <w:tcW w:w="1602" w:type="pct"/>
                  <w:tcBorders>
                    <w:tl2br w:val="nil"/>
                    <w:tr2bl w:val="nil"/>
                  </w:tcBorders>
                  <w:noWrap w:val="0"/>
                  <w:vAlign w:val="center"/>
                </w:tcPr>
                <w:p w14:paraId="7204B55A">
                  <w:pPr>
                    <w:widowControl w:val="0"/>
                    <w:kinsoku/>
                    <w:autoSpaceDE/>
                    <w:autoSpaceDN/>
                    <w:adjustRightInd/>
                    <w:snapToGrid/>
                    <w:spacing w:line="340" w:lineRule="exact"/>
                    <w:ind w:firstLine="0" w:firstLineChars="0"/>
                    <w:jc w:val="center"/>
                    <w:textAlignment w:val="auto"/>
                    <w:rPr>
                      <w:rFonts w:hint="eastAsia" w:ascii="Times New Roman" w:hAnsi="Times New Roman" w:eastAsia="宋体" w:cs="Times New Roman"/>
                      <w:snapToGrid/>
                      <w:color w:val="auto"/>
                      <w:kern w:val="2"/>
                      <w:sz w:val="21"/>
                      <w:szCs w:val="21"/>
                      <w:highlight w:val="none"/>
                      <w:lang w:eastAsia="zh-CN" w:bidi="ar"/>
                    </w:rPr>
                  </w:pPr>
                  <w:r>
                    <w:rPr>
                      <w:rFonts w:hint="eastAsia" w:ascii="Times New Roman" w:hAnsi="Times New Roman" w:eastAsia="宋体" w:cs="Times New Roman"/>
                      <w:snapToGrid/>
                      <w:color w:val="auto"/>
                      <w:kern w:val="2"/>
                      <w:sz w:val="21"/>
                      <w:szCs w:val="21"/>
                      <w:highlight w:val="none"/>
                      <w:lang w:eastAsia="zh-CN" w:bidi="ar"/>
                    </w:rPr>
                    <w:t>基础减震、厂房隔声</w:t>
                  </w:r>
                </w:p>
              </w:tc>
              <w:tc>
                <w:tcPr>
                  <w:tcW w:w="1150" w:type="pct"/>
                  <w:tcBorders>
                    <w:tl2br w:val="nil"/>
                    <w:tr2bl w:val="nil"/>
                  </w:tcBorders>
                  <w:noWrap w:val="0"/>
                  <w:vAlign w:val="center"/>
                </w:tcPr>
                <w:p w14:paraId="3B277F60">
                  <w:pPr>
                    <w:widowControl w:val="0"/>
                    <w:kinsoku/>
                    <w:autoSpaceDE/>
                    <w:autoSpaceDN/>
                    <w:adjustRightInd/>
                    <w:snapToGrid/>
                    <w:spacing w:line="340" w:lineRule="exact"/>
                    <w:ind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
                    </w:rPr>
                  </w:pPr>
                  <w:r>
                    <w:rPr>
                      <w:rFonts w:hint="eastAsia" w:ascii="Times New Roman" w:hAnsi="Times New Roman" w:eastAsia="宋体" w:cs="Times New Roman"/>
                      <w:snapToGrid/>
                      <w:color w:val="auto"/>
                      <w:kern w:val="2"/>
                      <w:sz w:val="21"/>
                      <w:szCs w:val="21"/>
                      <w:highlight w:val="none"/>
                      <w:lang w:val="en-US" w:eastAsia="zh-CN" w:bidi="ar"/>
                    </w:rPr>
                    <w:t>65</w:t>
                  </w:r>
                </w:p>
              </w:tc>
            </w:tr>
            <w:tr w14:paraId="67DAED2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351" w:type="pct"/>
                  <w:tcBorders>
                    <w:tl2br w:val="nil"/>
                    <w:tr2bl w:val="nil"/>
                  </w:tcBorders>
                  <w:noWrap w:val="0"/>
                  <w:vAlign w:val="center"/>
                </w:tcPr>
                <w:p w14:paraId="46B87A42">
                  <w:pPr>
                    <w:widowControl w:val="0"/>
                    <w:kinsoku/>
                    <w:autoSpaceDE/>
                    <w:autoSpaceDN/>
                    <w:adjustRightInd/>
                    <w:snapToGrid/>
                    <w:spacing w:line="340" w:lineRule="exact"/>
                    <w:ind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
                    </w:rPr>
                  </w:pPr>
                  <w:r>
                    <w:rPr>
                      <w:rFonts w:hint="eastAsia" w:ascii="Times New Roman" w:hAnsi="Times New Roman" w:eastAsia="宋体" w:cs="Times New Roman"/>
                      <w:snapToGrid/>
                      <w:color w:val="auto"/>
                      <w:kern w:val="2"/>
                      <w:sz w:val="21"/>
                      <w:szCs w:val="21"/>
                      <w:highlight w:val="none"/>
                      <w:lang w:eastAsia="zh-CN" w:bidi="ar"/>
                    </w:rPr>
                    <w:t>沥青混合料搅拌</w:t>
                  </w:r>
                  <w:r>
                    <w:rPr>
                      <w:rFonts w:hint="eastAsia" w:ascii="Times New Roman" w:hAnsi="Times New Roman" w:eastAsia="宋体" w:cs="Times New Roman"/>
                      <w:snapToGrid/>
                      <w:color w:val="auto"/>
                      <w:kern w:val="2"/>
                      <w:sz w:val="21"/>
                      <w:szCs w:val="21"/>
                      <w:highlight w:val="none"/>
                      <w:lang w:val="en-US" w:eastAsia="zh-CN" w:bidi="ar"/>
                    </w:rPr>
                    <w:t>缸</w:t>
                  </w:r>
                </w:p>
              </w:tc>
              <w:tc>
                <w:tcPr>
                  <w:tcW w:w="895" w:type="pct"/>
                  <w:tcBorders>
                    <w:tl2br w:val="nil"/>
                    <w:tr2bl w:val="nil"/>
                  </w:tcBorders>
                  <w:noWrap w:val="0"/>
                  <w:vAlign w:val="center"/>
                </w:tcPr>
                <w:p w14:paraId="40B11348">
                  <w:pPr>
                    <w:widowControl w:val="0"/>
                    <w:kinsoku/>
                    <w:autoSpaceDE/>
                    <w:autoSpaceDN/>
                    <w:adjustRightInd/>
                    <w:snapToGrid/>
                    <w:spacing w:line="340" w:lineRule="exact"/>
                    <w:ind w:firstLine="0" w:firstLineChars="0"/>
                    <w:jc w:val="center"/>
                    <w:textAlignment w:val="auto"/>
                    <w:rPr>
                      <w:rFonts w:hint="eastAsia" w:ascii="Times New Roman" w:hAnsi="Times New Roman" w:eastAsia="宋体" w:cs="Times New Roman"/>
                      <w:snapToGrid/>
                      <w:color w:val="auto"/>
                      <w:kern w:val="2"/>
                      <w:sz w:val="21"/>
                      <w:szCs w:val="21"/>
                      <w:highlight w:val="none"/>
                      <w:lang w:eastAsia="zh-CN" w:bidi="ar"/>
                    </w:rPr>
                  </w:pPr>
                  <w:r>
                    <w:rPr>
                      <w:rFonts w:hint="eastAsia" w:ascii="Times New Roman" w:hAnsi="Times New Roman" w:eastAsia="宋体" w:cs="Times New Roman"/>
                      <w:snapToGrid/>
                      <w:color w:val="auto"/>
                      <w:kern w:val="2"/>
                      <w:sz w:val="21"/>
                      <w:szCs w:val="21"/>
                      <w:highlight w:val="none"/>
                      <w:lang w:eastAsia="zh-CN" w:bidi="ar"/>
                    </w:rPr>
                    <w:t>85</w:t>
                  </w:r>
                </w:p>
              </w:tc>
              <w:tc>
                <w:tcPr>
                  <w:tcW w:w="1602" w:type="pct"/>
                  <w:tcBorders>
                    <w:tl2br w:val="nil"/>
                    <w:tr2bl w:val="nil"/>
                  </w:tcBorders>
                  <w:noWrap w:val="0"/>
                  <w:vAlign w:val="center"/>
                </w:tcPr>
                <w:p w14:paraId="4649DFFA">
                  <w:pPr>
                    <w:widowControl w:val="0"/>
                    <w:kinsoku/>
                    <w:autoSpaceDE/>
                    <w:autoSpaceDN/>
                    <w:adjustRightInd/>
                    <w:snapToGrid/>
                    <w:spacing w:line="340" w:lineRule="exact"/>
                    <w:ind w:firstLine="0" w:firstLineChars="0"/>
                    <w:jc w:val="center"/>
                    <w:textAlignment w:val="auto"/>
                    <w:rPr>
                      <w:rFonts w:hint="eastAsia" w:ascii="Times New Roman" w:hAnsi="Times New Roman" w:eastAsia="宋体" w:cs="Times New Roman"/>
                      <w:snapToGrid/>
                      <w:color w:val="auto"/>
                      <w:kern w:val="2"/>
                      <w:sz w:val="21"/>
                      <w:szCs w:val="21"/>
                      <w:highlight w:val="none"/>
                      <w:lang w:eastAsia="zh-CN" w:bidi="ar"/>
                    </w:rPr>
                  </w:pPr>
                  <w:r>
                    <w:rPr>
                      <w:rFonts w:hint="eastAsia" w:ascii="Times New Roman" w:hAnsi="Times New Roman" w:eastAsia="宋体" w:cs="Times New Roman"/>
                      <w:snapToGrid/>
                      <w:color w:val="auto"/>
                      <w:kern w:val="2"/>
                      <w:sz w:val="21"/>
                      <w:szCs w:val="21"/>
                      <w:highlight w:val="none"/>
                      <w:lang w:eastAsia="zh-CN" w:bidi="ar"/>
                    </w:rPr>
                    <w:t>基础减震、厂房隔声</w:t>
                  </w:r>
                </w:p>
              </w:tc>
              <w:tc>
                <w:tcPr>
                  <w:tcW w:w="1150" w:type="pct"/>
                  <w:tcBorders>
                    <w:tl2br w:val="nil"/>
                    <w:tr2bl w:val="nil"/>
                  </w:tcBorders>
                  <w:noWrap w:val="0"/>
                  <w:vAlign w:val="center"/>
                </w:tcPr>
                <w:p w14:paraId="75036A6A">
                  <w:pPr>
                    <w:widowControl w:val="0"/>
                    <w:kinsoku/>
                    <w:autoSpaceDE/>
                    <w:autoSpaceDN/>
                    <w:adjustRightInd/>
                    <w:snapToGrid/>
                    <w:spacing w:line="340" w:lineRule="exact"/>
                    <w:ind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
                    </w:rPr>
                  </w:pPr>
                  <w:r>
                    <w:rPr>
                      <w:rFonts w:hint="eastAsia" w:ascii="Times New Roman" w:hAnsi="Times New Roman" w:eastAsia="宋体" w:cs="Times New Roman"/>
                      <w:snapToGrid/>
                      <w:color w:val="auto"/>
                      <w:kern w:val="2"/>
                      <w:sz w:val="21"/>
                      <w:szCs w:val="21"/>
                      <w:highlight w:val="none"/>
                      <w:lang w:val="en-US" w:eastAsia="zh-CN" w:bidi="ar"/>
                    </w:rPr>
                    <w:t>70</w:t>
                  </w:r>
                </w:p>
              </w:tc>
            </w:tr>
            <w:tr w14:paraId="66B09BD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351" w:type="pct"/>
                  <w:tcBorders>
                    <w:tl2br w:val="nil"/>
                    <w:tr2bl w:val="nil"/>
                  </w:tcBorders>
                  <w:noWrap w:val="0"/>
                  <w:vAlign w:val="center"/>
                </w:tcPr>
                <w:p w14:paraId="32B62102">
                  <w:pPr>
                    <w:widowControl w:val="0"/>
                    <w:kinsoku/>
                    <w:autoSpaceDE/>
                    <w:autoSpaceDN/>
                    <w:adjustRightInd/>
                    <w:snapToGrid/>
                    <w:spacing w:line="340" w:lineRule="exact"/>
                    <w:ind w:firstLine="0" w:firstLineChars="0"/>
                    <w:jc w:val="center"/>
                    <w:textAlignment w:val="auto"/>
                    <w:rPr>
                      <w:rFonts w:hint="eastAsia" w:ascii="Times New Roman" w:hAnsi="Times New Roman" w:eastAsia="宋体" w:cs="Times New Roman"/>
                      <w:snapToGrid/>
                      <w:color w:val="auto"/>
                      <w:kern w:val="2"/>
                      <w:sz w:val="21"/>
                      <w:szCs w:val="21"/>
                      <w:highlight w:val="none"/>
                      <w:lang w:eastAsia="zh-CN" w:bidi="ar"/>
                    </w:rPr>
                  </w:pPr>
                  <w:r>
                    <w:rPr>
                      <w:rFonts w:hint="eastAsia" w:ascii="Times New Roman" w:hAnsi="Times New Roman" w:eastAsia="宋体" w:cs="Times New Roman"/>
                      <w:snapToGrid/>
                      <w:color w:val="auto"/>
                      <w:kern w:val="2"/>
                      <w:sz w:val="21"/>
                      <w:szCs w:val="21"/>
                      <w:highlight w:val="none"/>
                      <w:lang w:eastAsia="zh-CN" w:bidi="ar"/>
                    </w:rPr>
                    <w:t>粉料储存输送系</w:t>
                  </w:r>
                </w:p>
              </w:tc>
              <w:tc>
                <w:tcPr>
                  <w:tcW w:w="895" w:type="pct"/>
                  <w:tcBorders>
                    <w:tl2br w:val="nil"/>
                    <w:tr2bl w:val="nil"/>
                  </w:tcBorders>
                  <w:noWrap w:val="0"/>
                  <w:vAlign w:val="center"/>
                </w:tcPr>
                <w:p w14:paraId="1EF59901">
                  <w:pPr>
                    <w:widowControl w:val="0"/>
                    <w:kinsoku/>
                    <w:autoSpaceDE/>
                    <w:autoSpaceDN/>
                    <w:adjustRightInd/>
                    <w:snapToGrid/>
                    <w:spacing w:line="340" w:lineRule="exact"/>
                    <w:ind w:firstLine="0" w:firstLineChars="0"/>
                    <w:jc w:val="center"/>
                    <w:textAlignment w:val="auto"/>
                    <w:rPr>
                      <w:rFonts w:hint="eastAsia" w:ascii="Times New Roman" w:hAnsi="Times New Roman" w:eastAsia="宋体" w:cs="Times New Roman"/>
                      <w:snapToGrid/>
                      <w:color w:val="auto"/>
                      <w:kern w:val="2"/>
                      <w:sz w:val="21"/>
                      <w:szCs w:val="21"/>
                      <w:highlight w:val="none"/>
                      <w:lang w:eastAsia="zh-CN" w:bidi="ar"/>
                    </w:rPr>
                  </w:pPr>
                  <w:r>
                    <w:rPr>
                      <w:rFonts w:hint="eastAsia" w:ascii="Times New Roman" w:hAnsi="Times New Roman" w:eastAsia="宋体" w:cs="Times New Roman"/>
                      <w:snapToGrid/>
                      <w:color w:val="auto"/>
                      <w:kern w:val="2"/>
                      <w:sz w:val="21"/>
                      <w:szCs w:val="21"/>
                      <w:highlight w:val="none"/>
                      <w:lang w:eastAsia="zh-CN" w:bidi="ar"/>
                    </w:rPr>
                    <w:t>80</w:t>
                  </w:r>
                </w:p>
              </w:tc>
              <w:tc>
                <w:tcPr>
                  <w:tcW w:w="1602" w:type="pct"/>
                  <w:tcBorders>
                    <w:tl2br w:val="nil"/>
                    <w:tr2bl w:val="nil"/>
                  </w:tcBorders>
                  <w:noWrap w:val="0"/>
                  <w:vAlign w:val="center"/>
                </w:tcPr>
                <w:p w14:paraId="47862404">
                  <w:pPr>
                    <w:widowControl w:val="0"/>
                    <w:kinsoku/>
                    <w:autoSpaceDE/>
                    <w:autoSpaceDN/>
                    <w:adjustRightInd/>
                    <w:snapToGrid/>
                    <w:spacing w:line="340" w:lineRule="exact"/>
                    <w:ind w:firstLine="0" w:firstLineChars="0"/>
                    <w:jc w:val="center"/>
                    <w:textAlignment w:val="auto"/>
                    <w:rPr>
                      <w:rFonts w:hint="eastAsia" w:ascii="Times New Roman" w:hAnsi="Times New Roman" w:eastAsia="宋体" w:cs="Times New Roman"/>
                      <w:snapToGrid/>
                      <w:color w:val="auto"/>
                      <w:kern w:val="2"/>
                      <w:sz w:val="21"/>
                      <w:szCs w:val="21"/>
                      <w:highlight w:val="none"/>
                      <w:lang w:eastAsia="zh-CN" w:bidi="ar"/>
                    </w:rPr>
                  </w:pPr>
                  <w:r>
                    <w:rPr>
                      <w:rFonts w:hint="eastAsia" w:ascii="Times New Roman" w:hAnsi="Times New Roman" w:eastAsia="宋体" w:cs="Times New Roman"/>
                      <w:snapToGrid/>
                      <w:color w:val="auto"/>
                      <w:kern w:val="2"/>
                      <w:sz w:val="21"/>
                      <w:szCs w:val="21"/>
                      <w:highlight w:val="none"/>
                      <w:lang w:eastAsia="zh-CN" w:bidi="ar"/>
                    </w:rPr>
                    <w:t>基础减震、厂房隔声</w:t>
                  </w:r>
                </w:p>
              </w:tc>
              <w:tc>
                <w:tcPr>
                  <w:tcW w:w="1150" w:type="pct"/>
                  <w:tcBorders>
                    <w:tl2br w:val="nil"/>
                    <w:tr2bl w:val="nil"/>
                  </w:tcBorders>
                  <w:noWrap w:val="0"/>
                  <w:vAlign w:val="center"/>
                </w:tcPr>
                <w:p w14:paraId="330832FF">
                  <w:pPr>
                    <w:widowControl w:val="0"/>
                    <w:kinsoku/>
                    <w:autoSpaceDE/>
                    <w:autoSpaceDN/>
                    <w:adjustRightInd/>
                    <w:snapToGrid/>
                    <w:spacing w:line="340" w:lineRule="exact"/>
                    <w:ind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
                    </w:rPr>
                  </w:pPr>
                  <w:r>
                    <w:rPr>
                      <w:rFonts w:hint="eastAsia" w:ascii="Times New Roman" w:hAnsi="Times New Roman" w:eastAsia="宋体" w:cs="Times New Roman"/>
                      <w:snapToGrid/>
                      <w:color w:val="auto"/>
                      <w:kern w:val="2"/>
                      <w:sz w:val="21"/>
                      <w:szCs w:val="21"/>
                      <w:highlight w:val="none"/>
                      <w:lang w:val="en-US" w:eastAsia="zh-CN" w:bidi="ar"/>
                    </w:rPr>
                    <w:t>65</w:t>
                  </w:r>
                </w:p>
              </w:tc>
            </w:tr>
            <w:tr w14:paraId="3C2724E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1351" w:type="pct"/>
                  <w:tcBorders>
                    <w:tl2br w:val="nil"/>
                    <w:tr2bl w:val="nil"/>
                  </w:tcBorders>
                  <w:noWrap w:val="0"/>
                  <w:vAlign w:val="center"/>
                </w:tcPr>
                <w:p w14:paraId="3F5271D1">
                  <w:pPr>
                    <w:widowControl w:val="0"/>
                    <w:kinsoku/>
                    <w:autoSpaceDE/>
                    <w:autoSpaceDN/>
                    <w:adjustRightInd/>
                    <w:snapToGrid/>
                    <w:spacing w:line="340" w:lineRule="exact"/>
                    <w:ind w:firstLine="0" w:firstLineChars="0"/>
                    <w:jc w:val="center"/>
                    <w:textAlignment w:val="auto"/>
                    <w:rPr>
                      <w:rFonts w:hint="eastAsia" w:ascii="Times New Roman" w:hAnsi="Times New Roman" w:eastAsia="宋体" w:cs="Times New Roman"/>
                      <w:snapToGrid/>
                      <w:color w:val="auto"/>
                      <w:kern w:val="2"/>
                      <w:sz w:val="21"/>
                      <w:szCs w:val="21"/>
                      <w:highlight w:val="none"/>
                      <w:lang w:eastAsia="zh-CN" w:bidi="ar"/>
                    </w:rPr>
                  </w:pPr>
                  <w:r>
                    <w:rPr>
                      <w:rFonts w:hint="eastAsia" w:ascii="Times New Roman" w:hAnsi="Times New Roman" w:eastAsia="宋体" w:cs="Times New Roman"/>
                      <w:snapToGrid/>
                      <w:color w:val="auto"/>
                      <w:kern w:val="2"/>
                      <w:sz w:val="21"/>
                      <w:szCs w:val="21"/>
                      <w:highlight w:val="none"/>
                      <w:lang w:eastAsia="zh-CN" w:bidi="ar"/>
                    </w:rPr>
                    <w:t>导热油加热沥青</w:t>
                  </w:r>
                </w:p>
              </w:tc>
              <w:tc>
                <w:tcPr>
                  <w:tcW w:w="895" w:type="pct"/>
                  <w:tcBorders>
                    <w:tl2br w:val="nil"/>
                    <w:tr2bl w:val="nil"/>
                  </w:tcBorders>
                  <w:noWrap w:val="0"/>
                  <w:vAlign w:val="center"/>
                </w:tcPr>
                <w:p w14:paraId="450E1532">
                  <w:pPr>
                    <w:widowControl w:val="0"/>
                    <w:kinsoku/>
                    <w:autoSpaceDE/>
                    <w:autoSpaceDN/>
                    <w:adjustRightInd/>
                    <w:snapToGrid/>
                    <w:spacing w:line="340" w:lineRule="exact"/>
                    <w:ind w:firstLine="0" w:firstLineChars="0"/>
                    <w:jc w:val="center"/>
                    <w:textAlignment w:val="auto"/>
                    <w:rPr>
                      <w:rFonts w:hint="eastAsia" w:ascii="Times New Roman" w:hAnsi="Times New Roman" w:eastAsia="宋体" w:cs="Times New Roman"/>
                      <w:snapToGrid/>
                      <w:color w:val="auto"/>
                      <w:kern w:val="2"/>
                      <w:sz w:val="21"/>
                      <w:szCs w:val="21"/>
                      <w:highlight w:val="none"/>
                      <w:lang w:eastAsia="zh-CN" w:bidi="ar"/>
                    </w:rPr>
                  </w:pPr>
                  <w:r>
                    <w:rPr>
                      <w:rFonts w:hint="eastAsia" w:ascii="Times New Roman" w:hAnsi="Times New Roman" w:eastAsia="宋体" w:cs="Times New Roman"/>
                      <w:snapToGrid/>
                      <w:color w:val="auto"/>
                      <w:kern w:val="2"/>
                      <w:sz w:val="21"/>
                      <w:szCs w:val="21"/>
                      <w:highlight w:val="none"/>
                      <w:lang w:eastAsia="zh-CN" w:bidi="ar"/>
                    </w:rPr>
                    <w:t>70</w:t>
                  </w:r>
                </w:p>
              </w:tc>
              <w:tc>
                <w:tcPr>
                  <w:tcW w:w="1602" w:type="pct"/>
                  <w:tcBorders>
                    <w:tl2br w:val="nil"/>
                    <w:tr2bl w:val="nil"/>
                  </w:tcBorders>
                  <w:noWrap w:val="0"/>
                  <w:vAlign w:val="center"/>
                </w:tcPr>
                <w:p w14:paraId="58BFF7F9">
                  <w:pPr>
                    <w:widowControl w:val="0"/>
                    <w:kinsoku/>
                    <w:autoSpaceDE/>
                    <w:autoSpaceDN/>
                    <w:adjustRightInd/>
                    <w:snapToGrid/>
                    <w:spacing w:line="340" w:lineRule="exact"/>
                    <w:ind w:firstLine="0" w:firstLineChars="0"/>
                    <w:jc w:val="center"/>
                    <w:textAlignment w:val="auto"/>
                    <w:rPr>
                      <w:rFonts w:hint="eastAsia" w:ascii="Times New Roman" w:hAnsi="Times New Roman" w:eastAsia="宋体" w:cs="Times New Roman"/>
                      <w:snapToGrid/>
                      <w:color w:val="auto"/>
                      <w:kern w:val="2"/>
                      <w:sz w:val="21"/>
                      <w:szCs w:val="21"/>
                      <w:highlight w:val="none"/>
                      <w:lang w:eastAsia="zh-CN" w:bidi="ar"/>
                    </w:rPr>
                  </w:pPr>
                  <w:r>
                    <w:rPr>
                      <w:rFonts w:hint="eastAsia" w:ascii="Times New Roman" w:hAnsi="Times New Roman" w:eastAsia="宋体" w:cs="Times New Roman"/>
                      <w:snapToGrid/>
                      <w:color w:val="auto"/>
                      <w:kern w:val="2"/>
                      <w:sz w:val="21"/>
                      <w:szCs w:val="21"/>
                      <w:highlight w:val="none"/>
                      <w:lang w:eastAsia="zh-CN" w:bidi="ar"/>
                    </w:rPr>
                    <w:t>基础减震、厂房隔声</w:t>
                  </w:r>
                </w:p>
              </w:tc>
              <w:tc>
                <w:tcPr>
                  <w:tcW w:w="1150" w:type="pct"/>
                  <w:tcBorders>
                    <w:tl2br w:val="nil"/>
                    <w:tr2bl w:val="nil"/>
                  </w:tcBorders>
                  <w:noWrap w:val="0"/>
                  <w:vAlign w:val="center"/>
                </w:tcPr>
                <w:p w14:paraId="3E413EAD">
                  <w:pPr>
                    <w:widowControl w:val="0"/>
                    <w:kinsoku/>
                    <w:autoSpaceDE/>
                    <w:autoSpaceDN/>
                    <w:adjustRightInd/>
                    <w:snapToGrid/>
                    <w:spacing w:line="340" w:lineRule="exact"/>
                    <w:ind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
                    </w:rPr>
                  </w:pPr>
                  <w:r>
                    <w:rPr>
                      <w:rFonts w:hint="eastAsia" w:ascii="Times New Roman" w:hAnsi="Times New Roman" w:eastAsia="宋体" w:cs="Times New Roman"/>
                      <w:snapToGrid/>
                      <w:color w:val="auto"/>
                      <w:kern w:val="2"/>
                      <w:sz w:val="21"/>
                      <w:szCs w:val="21"/>
                      <w:highlight w:val="none"/>
                      <w:lang w:val="en-US" w:eastAsia="zh-CN" w:bidi="ar"/>
                    </w:rPr>
                    <w:t>55</w:t>
                  </w:r>
                </w:p>
              </w:tc>
            </w:tr>
            <w:tr w14:paraId="4FE3E50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351" w:type="pct"/>
                  <w:tcBorders>
                    <w:tl2br w:val="nil"/>
                    <w:tr2bl w:val="nil"/>
                  </w:tcBorders>
                  <w:noWrap w:val="0"/>
                  <w:vAlign w:val="center"/>
                </w:tcPr>
                <w:p w14:paraId="04A06CC3">
                  <w:pPr>
                    <w:widowControl w:val="0"/>
                    <w:kinsoku/>
                    <w:autoSpaceDE/>
                    <w:autoSpaceDN/>
                    <w:adjustRightInd/>
                    <w:snapToGrid/>
                    <w:spacing w:line="340" w:lineRule="exact"/>
                    <w:ind w:firstLine="0" w:firstLineChars="0"/>
                    <w:jc w:val="center"/>
                    <w:textAlignment w:val="auto"/>
                    <w:rPr>
                      <w:rFonts w:hint="eastAsia" w:ascii="Times New Roman" w:hAnsi="Times New Roman" w:eastAsia="宋体" w:cs="Times New Roman"/>
                      <w:snapToGrid/>
                      <w:color w:val="auto"/>
                      <w:kern w:val="2"/>
                      <w:sz w:val="21"/>
                      <w:szCs w:val="21"/>
                      <w:highlight w:val="none"/>
                      <w:lang w:eastAsia="zh-CN" w:bidi="ar"/>
                    </w:rPr>
                  </w:pPr>
                  <w:r>
                    <w:rPr>
                      <w:rFonts w:hint="eastAsia" w:ascii="Times New Roman" w:hAnsi="Times New Roman" w:eastAsia="宋体" w:cs="Times New Roman"/>
                      <w:snapToGrid/>
                      <w:color w:val="auto"/>
                      <w:kern w:val="2"/>
                      <w:sz w:val="21"/>
                      <w:szCs w:val="21"/>
                      <w:highlight w:val="none"/>
                      <w:lang w:eastAsia="zh-CN" w:bidi="ar"/>
                    </w:rPr>
                    <w:t>气动控制系统</w:t>
                  </w:r>
                </w:p>
              </w:tc>
              <w:tc>
                <w:tcPr>
                  <w:tcW w:w="895" w:type="pct"/>
                  <w:tcBorders>
                    <w:tl2br w:val="nil"/>
                    <w:tr2bl w:val="nil"/>
                  </w:tcBorders>
                  <w:noWrap w:val="0"/>
                  <w:vAlign w:val="center"/>
                </w:tcPr>
                <w:p w14:paraId="5C4DC1BA">
                  <w:pPr>
                    <w:widowControl w:val="0"/>
                    <w:kinsoku/>
                    <w:autoSpaceDE/>
                    <w:autoSpaceDN/>
                    <w:adjustRightInd/>
                    <w:snapToGrid/>
                    <w:spacing w:line="340" w:lineRule="exact"/>
                    <w:ind w:firstLine="0" w:firstLineChars="0"/>
                    <w:jc w:val="center"/>
                    <w:textAlignment w:val="auto"/>
                    <w:rPr>
                      <w:rFonts w:hint="eastAsia" w:ascii="Times New Roman" w:hAnsi="Times New Roman" w:eastAsia="宋体" w:cs="Times New Roman"/>
                      <w:snapToGrid/>
                      <w:color w:val="auto"/>
                      <w:kern w:val="2"/>
                      <w:sz w:val="21"/>
                      <w:szCs w:val="21"/>
                      <w:highlight w:val="none"/>
                      <w:lang w:eastAsia="zh-CN" w:bidi="ar"/>
                    </w:rPr>
                  </w:pPr>
                  <w:r>
                    <w:rPr>
                      <w:rFonts w:hint="eastAsia" w:ascii="Times New Roman" w:hAnsi="Times New Roman" w:eastAsia="宋体" w:cs="Times New Roman"/>
                      <w:snapToGrid/>
                      <w:color w:val="auto"/>
                      <w:kern w:val="2"/>
                      <w:sz w:val="21"/>
                      <w:szCs w:val="21"/>
                      <w:highlight w:val="none"/>
                      <w:lang w:eastAsia="zh-CN" w:bidi="ar"/>
                    </w:rPr>
                    <w:t>70</w:t>
                  </w:r>
                </w:p>
              </w:tc>
              <w:tc>
                <w:tcPr>
                  <w:tcW w:w="1602" w:type="pct"/>
                  <w:tcBorders>
                    <w:tl2br w:val="nil"/>
                    <w:tr2bl w:val="nil"/>
                  </w:tcBorders>
                  <w:noWrap w:val="0"/>
                  <w:vAlign w:val="center"/>
                </w:tcPr>
                <w:p w14:paraId="2DA32898">
                  <w:pPr>
                    <w:widowControl w:val="0"/>
                    <w:kinsoku/>
                    <w:autoSpaceDE/>
                    <w:autoSpaceDN/>
                    <w:adjustRightInd/>
                    <w:snapToGrid/>
                    <w:spacing w:line="340" w:lineRule="exact"/>
                    <w:ind w:firstLine="0" w:firstLineChars="0"/>
                    <w:jc w:val="center"/>
                    <w:textAlignment w:val="auto"/>
                    <w:rPr>
                      <w:rFonts w:hint="eastAsia" w:ascii="Times New Roman" w:hAnsi="Times New Roman" w:eastAsia="宋体" w:cs="Times New Roman"/>
                      <w:snapToGrid/>
                      <w:color w:val="auto"/>
                      <w:kern w:val="2"/>
                      <w:sz w:val="21"/>
                      <w:szCs w:val="21"/>
                      <w:highlight w:val="none"/>
                      <w:lang w:eastAsia="zh-CN" w:bidi="ar"/>
                    </w:rPr>
                  </w:pPr>
                  <w:r>
                    <w:rPr>
                      <w:rFonts w:hint="eastAsia" w:ascii="Times New Roman" w:hAnsi="Times New Roman" w:eastAsia="宋体" w:cs="Times New Roman"/>
                      <w:snapToGrid/>
                      <w:color w:val="auto"/>
                      <w:kern w:val="2"/>
                      <w:sz w:val="21"/>
                      <w:szCs w:val="21"/>
                      <w:highlight w:val="none"/>
                      <w:lang w:eastAsia="zh-CN" w:bidi="ar"/>
                    </w:rPr>
                    <w:t>基础减震、厂房隔声</w:t>
                  </w:r>
                </w:p>
              </w:tc>
              <w:tc>
                <w:tcPr>
                  <w:tcW w:w="1150" w:type="pct"/>
                  <w:tcBorders>
                    <w:tl2br w:val="nil"/>
                    <w:tr2bl w:val="nil"/>
                  </w:tcBorders>
                  <w:noWrap w:val="0"/>
                  <w:vAlign w:val="center"/>
                </w:tcPr>
                <w:p w14:paraId="44A41918">
                  <w:pPr>
                    <w:widowControl w:val="0"/>
                    <w:kinsoku/>
                    <w:autoSpaceDE/>
                    <w:autoSpaceDN/>
                    <w:adjustRightInd/>
                    <w:snapToGrid/>
                    <w:spacing w:line="340" w:lineRule="exact"/>
                    <w:ind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
                    </w:rPr>
                  </w:pPr>
                  <w:r>
                    <w:rPr>
                      <w:rFonts w:hint="eastAsia" w:ascii="Times New Roman" w:hAnsi="Times New Roman" w:eastAsia="宋体" w:cs="Times New Roman"/>
                      <w:snapToGrid/>
                      <w:color w:val="auto"/>
                      <w:kern w:val="2"/>
                      <w:sz w:val="21"/>
                      <w:szCs w:val="21"/>
                      <w:highlight w:val="none"/>
                      <w:lang w:val="en-US" w:eastAsia="zh-CN" w:bidi="ar"/>
                    </w:rPr>
                    <w:t>55</w:t>
                  </w:r>
                </w:p>
              </w:tc>
            </w:tr>
            <w:tr w14:paraId="2B7D4B0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1351" w:type="pct"/>
                  <w:tcBorders>
                    <w:tl2br w:val="nil"/>
                    <w:tr2bl w:val="nil"/>
                  </w:tcBorders>
                  <w:noWrap w:val="0"/>
                  <w:vAlign w:val="center"/>
                </w:tcPr>
                <w:p w14:paraId="3B6C81FF">
                  <w:pPr>
                    <w:widowControl w:val="0"/>
                    <w:kinsoku/>
                    <w:autoSpaceDE/>
                    <w:autoSpaceDN/>
                    <w:adjustRightInd/>
                    <w:snapToGrid/>
                    <w:spacing w:line="340" w:lineRule="exact"/>
                    <w:ind w:firstLine="0" w:firstLineChars="0"/>
                    <w:jc w:val="center"/>
                    <w:textAlignment w:val="auto"/>
                    <w:rPr>
                      <w:rFonts w:hint="eastAsia" w:ascii="Times New Roman" w:hAnsi="Times New Roman" w:eastAsia="宋体" w:cs="Times New Roman"/>
                      <w:snapToGrid/>
                      <w:color w:val="auto"/>
                      <w:kern w:val="2"/>
                      <w:sz w:val="21"/>
                      <w:szCs w:val="21"/>
                      <w:highlight w:val="none"/>
                      <w:lang w:eastAsia="zh-CN" w:bidi="ar"/>
                    </w:rPr>
                  </w:pPr>
                  <w:r>
                    <w:rPr>
                      <w:rFonts w:hint="eastAsia" w:ascii="Times New Roman" w:hAnsi="Times New Roman" w:eastAsia="宋体" w:cs="Times New Roman"/>
                      <w:snapToGrid/>
                      <w:color w:val="auto"/>
                      <w:kern w:val="2"/>
                      <w:sz w:val="21"/>
                      <w:szCs w:val="21"/>
                      <w:highlight w:val="none"/>
                      <w:lang w:eastAsia="zh-CN" w:bidi="ar"/>
                    </w:rPr>
                    <w:t>装载机</w:t>
                  </w:r>
                </w:p>
              </w:tc>
              <w:tc>
                <w:tcPr>
                  <w:tcW w:w="895" w:type="pct"/>
                  <w:tcBorders>
                    <w:tl2br w:val="nil"/>
                    <w:tr2bl w:val="nil"/>
                  </w:tcBorders>
                  <w:noWrap w:val="0"/>
                  <w:vAlign w:val="center"/>
                </w:tcPr>
                <w:p w14:paraId="71C8AAC5">
                  <w:pPr>
                    <w:widowControl w:val="0"/>
                    <w:kinsoku/>
                    <w:autoSpaceDE/>
                    <w:autoSpaceDN/>
                    <w:adjustRightInd/>
                    <w:snapToGrid/>
                    <w:spacing w:line="340" w:lineRule="exact"/>
                    <w:ind w:firstLine="0" w:firstLineChars="0"/>
                    <w:jc w:val="center"/>
                    <w:textAlignment w:val="auto"/>
                    <w:rPr>
                      <w:rFonts w:hint="eastAsia" w:ascii="Times New Roman" w:hAnsi="Times New Roman" w:eastAsia="宋体" w:cs="Times New Roman"/>
                      <w:snapToGrid/>
                      <w:color w:val="auto"/>
                      <w:kern w:val="2"/>
                      <w:sz w:val="21"/>
                      <w:szCs w:val="21"/>
                      <w:highlight w:val="none"/>
                      <w:lang w:eastAsia="zh-CN" w:bidi="ar"/>
                    </w:rPr>
                  </w:pPr>
                  <w:r>
                    <w:rPr>
                      <w:rFonts w:hint="eastAsia" w:ascii="Times New Roman" w:hAnsi="Times New Roman" w:eastAsia="宋体" w:cs="Times New Roman"/>
                      <w:snapToGrid/>
                      <w:color w:val="auto"/>
                      <w:kern w:val="2"/>
                      <w:sz w:val="21"/>
                      <w:szCs w:val="21"/>
                      <w:highlight w:val="none"/>
                      <w:lang w:eastAsia="zh-CN" w:bidi="ar"/>
                    </w:rPr>
                    <w:t>80</w:t>
                  </w:r>
                </w:p>
              </w:tc>
              <w:tc>
                <w:tcPr>
                  <w:tcW w:w="1602" w:type="pct"/>
                  <w:tcBorders>
                    <w:tl2br w:val="nil"/>
                    <w:tr2bl w:val="nil"/>
                  </w:tcBorders>
                  <w:noWrap w:val="0"/>
                  <w:vAlign w:val="center"/>
                </w:tcPr>
                <w:p w14:paraId="0C070125">
                  <w:pPr>
                    <w:widowControl w:val="0"/>
                    <w:kinsoku/>
                    <w:autoSpaceDE/>
                    <w:autoSpaceDN/>
                    <w:adjustRightInd/>
                    <w:snapToGrid/>
                    <w:spacing w:line="340" w:lineRule="exact"/>
                    <w:ind w:firstLine="0" w:firstLineChars="0"/>
                    <w:jc w:val="center"/>
                    <w:textAlignment w:val="auto"/>
                    <w:rPr>
                      <w:rFonts w:hint="eastAsia" w:ascii="Times New Roman" w:hAnsi="Times New Roman" w:eastAsia="宋体" w:cs="Times New Roman"/>
                      <w:snapToGrid/>
                      <w:color w:val="auto"/>
                      <w:kern w:val="2"/>
                      <w:sz w:val="21"/>
                      <w:szCs w:val="21"/>
                      <w:highlight w:val="none"/>
                      <w:lang w:eastAsia="zh-CN" w:bidi="ar"/>
                    </w:rPr>
                  </w:pPr>
                  <w:r>
                    <w:rPr>
                      <w:rFonts w:hint="eastAsia" w:ascii="Times New Roman" w:hAnsi="Times New Roman" w:eastAsia="宋体" w:cs="Times New Roman"/>
                      <w:snapToGrid/>
                      <w:color w:val="auto"/>
                      <w:kern w:val="2"/>
                      <w:sz w:val="21"/>
                      <w:szCs w:val="21"/>
                      <w:highlight w:val="none"/>
                      <w:lang w:eastAsia="zh-CN" w:bidi="ar"/>
                    </w:rPr>
                    <w:t>基础减震、厂房隔声</w:t>
                  </w:r>
                </w:p>
              </w:tc>
              <w:tc>
                <w:tcPr>
                  <w:tcW w:w="1150" w:type="pct"/>
                  <w:tcBorders>
                    <w:tl2br w:val="nil"/>
                    <w:tr2bl w:val="nil"/>
                  </w:tcBorders>
                  <w:noWrap w:val="0"/>
                  <w:vAlign w:val="center"/>
                </w:tcPr>
                <w:p w14:paraId="210FFCB3">
                  <w:pPr>
                    <w:widowControl w:val="0"/>
                    <w:kinsoku/>
                    <w:autoSpaceDE/>
                    <w:autoSpaceDN/>
                    <w:adjustRightInd/>
                    <w:snapToGrid/>
                    <w:spacing w:line="340" w:lineRule="exact"/>
                    <w:ind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
                    </w:rPr>
                  </w:pPr>
                  <w:r>
                    <w:rPr>
                      <w:rFonts w:hint="eastAsia" w:ascii="Times New Roman" w:hAnsi="Times New Roman" w:eastAsia="宋体" w:cs="Times New Roman"/>
                      <w:snapToGrid/>
                      <w:color w:val="auto"/>
                      <w:kern w:val="2"/>
                      <w:sz w:val="21"/>
                      <w:szCs w:val="21"/>
                      <w:highlight w:val="none"/>
                      <w:lang w:val="en-US" w:eastAsia="zh-CN" w:bidi="ar"/>
                    </w:rPr>
                    <w:t>65</w:t>
                  </w:r>
                </w:p>
              </w:tc>
            </w:tr>
            <w:tr w14:paraId="2C2B9C5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1351" w:type="pct"/>
                  <w:tcBorders>
                    <w:tl2br w:val="nil"/>
                    <w:tr2bl w:val="nil"/>
                  </w:tcBorders>
                  <w:noWrap w:val="0"/>
                  <w:vAlign w:val="center"/>
                </w:tcPr>
                <w:p w14:paraId="0CF5F943">
                  <w:pPr>
                    <w:widowControl w:val="0"/>
                    <w:kinsoku/>
                    <w:autoSpaceDE/>
                    <w:autoSpaceDN/>
                    <w:adjustRightInd/>
                    <w:snapToGrid/>
                    <w:spacing w:line="340" w:lineRule="exact"/>
                    <w:ind w:firstLine="0" w:firstLineChars="0"/>
                    <w:jc w:val="center"/>
                    <w:textAlignment w:val="auto"/>
                    <w:rPr>
                      <w:rFonts w:hint="eastAsia" w:ascii="Times New Roman" w:hAnsi="Times New Roman" w:eastAsia="宋体" w:cs="Times New Roman"/>
                      <w:snapToGrid/>
                      <w:color w:val="auto"/>
                      <w:kern w:val="2"/>
                      <w:sz w:val="21"/>
                      <w:szCs w:val="21"/>
                      <w:highlight w:val="none"/>
                      <w:lang w:eastAsia="zh-CN" w:bidi="ar"/>
                    </w:rPr>
                  </w:pPr>
                  <w:r>
                    <w:rPr>
                      <w:rFonts w:hint="eastAsia" w:ascii="Times New Roman" w:hAnsi="Times New Roman" w:eastAsia="宋体" w:cs="Times New Roman"/>
                      <w:snapToGrid/>
                      <w:color w:val="auto"/>
                      <w:kern w:val="2"/>
                      <w:sz w:val="21"/>
                      <w:szCs w:val="21"/>
                      <w:highlight w:val="none"/>
                      <w:lang w:eastAsia="zh-CN" w:bidi="ar"/>
                    </w:rPr>
                    <w:t>变压机</w:t>
                  </w:r>
                </w:p>
              </w:tc>
              <w:tc>
                <w:tcPr>
                  <w:tcW w:w="895" w:type="pct"/>
                  <w:tcBorders>
                    <w:tl2br w:val="nil"/>
                    <w:tr2bl w:val="nil"/>
                  </w:tcBorders>
                  <w:noWrap w:val="0"/>
                  <w:vAlign w:val="center"/>
                </w:tcPr>
                <w:p w14:paraId="4A4F38C2">
                  <w:pPr>
                    <w:widowControl w:val="0"/>
                    <w:kinsoku/>
                    <w:autoSpaceDE/>
                    <w:autoSpaceDN/>
                    <w:adjustRightInd/>
                    <w:snapToGrid/>
                    <w:spacing w:line="340" w:lineRule="exact"/>
                    <w:ind w:firstLine="0" w:firstLineChars="0"/>
                    <w:jc w:val="center"/>
                    <w:textAlignment w:val="auto"/>
                    <w:rPr>
                      <w:rFonts w:hint="eastAsia" w:ascii="Times New Roman" w:hAnsi="Times New Roman" w:eastAsia="宋体" w:cs="Times New Roman"/>
                      <w:snapToGrid/>
                      <w:color w:val="auto"/>
                      <w:kern w:val="2"/>
                      <w:sz w:val="21"/>
                      <w:szCs w:val="21"/>
                      <w:highlight w:val="none"/>
                      <w:lang w:eastAsia="zh-CN" w:bidi="ar"/>
                    </w:rPr>
                  </w:pPr>
                  <w:r>
                    <w:rPr>
                      <w:rFonts w:hint="eastAsia" w:ascii="Times New Roman" w:hAnsi="Times New Roman" w:eastAsia="宋体" w:cs="Times New Roman"/>
                      <w:snapToGrid/>
                      <w:color w:val="auto"/>
                      <w:kern w:val="2"/>
                      <w:sz w:val="21"/>
                      <w:szCs w:val="21"/>
                      <w:highlight w:val="none"/>
                      <w:lang w:eastAsia="zh-CN" w:bidi="ar"/>
                    </w:rPr>
                    <w:t>75</w:t>
                  </w:r>
                </w:p>
              </w:tc>
              <w:tc>
                <w:tcPr>
                  <w:tcW w:w="1602" w:type="pct"/>
                  <w:tcBorders>
                    <w:tl2br w:val="nil"/>
                    <w:tr2bl w:val="nil"/>
                  </w:tcBorders>
                  <w:noWrap w:val="0"/>
                  <w:vAlign w:val="center"/>
                </w:tcPr>
                <w:p w14:paraId="59E25D10">
                  <w:pPr>
                    <w:widowControl w:val="0"/>
                    <w:kinsoku/>
                    <w:autoSpaceDE/>
                    <w:autoSpaceDN/>
                    <w:adjustRightInd/>
                    <w:snapToGrid/>
                    <w:spacing w:line="340" w:lineRule="exact"/>
                    <w:ind w:firstLine="0" w:firstLineChars="0"/>
                    <w:jc w:val="center"/>
                    <w:textAlignment w:val="auto"/>
                    <w:rPr>
                      <w:rFonts w:hint="eastAsia" w:ascii="Times New Roman" w:hAnsi="Times New Roman" w:eastAsia="宋体" w:cs="Times New Roman"/>
                      <w:snapToGrid/>
                      <w:color w:val="auto"/>
                      <w:kern w:val="2"/>
                      <w:sz w:val="21"/>
                      <w:szCs w:val="21"/>
                      <w:highlight w:val="none"/>
                      <w:lang w:eastAsia="zh-CN" w:bidi="ar"/>
                    </w:rPr>
                  </w:pPr>
                  <w:r>
                    <w:rPr>
                      <w:rFonts w:hint="eastAsia" w:ascii="Times New Roman" w:hAnsi="Times New Roman" w:eastAsia="宋体" w:cs="Times New Roman"/>
                      <w:snapToGrid/>
                      <w:color w:val="auto"/>
                      <w:kern w:val="2"/>
                      <w:sz w:val="21"/>
                      <w:szCs w:val="21"/>
                      <w:highlight w:val="none"/>
                      <w:lang w:eastAsia="zh-CN" w:bidi="ar"/>
                    </w:rPr>
                    <w:t>基础减震、厂房隔声</w:t>
                  </w:r>
                </w:p>
              </w:tc>
              <w:tc>
                <w:tcPr>
                  <w:tcW w:w="1150" w:type="pct"/>
                  <w:tcBorders>
                    <w:tl2br w:val="nil"/>
                    <w:tr2bl w:val="nil"/>
                  </w:tcBorders>
                  <w:noWrap w:val="0"/>
                  <w:vAlign w:val="center"/>
                </w:tcPr>
                <w:p w14:paraId="29ED5347">
                  <w:pPr>
                    <w:widowControl w:val="0"/>
                    <w:kinsoku/>
                    <w:autoSpaceDE/>
                    <w:autoSpaceDN/>
                    <w:adjustRightInd/>
                    <w:snapToGrid/>
                    <w:spacing w:line="340" w:lineRule="exact"/>
                    <w:ind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
                    </w:rPr>
                  </w:pPr>
                  <w:r>
                    <w:rPr>
                      <w:rFonts w:hint="eastAsia" w:ascii="Times New Roman" w:hAnsi="Times New Roman" w:eastAsia="宋体" w:cs="Times New Roman"/>
                      <w:snapToGrid/>
                      <w:color w:val="auto"/>
                      <w:kern w:val="2"/>
                      <w:sz w:val="21"/>
                      <w:szCs w:val="21"/>
                      <w:highlight w:val="none"/>
                      <w:lang w:val="en-US" w:eastAsia="zh-CN" w:bidi="ar"/>
                    </w:rPr>
                    <w:t>60</w:t>
                  </w:r>
                </w:p>
              </w:tc>
            </w:tr>
            <w:tr w14:paraId="2F5DE37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1351" w:type="pct"/>
                  <w:tcBorders>
                    <w:tl2br w:val="nil"/>
                    <w:tr2bl w:val="nil"/>
                  </w:tcBorders>
                  <w:noWrap w:val="0"/>
                  <w:vAlign w:val="center"/>
                </w:tcPr>
                <w:p w14:paraId="458395C8">
                  <w:pPr>
                    <w:widowControl w:val="0"/>
                    <w:kinsoku/>
                    <w:autoSpaceDE/>
                    <w:autoSpaceDN/>
                    <w:adjustRightInd/>
                    <w:snapToGrid/>
                    <w:spacing w:line="340" w:lineRule="exact"/>
                    <w:ind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
                    </w:rPr>
                  </w:pPr>
                  <w:r>
                    <w:rPr>
                      <w:rFonts w:hint="eastAsia" w:ascii="Times New Roman" w:hAnsi="Times New Roman" w:eastAsia="宋体" w:cs="Times New Roman"/>
                      <w:snapToGrid/>
                      <w:color w:val="auto"/>
                      <w:kern w:val="2"/>
                      <w:sz w:val="21"/>
                      <w:szCs w:val="21"/>
                      <w:highlight w:val="none"/>
                      <w:lang w:eastAsia="zh-CN" w:bidi="ar"/>
                    </w:rPr>
                    <w:t>乳化沥青生产设</w:t>
                  </w:r>
                  <w:r>
                    <w:rPr>
                      <w:rFonts w:hint="eastAsia" w:ascii="Times New Roman" w:hAnsi="Times New Roman" w:eastAsia="宋体" w:cs="Times New Roman"/>
                      <w:snapToGrid/>
                      <w:color w:val="auto"/>
                      <w:kern w:val="2"/>
                      <w:sz w:val="21"/>
                      <w:szCs w:val="21"/>
                      <w:highlight w:val="none"/>
                      <w:lang w:val="en-US" w:eastAsia="zh-CN" w:bidi="ar"/>
                    </w:rPr>
                    <w:t>备</w:t>
                  </w:r>
                </w:p>
              </w:tc>
              <w:tc>
                <w:tcPr>
                  <w:tcW w:w="895" w:type="pct"/>
                  <w:tcBorders>
                    <w:tl2br w:val="nil"/>
                    <w:tr2bl w:val="nil"/>
                  </w:tcBorders>
                  <w:noWrap w:val="0"/>
                  <w:vAlign w:val="center"/>
                </w:tcPr>
                <w:p w14:paraId="6F6EAEF8">
                  <w:pPr>
                    <w:widowControl w:val="0"/>
                    <w:kinsoku/>
                    <w:autoSpaceDE/>
                    <w:autoSpaceDN/>
                    <w:adjustRightInd/>
                    <w:snapToGrid/>
                    <w:spacing w:line="340" w:lineRule="exact"/>
                    <w:ind w:firstLine="0" w:firstLineChars="0"/>
                    <w:jc w:val="center"/>
                    <w:textAlignment w:val="auto"/>
                    <w:rPr>
                      <w:rFonts w:hint="eastAsia" w:ascii="Times New Roman" w:hAnsi="Times New Roman" w:eastAsia="宋体" w:cs="Times New Roman"/>
                      <w:snapToGrid/>
                      <w:color w:val="auto"/>
                      <w:kern w:val="2"/>
                      <w:sz w:val="21"/>
                      <w:szCs w:val="21"/>
                      <w:highlight w:val="none"/>
                      <w:lang w:eastAsia="zh-CN" w:bidi="ar"/>
                    </w:rPr>
                  </w:pPr>
                  <w:r>
                    <w:rPr>
                      <w:rFonts w:hint="eastAsia" w:ascii="Times New Roman" w:hAnsi="Times New Roman" w:eastAsia="宋体" w:cs="Times New Roman"/>
                      <w:snapToGrid/>
                      <w:color w:val="auto"/>
                      <w:kern w:val="2"/>
                      <w:sz w:val="21"/>
                      <w:szCs w:val="21"/>
                      <w:highlight w:val="none"/>
                      <w:lang w:eastAsia="zh-CN" w:bidi="ar"/>
                    </w:rPr>
                    <w:t>85</w:t>
                  </w:r>
                </w:p>
              </w:tc>
              <w:tc>
                <w:tcPr>
                  <w:tcW w:w="1602" w:type="pct"/>
                  <w:tcBorders>
                    <w:tl2br w:val="nil"/>
                    <w:tr2bl w:val="nil"/>
                  </w:tcBorders>
                  <w:noWrap w:val="0"/>
                  <w:vAlign w:val="center"/>
                </w:tcPr>
                <w:p w14:paraId="3DD23BAE">
                  <w:pPr>
                    <w:widowControl w:val="0"/>
                    <w:kinsoku/>
                    <w:autoSpaceDE/>
                    <w:autoSpaceDN/>
                    <w:adjustRightInd/>
                    <w:snapToGrid/>
                    <w:spacing w:line="340" w:lineRule="exact"/>
                    <w:ind w:firstLine="0" w:firstLineChars="0"/>
                    <w:jc w:val="center"/>
                    <w:textAlignment w:val="auto"/>
                    <w:rPr>
                      <w:rFonts w:hint="eastAsia" w:ascii="Times New Roman" w:hAnsi="Times New Roman" w:eastAsia="宋体" w:cs="Times New Roman"/>
                      <w:snapToGrid/>
                      <w:color w:val="auto"/>
                      <w:kern w:val="2"/>
                      <w:sz w:val="21"/>
                      <w:szCs w:val="21"/>
                      <w:highlight w:val="none"/>
                      <w:lang w:eastAsia="zh-CN" w:bidi="ar"/>
                    </w:rPr>
                  </w:pPr>
                  <w:r>
                    <w:rPr>
                      <w:rFonts w:hint="eastAsia" w:ascii="Times New Roman" w:hAnsi="Times New Roman" w:eastAsia="宋体" w:cs="Times New Roman"/>
                      <w:snapToGrid/>
                      <w:color w:val="auto"/>
                      <w:kern w:val="2"/>
                      <w:sz w:val="21"/>
                      <w:szCs w:val="21"/>
                      <w:highlight w:val="none"/>
                      <w:lang w:eastAsia="zh-CN" w:bidi="ar"/>
                    </w:rPr>
                    <w:t>基础减震、厂房隔声</w:t>
                  </w:r>
                </w:p>
              </w:tc>
              <w:tc>
                <w:tcPr>
                  <w:tcW w:w="1150" w:type="pct"/>
                  <w:tcBorders>
                    <w:tl2br w:val="nil"/>
                    <w:tr2bl w:val="nil"/>
                  </w:tcBorders>
                  <w:noWrap w:val="0"/>
                  <w:vAlign w:val="center"/>
                </w:tcPr>
                <w:p w14:paraId="5F073D2D">
                  <w:pPr>
                    <w:widowControl w:val="0"/>
                    <w:kinsoku/>
                    <w:autoSpaceDE/>
                    <w:autoSpaceDN/>
                    <w:adjustRightInd/>
                    <w:snapToGrid/>
                    <w:spacing w:line="340" w:lineRule="exact"/>
                    <w:ind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
                    </w:rPr>
                  </w:pPr>
                  <w:r>
                    <w:rPr>
                      <w:rFonts w:hint="eastAsia" w:ascii="Times New Roman" w:hAnsi="Times New Roman" w:eastAsia="宋体" w:cs="Times New Roman"/>
                      <w:snapToGrid/>
                      <w:color w:val="auto"/>
                      <w:kern w:val="2"/>
                      <w:sz w:val="21"/>
                      <w:szCs w:val="21"/>
                      <w:highlight w:val="none"/>
                      <w:lang w:val="en-US" w:eastAsia="zh-CN" w:bidi="ar"/>
                    </w:rPr>
                    <w:t>70</w:t>
                  </w:r>
                </w:p>
              </w:tc>
            </w:tr>
          </w:tbl>
          <w:p w14:paraId="6E85CCCD">
            <w:pPr>
              <w:pStyle w:val="5"/>
              <w:rPr>
                <w:rFonts w:hint="eastAsia"/>
                <w:color w:val="auto"/>
                <w:highlight w:val="none"/>
              </w:rPr>
            </w:pPr>
            <w:r>
              <w:rPr>
                <w:rFonts w:hint="eastAsia"/>
                <w:color w:val="auto"/>
                <w:highlight w:val="none"/>
              </w:rPr>
              <w:t>4.2.3.2</w:t>
            </w:r>
            <w:r>
              <w:rPr>
                <w:color w:val="auto"/>
                <w:highlight w:val="none"/>
              </w:rPr>
              <w:t>运营期声环境影响分析</w:t>
            </w:r>
          </w:p>
          <w:p w14:paraId="458F46DF">
            <w:pPr>
              <w:ind w:firstLine="480"/>
              <w:rPr>
                <w:color w:val="auto"/>
                <w:highlight w:val="none"/>
              </w:rPr>
            </w:pPr>
            <w:r>
              <w:rPr>
                <w:color w:val="auto"/>
                <w:highlight w:val="none"/>
              </w:rPr>
              <w:t>项目噪声预测模式采用《环境影响评价技术导则</w:t>
            </w:r>
            <w:r>
              <w:rPr>
                <w:rFonts w:hint="eastAsia"/>
                <w:color w:val="auto"/>
                <w:highlight w:val="none"/>
              </w:rPr>
              <w:t xml:space="preserve"> </w:t>
            </w:r>
            <w:r>
              <w:rPr>
                <w:color w:val="auto"/>
                <w:highlight w:val="none"/>
              </w:rPr>
              <w:t>声环境》</w:t>
            </w:r>
            <w:r>
              <w:rPr>
                <w:rFonts w:hint="eastAsia"/>
                <w:color w:val="auto"/>
                <w:highlight w:val="none"/>
              </w:rPr>
              <w:t>（</w:t>
            </w:r>
            <w:r>
              <w:rPr>
                <w:color w:val="auto"/>
                <w:highlight w:val="none"/>
              </w:rPr>
              <w:t>HJ2.4-20</w:t>
            </w:r>
            <w:r>
              <w:rPr>
                <w:rFonts w:hint="eastAsia"/>
                <w:color w:val="auto"/>
                <w:highlight w:val="none"/>
              </w:rPr>
              <w:t>21）</w:t>
            </w:r>
            <w:r>
              <w:rPr>
                <w:color w:val="auto"/>
                <w:highlight w:val="none"/>
              </w:rPr>
              <w:t>中附录A户外声传播的衰减</w:t>
            </w:r>
            <w:r>
              <w:rPr>
                <w:rFonts w:hint="eastAsia"/>
                <w:color w:val="auto"/>
                <w:highlight w:val="none"/>
              </w:rPr>
              <w:t>及</w:t>
            </w:r>
            <w:r>
              <w:rPr>
                <w:color w:val="auto"/>
                <w:highlight w:val="none"/>
              </w:rPr>
              <w:t>附录B典型行业噪声预测模型</w:t>
            </w:r>
            <w:r>
              <w:rPr>
                <w:rFonts w:hint="eastAsia"/>
                <w:color w:val="auto"/>
                <w:highlight w:val="none"/>
              </w:rPr>
              <w:t>进行分析。</w:t>
            </w:r>
          </w:p>
          <w:p w14:paraId="439BAC41">
            <w:pPr>
              <w:ind w:firstLine="482"/>
              <w:rPr>
                <w:rFonts w:hint="eastAsia"/>
                <w:b/>
                <w:bCs/>
                <w:color w:val="auto"/>
                <w:highlight w:val="none"/>
              </w:rPr>
            </w:pPr>
            <w:r>
              <w:rPr>
                <w:rFonts w:hint="eastAsia"/>
                <w:b/>
                <w:bCs/>
                <w:color w:val="auto"/>
                <w:highlight w:val="none"/>
              </w:rPr>
              <w:t>（1）</w:t>
            </w:r>
            <w:r>
              <w:rPr>
                <w:b/>
                <w:bCs/>
                <w:color w:val="auto"/>
                <w:highlight w:val="none"/>
              </w:rPr>
              <w:t>室内声源</w:t>
            </w:r>
            <w:r>
              <w:rPr>
                <w:rFonts w:hint="eastAsia"/>
                <w:b/>
                <w:bCs/>
                <w:color w:val="auto"/>
                <w:highlight w:val="none"/>
              </w:rPr>
              <w:t>等效室外声源声功率级计算方法</w:t>
            </w:r>
          </w:p>
          <w:p w14:paraId="619402D8">
            <w:pPr>
              <w:ind w:firstLine="480"/>
              <w:rPr>
                <w:rFonts w:hint="eastAsia"/>
                <w:color w:val="auto"/>
                <w:highlight w:val="none"/>
              </w:rPr>
            </w:pPr>
            <w:r>
              <w:rPr>
                <w:rFonts w:hint="eastAsia"/>
                <w:color w:val="auto"/>
                <w:highlight w:val="none"/>
              </w:rPr>
              <w:t>①</w:t>
            </w:r>
            <w:r>
              <w:rPr>
                <w:color w:val="auto"/>
                <w:highlight w:val="none"/>
              </w:rPr>
              <w:t>如</w:t>
            </w:r>
            <w:r>
              <w:rPr>
                <w:rFonts w:hint="eastAsia"/>
                <w:color w:val="auto"/>
                <w:highlight w:val="none"/>
              </w:rPr>
              <w:t>下</w:t>
            </w:r>
            <w:r>
              <w:rPr>
                <w:color w:val="auto"/>
                <w:highlight w:val="none"/>
              </w:rPr>
              <w:t>图所示，</w:t>
            </w:r>
            <w:r>
              <w:rPr>
                <w:rFonts w:hint="eastAsia"/>
                <w:color w:val="auto"/>
                <w:highlight w:val="none"/>
              </w:rPr>
              <w:t>声源位于室内，室内声源可采用等效室外声源声功率级法进行计算。设靠近开口处（或窗户）室内、室外某倍频带的声压级或A声级分别为L</w:t>
            </w:r>
            <w:r>
              <w:rPr>
                <w:rFonts w:hint="eastAsia"/>
                <w:color w:val="auto"/>
                <w:highlight w:val="none"/>
                <w:vertAlign w:val="subscript"/>
              </w:rPr>
              <w:t>p1</w:t>
            </w:r>
            <w:r>
              <w:rPr>
                <w:rFonts w:hint="eastAsia"/>
                <w:color w:val="auto"/>
                <w:highlight w:val="none"/>
              </w:rPr>
              <w:t>和L</w:t>
            </w:r>
            <w:r>
              <w:rPr>
                <w:rFonts w:hint="eastAsia"/>
                <w:color w:val="auto"/>
                <w:highlight w:val="none"/>
                <w:vertAlign w:val="subscript"/>
              </w:rPr>
              <w:t>p2</w:t>
            </w:r>
            <w:r>
              <w:rPr>
                <w:rFonts w:hint="eastAsia"/>
                <w:color w:val="auto"/>
                <w:highlight w:val="none"/>
              </w:rPr>
              <w:t>。若声源所在室内声场为近似扩散声场，则室外的倍频带声压级可按下式近似求出：</w:t>
            </w:r>
          </w:p>
          <w:p w14:paraId="65603FF5">
            <w:pPr>
              <w:adjustRightInd w:val="0"/>
              <w:snapToGrid w:val="0"/>
              <w:ind w:firstLine="0" w:firstLineChars="0"/>
              <w:jc w:val="center"/>
              <w:rPr>
                <w:color w:val="auto"/>
                <w:highlight w:val="none"/>
              </w:rPr>
            </w:pPr>
            <w:r>
              <w:rPr>
                <w:color w:val="auto"/>
                <w:highlight w:val="none"/>
              </w:rPr>
              <w:drawing>
                <wp:inline distT="0" distB="0" distL="114300" distR="114300">
                  <wp:extent cx="1244600" cy="241300"/>
                  <wp:effectExtent l="0" t="0" r="12700" b="5080"/>
                  <wp:docPr id="16"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5"/>
                          <pic:cNvPicPr>
                            <a:picLocks noChangeAspect="1"/>
                          </pic:cNvPicPr>
                        </pic:nvPicPr>
                        <pic:blipFill>
                          <a:blip r:embed="rId26"/>
                          <a:stretch>
                            <a:fillRect/>
                          </a:stretch>
                        </pic:blipFill>
                        <pic:spPr>
                          <a:xfrm>
                            <a:off x="0" y="0"/>
                            <a:ext cx="1244600" cy="241300"/>
                          </a:xfrm>
                          <a:prstGeom prst="rect">
                            <a:avLst/>
                          </a:prstGeom>
                          <a:noFill/>
                          <a:ln>
                            <a:noFill/>
                          </a:ln>
                        </pic:spPr>
                      </pic:pic>
                    </a:graphicData>
                  </a:graphic>
                </wp:inline>
              </w:drawing>
            </w:r>
          </w:p>
          <w:p w14:paraId="14AC403F">
            <w:pPr>
              <w:adjustRightInd w:val="0"/>
              <w:snapToGrid w:val="0"/>
              <w:ind w:firstLine="480"/>
              <w:rPr>
                <w:rFonts w:hint="eastAsia"/>
                <w:color w:val="auto"/>
                <w:highlight w:val="none"/>
              </w:rPr>
            </w:pPr>
            <w:r>
              <w:rPr>
                <w:rFonts w:hint="eastAsia"/>
                <w:color w:val="auto"/>
                <w:highlight w:val="none"/>
              </w:rPr>
              <w:t>式中：</w:t>
            </w:r>
          </w:p>
          <w:p w14:paraId="440179B3">
            <w:pPr>
              <w:adjustRightInd w:val="0"/>
              <w:snapToGrid w:val="0"/>
              <w:ind w:firstLine="480"/>
              <w:rPr>
                <w:rFonts w:hint="eastAsia"/>
                <w:color w:val="auto"/>
                <w:highlight w:val="none"/>
              </w:rPr>
            </w:pPr>
            <w:r>
              <w:rPr>
                <w:rFonts w:hint="eastAsia"/>
                <w:color w:val="auto"/>
                <w:highlight w:val="none"/>
              </w:rPr>
              <w:t>L</w:t>
            </w:r>
            <w:r>
              <w:rPr>
                <w:rFonts w:hint="eastAsia"/>
                <w:color w:val="auto"/>
                <w:highlight w:val="none"/>
                <w:vertAlign w:val="subscript"/>
              </w:rPr>
              <w:t>p1</w:t>
            </w:r>
            <w:r>
              <w:rPr>
                <w:rFonts w:hint="eastAsia"/>
                <w:color w:val="auto"/>
                <w:highlight w:val="none"/>
              </w:rPr>
              <w:t>—靠近开口处（或窗户）室内某倍频带的声压级或A声级，dB；</w:t>
            </w:r>
          </w:p>
          <w:p w14:paraId="7FE29D29">
            <w:pPr>
              <w:adjustRightInd w:val="0"/>
              <w:snapToGrid w:val="0"/>
              <w:ind w:firstLine="480"/>
              <w:rPr>
                <w:rFonts w:hint="eastAsia"/>
                <w:color w:val="auto"/>
                <w:highlight w:val="none"/>
              </w:rPr>
            </w:pPr>
            <w:r>
              <w:rPr>
                <w:rFonts w:hint="eastAsia"/>
                <w:color w:val="auto"/>
                <w:highlight w:val="none"/>
              </w:rPr>
              <w:t>L</w:t>
            </w:r>
            <w:r>
              <w:rPr>
                <w:rFonts w:hint="eastAsia"/>
                <w:color w:val="auto"/>
                <w:highlight w:val="none"/>
                <w:vertAlign w:val="subscript"/>
              </w:rPr>
              <w:t>p2</w:t>
            </w:r>
            <w:r>
              <w:rPr>
                <w:rFonts w:hint="eastAsia"/>
                <w:color w:val="auto"/>
                <w:highlight w:val="none"/>
              </w:rPr>
              <w:t>—靠近开口处（或窗户）室外某倍频带的声压级或A声级，dB；</w:t>
            </w:r>
          </w:p>
          <w:p w14:paraId="37333D5A">
            <w:pPr>
              <w:adjustRightInd w:val="0"/>
              <w:snapToGrid w:val="0"/>
              <w:ind w:firstLine="480"/>
              <w:rPr>
                <w:rFonts w:hint="eastAsia"/>
                <w:color w:val="auto"/>
                <w:highlight w:val="none"/>
              </w:rPr>
            </w:pPr>
            <w:r>
              <w:rPr>
                <w:rFonts w:hint="eastAsia"/>
                <w:color w:val="auto"/>
                <w:highlight w:val="none"/>
              </w:rPr>
              <w:t>TL—隔墙(或窗户)倍频带或A声级的隔声量，dB。</w:t>
            </w:r>
          </w:p>
          <w:p w14:paraId="57D009D3">
            <w:pPr>
              <w:adjustRightInd w:val="0"/>
              <w:snapToGrid w:val="0"/>
              <w:ind w:firstLine="0" w:firstLineChars="0"/>
              <w:jc w:val="center"/>
              <w:rPr>
                <w:rFonts w:hint="eastAsia"/>
                <w:color w:val="auto"/>
                <w:highlight w:val="none"/>
              </w:rPr>
            </w:pPr>
            <w:r>
              <w:rPr>
                <w:color w:val="auto"/>
                <w:highlight w:val="none"/>
              </w:rPr>
              <w:drawing>
                <wp:inline distT="0" distB="0" distL="114300" distR="114300">
                  <wp:extent cx="2607945" cy="1439545"/>
                  <wp:effectExtent l="0" t="0" r="1905" b="8255"/>
                  <wp:docPr id="17"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59"/>
                          <pic:cNvPicPr>
                            <a:picLocks noChangeAspect="1"/>
                          </pic:cNvPicPr>
                        </pic:nvPicPr>
                        <pic:blipFill>
                          <a:blip r:embed="rId27"/>
                          <a:stretch>
                            <a:fillRect/>
                          </a:stretch>
                        </pic:blipFill>
                        <pic:spPr>
                          <a:xfrm>
                            <a:off x="0" y="0"/>
                            <a:ext cx="2607945" cy="1439545"/>
                          </a:xfrm>
                          <a:prstGeom prst="rect">
                            <a:avLst/>
                          </a:prstGeom>
                          <a:noFill/>
                          <a:ln>
                            <a:noFill/>
                          </a:ln>
                          <a:effectLst/>
                        </pic:spPr>
                      </pic:pic>
                    </a:graphicData>
                  </a:graphic>
                </wp:inline>
              </w:drawing>
            </w:r>
          </w:p>
          <w:p w14:paraId="76295995">
            <w:pPr>
              <w:adjustRightInd w:val="0"/>
              <w:snapToGrid w:val="0"/>
              <w:ind w:firstLine="0" w:firstLineChars="0"/>
              <w:jc w:val="center"/>
              <w:rPr>
                <w:rFonts w:eastAsia="黑体"/>
                <w:color w:val="auto"/>
                <w:highlight w:val="none"/>
              </w:rPr>
            </w:pPr>
            <w:r>
              <w:rPr>
                <w:b/>
                <w:color w:val="auto"/>
                <w:kern w:val="0"/>
                <w:highlight w:val="none"/>
              </w:rPr>
              <w:t>图4.</w:t>
            </w:r>
            <w:r>
              <w:rPr>
                <w:rFonts w:hint="eastAsia"/>
                <w:b/>
                <w:color w:val="auto"/>
                <w:kern w:val="0"/>
                <w:highlight w:val="none"/>
              </w:rPr>
              <w:t>2</w:t>
            </w:r>
            <w:r>
              <w:rPr>
                <w:b/>
                <w:color w:val="auto"/>
                <w:kern w:val="0"/>
                <w:highlight w:val="none"/>
              </w:rPr>
              <w:t>-</w:t>
            </w:r>
            <w:r>
              <w:rPr>
                <w:rFonts w:hint="eastAsia"/>
                <w:b/>
                <w:color w:val="auto"/>
                <w:kern w:val="0"/>
                <w:highlight w:val="none"/>
                <w:lang w:val="en-US" w:eastAsia="zh-CN"/>
              </w:rPr>
              <w:t>1</w:t>
            </w:r>
            <w:r>
              <w:rPr>
                <w:b/>
                <w:color w:val="auto"/>
                <w:kern w:val="0"/>
                <w:highlight w:val="none"/>
              </w:rPr>
              <w:t xml:space="preserve"> 室内声源等效室外声源图例</w:t>
            </w:r>
          </w:p>
          <w:p w14:paraId="14898DB5">
            <w:pPr>
              <w:adjustRightInd w:val="0"/>
              <w:snapToGrid w:val="0"/>
              <w:ind w:firstLine="480"/>
              <w:rPr>
                <w:rFonts w:hint="eastAsia"/>
                <w:color w:val="auto"/>
                <w:highlight w:val="none"/>
              </w:rPr>
            </w:pPr>
            <w:r>
              <w:rPr>
                <w:rFonts w:hint="eastAsia"/>
                <w:color w:val="auto"/>
                <w:highlight w:val="none"/>
              </w:rPr>
              <w:t>②按下式计算某一室内声源靠近围护结构处产生的倍频带声压级或A声级：</w:t>
            </w:r>
          </w:p>
          <w:p w14:paraId="096F427A">
            <w:pPr>
              <w:adjustRightInd w:val="0"/>
              <w:snapToGrid w:val="0"/>
              <w:ind w:firstLine="0" w:firstLineChars="0"/>
              <w:jc w:val="center"/>
              <w:rPr>
                <w:color w:val="auto"/>
                <w:highlight w:val="none"/>
              </w:rPr>
            </w:pPr>
            <w:r>
              <w:rPr>
                <w:color w:val="auto"/>
                <w:highlight w:val="none"/>
              </w:rPr>
              <w:drawing>
                <wp:inline distT="0" distB="0" distL="114300" distR="114300">
                  <wp:extent cx="1714500" cy="482600"/>
                  <wp:effectExtent l="0" t="0" r="0" b="13335"/>
                  <wp:docPr id="18"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7"/>
                          <pic:cNvPicPr>
                            <a:picLocks noChangeAspect="1"/>
                          </pic:cNvPicPr>
                        </pic:nvPicPr>
                        <pic:blipFill>
                          <a:blip r:embed="rId28"/>
                          <a:stretch>
                            <a:fillRect/>
                          </a:stretch>
                        </pic:blipFill>
                        <pic:spPr>
                          <a:xfrm>
                            <a:off x="0" y="0"/>
                            <a:ext cx="1714500" cy="482600"/>
                          </a:xfrm>
                          <a:prstGeom prst="rect">
                            <a:avLst/>
                          </a:prstGeom>
                          <a:noFill/>
                          <a:ln>
                            <a:noFill/>
                          </a:ln>
                        </pic:spPr>
                      </pic:pic>
                    </a:graphicData>
                  </a:graphic>
                </wp:inline>
              </w:drawing>
            </w:r>
          </w:p>
          <w:p w14:paraId="39EE46C1">
            <w:pPr>
              <w:adjustRightInd w:val="0"/>
              <w:snapToGrid w:val="0"/>
              <w:ind w:firstLine="480"/>
              <w:rPr>
                <w:rFonts w:hint="eastAsia" w:hAnsi="宋体" w:cs="宋体"/>
                <w:color w:val="auto"/>
                <w:highlight w:val="none"/>
              </w:rPr>
            </w:pPr>
            <w:r>
              <w:rPr>
                <w:rFonts w:hint="eastAsia" w:hAnsi="宋体" w:cs="宋体"/>
                <w:color w:val="auto"/>
                <w:highlight w:val="none"/>
              </w:rPr>
              <w:t>式中：</w:t>
            </w:r>
          </w:p>
          <w:p w14:paraId="5FADA7B2">
            <w:pPr>
              <w:adjustRightInd w:val="0"/>
              <w:snapToGrid w:val="0"/>
              <w:ind w:firstLine="480"/>
              <w:rPr>
                <w:rFonts w:hint="eastAsia" w:hAnsi="宋体" w:cs="宋体"/>
                <w:color w:val="auto"/>
                <w:highlight w:val="none"/>
              </w:rPr>
            </w:pPr>
            <w:r>
              <w:rPr>
                <w:rFonts w:hint="eastAsia" w:hAnsi="宋体" w:cs="宋体"/>
                <w:color w:val="auto"/>
                <w:highlight w:val="none"/>
              </w:rPr>
              <w:t>Lp</w:t>
            </w:r>
            <w:r>
              <w:rPr>
                <w:rFonts w:hint="eastAsia" w:hAnsi="宋体" w:cs="宋体"/>
                <w:color w:val="auto"/>
                <w:highlight w:val="none"/>
                <w:vertAlign w:val="subscript"/>
              </w:rPr>
              <w:t>1</w:t>
            </w:r>
            <w:r>
              <w:rPr>
                <w:rFonts w:hint="eastAsia" w:hAnsi="宋体" w:cs="宋体"/>
                <w:color w:val="auto"/>
                <w:highlight w:val="none"/>
              </w:rPr>
              <w:t>—靠近开口处</w:t>
            </w:r>
            <w:r>
              <w:rPr>
                <w:rFonts w:hint="eastAsia"/>
                <w:color w:val="auto"/>
                <w:highlight w:val="none"/>
              </w:rPr>
              <w:t>（或窗户）</w:t>
            </w:r>
            <w:r>
              <w:rPr>
                <w:rFonts w:hint="eastAsia" w:hAnsi="宋体" w:cs="宋体"/>
                <w:color w:val="auto"/>
                <w:highlight w:val="none"/>
              </w:rPr>
              <w:t>室内某倍频带的声压级或A声级，dB；</w:t>
            </w:r>
          </w:p>
          <w:p w14:paraId="3CCDAA0D">
            <w:pPr>
              <w:adjustRightInd w:val="0"/>
              <w:snapToGrid w:val="0"/>
              <w:ind w:firstLine="480"/>
              <w:rPr>
                <w:rFonts w:hint="eastAsia" w:hAnsi="宋体" w:cs="宋体"/>
                <w:color w:val="auto"/>
                <w:highlight w:val="none"/>
              </w:rPr>
            </w:pPr>
            <w:r>
              <w:rPr>
                <w:rFonts w:hint="eastAsia" w:hAnsi="宋体" w:cs="宋体"/>
                <w:color w:val="auto"/>
                <w:highlight w:val="none"/>
              </w:rPr>
              <w:t>Lw—点声源声功率级（A计权或倍频带），dB；</w:t>
            </w:r>
          </w:p>
          <w:p w14:paraId="06D230F4">
            <w:pPr>
              <w:adjustRightInd w:val="0"/>
              <w:snapToGrid w:val="0"/>
              <w:ind w:firstLine="480"/>
              <w:rPr>
                <w:rFonts w:hint="eastAsia" w:hAnsi="宋体" w:cs="宋体"/>
                <w:color w:val="auto"/>
                <w:highlight w:val="none"/>
              </w:rPr>
            </w:pPr>
            <w:r>
              <w:rPr>
                <w:rFonts w:hint="eastAsia" w:hAnsi="宋体" w:cs="宋体"/>
                <w:color w:val="auto"/>
                <w:highlight w:val="none"/>
              </w:rPr>
              <w:t>Q—指向性因数；通常对无指向性声源，当声源放在房间中心时，Q=1；当放在一面墙的中心时，Q=2；当放在两面墙夹角处时，Q=4；当放在三面墙夹角处时，Q=8；</w:t>
            </w:r>
          </w:p>
          <w:p w14:paraId="182AB20E">
            <w:pPr>
              <w:adjustRightInd w:val="0"/>
              <w:snapToGrid w:val="0"/>
              <w:ind w:firstLine="480"/>
              <w:rPr>
                <w:rFonts w:hint="eastAsia" w:hAnsi="宋体" w:cs="宋体"/>
                <w:color w:val="auto"/>
                <w:highlight w:val="none"/>
              </w:rPr>
            </w:pPr>
            <w:r>
              <w:rPr>
                <w:rFonts w:hint="eastAsia" w:hAnsi="宋体" w:cs="宋体"/>
                <w:color w:val="auto"/>
                <w:highlight w:val="none"/>
              </w:rPr>
              <w:t>R—房间常数；R=Sa/(1-a)，s为房间内表面面积，m</w:t>
            </w:r>
            <w:r>
              <w:rPr>
                <w:rFonts w:hint="eastAsia" w:hAnsi="宋体" w:cs="宋体"/>
                <w:color w:val="auto"/>
                <w:highlight w:val="none"/>
                <w:vertAlign w:val="superscript"/>
              </w:rPr>
              <w:t>2</w:t>
            </w:r>
            <w:r>
              <w:rPr>
                <w:rFonts w:hint="eastAsia" w:hAnsi="宋体" w:cs="宋体"/>
                <w:color w:val="auto"/>
                <w:highlight w:val="none"/>
              </w:rPr>
              <w:t>；a为平均吸声系数；</w:t>
            </w:r>
          </w:p>
          <w:p w14:paraId="748A7372">
            <w:pPr>
              <w:adjustRightInd w:val="0"/>
              <w:snapToGrid w:val="0"/>
              <w:ind w:firstLine="480"/>
              <w:rPr>
                <w:rFonts w:hint="eastAsia"/>
                <w:color w:val="auto"/>
                <w:highlight w:val="none"/>
              </w:rPr>
            </w:pPr>
            <w:r>
              <w:rPr>
                <w:rFonts w:hint="eastAsia"/>
                <w:color w:val="auto"/>
                <w:highlight w:val="none"/>
              </w:rPr>
              <w:t>r</w:t>
            </w:r>
            <w:r>
              <w:rPr>
                <w:rFonts w:hint="eastAsia" w:hAnsi="宋体" w:cs="宋体"/>
                <w:color w:val="auto"/>
                <w:highlight w:val="none"/>
              </w:rPr>
              <w:t>—</w:t>
            </w:r>
            <w:r>
              <w:rPr>
                <w:rFonts w:hint="eastAsia"/>
                <w:color w:val="auto"/>
                <w:highlight w:val="none"/>
              </w:rPr>
              <w:t>声源到靠近围护结构某点处的距离，m。</w:t>
            </w:r>
          </w:p>
          <w:p w14:paraId="7DB30D76">
            <w:pPr>
              <w:adjustRightInd w:val="0"/>
              <w:snapToGrid w:val="0"/>
              <w:ind w:firstLine="480"/>
              <w:rPr>
                <w:color w:val="auto"/>
                <w:highlight w:val="none"/>
              </w:rPr>
            </w:pPr>
            <w:r>
              <w:rPr>
                <w:rFonts w:hint="eastAsia"/>
                <w:color w:val="auto"/>
                <w:highlight w:val="none"/>
              </w:rPr>
              <w:t>③按下式</w:t>
            </w:r>
            <w:r>
              <w:rPr>
                <w:color w:val="auto"/>
                <w:highlight w:val="none"/>
              </w:rPr>
              <w:t>计算出所有室内声源在靠近围护结构处产生的</w:t>
            </w:r>
            <w:r>
              <w:rPr>
                <w:rFonts w:hint="eastAsia"/>
                <w:color w:val="auto"/>
                <w:highlight w:val="none"/>
              </w:rPr>
              <w:t>i</w:t>
            </w:r>
            <w:r>
              <w:rPr>
                <w:color w:val="auto"/>
                <w:highlight w:val="none"/>
              </w:rPr>
              <w:t>倍频带</w:t>
            </w:r>
            <w:r>
              <w:rPr>
                <w:rFonts w:hint="eastAsia"/>
                <w:color w:val="auto"/>
                <w:highlight w:val="none"/>
              </w:rPr>
              <w:t>叠加</w:t>
            </w:r>
            <w:r>
              <w:rPr>
                <w:color w:val="auto"/>
                <w:highlight w:val="none"/>
              </w:rPr>
              <w:t>声压级：</w:t>
            </w:r>
          </w:p>
          <w:p w14:paraId="6082DE43">
            <w:pPr>
              <w:adjustRightInd w:val="0"/>
              <w:snapToGrid w:val="0"/>
              <w:ind w:firstLine="0" w:firstLineChars="0"/>
              <w:jc w:val="center"/>
              <w:rPr>
                <w:rFonts w:hint="eastAsia"/>
                <w:color w:val="auto"/>
                <w:highlight w:val="none"/>
              </w:rPr>
            </w:pPr>
            <w:r>
              <w:rPr>
                <w:color w:val="auto"/>
                <w:highlight w:val="none"/>
              </w:rPr>
              <w:drawing>
                <wp:inline distT="0" distB="0" distL="114300" distR="114300">
                  <wp:extent cx="1688465" cy="482600"/>
                  <wp:effectExtent l="0" t="0" r="6985" b="13335"/>
                  <wp:docPr id="19"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8"/>
                          <pic:cNvPicPr>
                            <a:picLocks noChangeAspect="1"/>
                          </pic:cNvPicPr>
                        </pic:nvPicPr>
                        <pic:blipFill>
                          <a:blip r:embed="rId29"/>
                          <a:stretch>
                            <a:fillRect/>
                          </a:stretch>
                        </pic:blipFill>
                        <pic:spPr>
                          <a:xfrm>
                            <a:off x="0" y="0"/>
                            <a:ext cx="1688465" cy="482600"/>
                          </a:xfrm>
                          <a:prstGeom prst="rect">
                            <a:avLst/>
                          </a:prstGeom>
                          <a:noFill/>
                          <a:ln>
                            <a:noFill/>
                          </a:ln>
                        </pic:spPr>
                      </pic:pic>
                    </a:graphicData>
                  </a:graphic>
                </wp:inline>
              </w:drawing>
            </w:r>
          </w:p>
          <w:p w14:paraId="6AEFB736">
            <w:pPr>
              <w:adjustRightInd w:val="0"/>
              <w:snapToGrid w:val="0"/>
              <w:ind w:firstLine="480"/>
              <w:rPr>
                <w:rFonts w:hint="eastAsia"/>
                <w:color w:val="auto"/>
                <w:highlight w:val="none"/>
              </w:rPr>
            </w:pPr>
            <w:r>
              <w:rPr>
                <w:rFonts w:hint="eastAsia"/>
                <w:color w:val="auto"/>
                <w:highlight w:val="none"/>
              </w:rPr>
              <w:t>式中：</w:t>
            </w:r>
          </w:p>
          <w:p w14:paraId="64054844">
            <w:pPr>
              <w:adjustRightInd w:val="0"/>
              <w:snapToGrid w:val="0"/>
              <w:ind w:firstLine="480"/>
              <w:rPr>
                <w:rFonts w:hint="eastAsia"/>
                <w:color w:val="auto"/>
                <w:highlight w:val="none"/>
              </w:rPr>
            </w:pPr>
            <w:r>
              <w:rPr>
                <w:rFonts w:hint="eastAsia"/>
                <w:color w:val="auto"/>
                <w:highlight w:val="none"/>
              </w:rPr>
              <w:t>L</w:t>
            </w:r>
            <w:r>
              <w:rPr>
                <w:rFonts w:hint="eastAsia"/>
                <w:color w:val="auto"/>
                <w:highlight w:val="none"/>
                <w:vertAlign w:val="subscript"/>
              </w:rPr>
              <w:t>p1i</w:t>
            </w:r>
            <w:r>
              <w:rPr>
                <w:rFonts w:hint="eastAsia"/>
                <w:color w:val="auto"/>
                <w:highlight w:val="none"/>
              </w:rPr>
              <w:t>(T)</w:t>
            </w:r>
            <w:r>
              <w:rPr>
                <w:rFonts w:hint="eastAsia" w:hAnsi="宋体" w:cs="宋体"/>
                <w:color w:val="auto"/>
                <w:highlight w:val="none"/>
              </w:rPr>
              <w:t>—</w:t>
            </w:r>
            <w:r>
              <w:rPr>
                <w:rFonts w:hint="eastAsia"/>
                <w:color w:val="auto"/>
                <w:highlight w:val="none"/>
              </w:rPr>
              <w:t>靠近围护结构处室内N个声源i倍频带的叠加声压级，dB；</w:t>
            </w:r>
          </w:p>
          <w:p w14:paraId="6993BA9D">
            <w:pPr>
              <w:adjustRightInd w:val="0"/>
              <w:snapToGrid w:val="0"/>
              <w:ind w:firstLine="480"/>
              <w:rPr>
                <w:rFonts w:hint="eastAsia"/>
                <w:color w:val="auto"/>
                <w:highlight w:val="none"/>
              </w:rPr>
            </w:pPr>
            <w:r>
              <w:rPr>
                <w:rFonts w:hint="eastAsia"/>
                <w:color w:val="auto"/>
                <w:highlight w:val="none"/>
              </w:rPr>
              <w:t>L</w:t>
            </w:r>
            <w:r>
              <w:rPr>
                <w:rFonts w:hint="eastAsia"/>
                <w:color w:val="auto"/>
                <w:highlight w:val="none"/>
                <w:vertAlign w:val="subscript"/>
              </w:rPr>
              <w:t>p1ij</w:t>
            </w:r>
            <w:r>
              <w:rPr>
                <w:rFonts w:hint="eastAsia" w:hAnsi="宋体" w:cs="宋体"/>
                <w:color w:val="auto"/>
                <w:highlight w:val="none"/>
              </w:rPr>
              <w:t>—</w:t>
            </w:r>
            <w:r>
              <w:rPr>
                <w:rFonts w:hint="eastAsia"/>
                <w:color w:val="auto"/>
                <w:highlight w:val="none"/>
              </w:rPr>
              <w:t>室内j声源i倍频带的声压级，dB；</w:t>
            </w:r>
          </w:p>
          <w:p w14:paraId="05D7549D">
            <w:pPr>
              <w:adjustRightInd w:val="0"/>
              <w:snapToGrid w:val="0"/>
              <w:ind w:firstLine="480"/>
              <w:rPr>
                <w:rFonts w:hint="eastAsia"/>
                <w:color w:val="auto"/>
                <w:highlight w:val="none"/>
              </w:rPr>
            </w:pPr>
            <w:r>
              <w:rPr>
                <w:rFonts w:hint="eastAsia"/>
                <w:color w:val="auto"/>
                <w:highlight w:val="none"/>
              </w:rPr>
              <w:t>N</w:t>
            </w:r>
            <w:r>
              <w:rPr>
                <w:rFonts w:hint="eastAsia" w:hAnsi="宋体" w:cs="宋体"/>
                <w:color w:val="auto"/>
                <w:highlight w:val="none"/>
              </w:rPr>
              <w:t>—</w:t>
            </w:r>
            <w:r>
              <w:rPr>
                <w:rFonts w:hint="eastAsia"/>
                <w:color w:val="auto"/>
                <w:highlight w:val="none"/>
              </w:rPr>
              <w:t>室内声源总数。</w:t>
            </w:r>
          </w:p>
          <w:p w14:paraId="485DD1AE">
            <w:pPr>
              <w:adjustRightInd w:val="0"/>
              <w:snapToGrid w:val="0"/>
              <w:ind w:firstLine="480"/>
              <w:rPr>
                <w:rFonts w:hint="eastAsia"/>
                <w:color w:val="auto"/>
                <w:highlight w:val="none"/>
              </w:rPr>
            </w:pPr>
            <w:r>
              <w:rPr>
                <w:rFonts w:hint="eastAsia"/>
                <w:color w:val="auto"/>
                <w:highlight w:val="none"/>
              </w:rPr>
              <w:t>④</w:t>
            </w:r>
            <w:r>
              <w:rPr>
                <w:color w:val="auto"/>
                <w:highlight w:val="none"/>
              </w:rPr>
              <w:t>在室内近似为扩散声场时，按</w:t>
            </w:r>
            <w:r>
              <w:rPr>
                <w:rFonts w:hint="eastAsia"/>
                <w:color w:val="auto"/>
                <w:highlight w:val="none"/>
              </w:rPr>
              <w:t>下</w:t>
            </w:r>
            <w:r>
              <w:rPr>
                <w:color w:val="auto"/>
                <w:highlight w:val="none"/>
              </w:rPr>
              <w:t>式</w:t>
            </w:r>
            <w:r>
              <w:rPr>
                <w:rFonts w:hint="eastAsia"/>
                <w:color w:val="auto"/>
                <w:highlight w:val="none"/>
              </w:rPr>
              <w:t>计算出室外靠近围护结构处的声压级：</w:t>
            </w:r>
          </w:p>
          <w:p w14:paraId="022A056D">
            <w:pPr>
              <w:adjustRightInd w:val="0"/>
              <w:snapToGrid w:val="0"/>
              <w:ind w:firstLine="0" w:firstLineChars="0"/>
              <w:jc w:val="center"/>
              <w:rPr>
                <w:rFonts w:hint="eastAsia"/>
                <w:color w:val="auto"/>
                <w:highlight w:val="none"/>
              </w:rPr>
            </w:pPr>
            <w:r>
              <w:rPr>
                <w:color w:val="auto"/>
                <w:highlight w:val="none"/>
              </w:rPr>
              <w:drawing>
                <wp:inline distT="0" distB="0" distL="114300" distR="114300">
                  <wp:extent cx="1777365" cy="241300"/>
                  <wp:effectExtent l="0" t="0" r="13335" b="5080"/>
                  <wp:docPr id="20"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9"/>
                          <pic:cNvPicPr>
                            <a:picLocks noChangeAspect="1"/>
                          </pic:cNvPicPr>
                        </pic:nvPicPr>
                        <pic:blipFill>
                          <a:blip r:embed="rId30"/>
                          <a:stretch>
                            <a:fillRect/>
                          </a:stretch>
                        </pic:blipFill>
                        <pic:spPr>
                          <a:xfrm>
                            <a:off x="0" y="0"/>
                            <a:ext cx="1777365" cy="241300"/>
                          </a:xfrm>
                          <a:prstGeom prst="rect">
                            <a:avLst/>
                          </a:prstGeom>
                          <a:noFill/>
                          <a:ln>
                            <a:noFill/>
                          </a:ln>
                        </pic:spPr>
                      </pic:pic>
                    </a:graphicData>
                  </a:graphic>
                </wp:inline>
              </w:drawing>
            </w:r>
          </w:p>
          <w:p w14:paraId="737A027F">
            <w:pPr>
              <w:adjustRightInd w:val="0"/>
              <w:snapToGrid w:val="0"/>
              <w:ind w:firstLine="480"/>
              <w:rPr>
                <w:rFonts w:hint="eastAsia"/>
                <w:color w:val="auto"/>
                <w:highlight w:val="none"/>
              </w:rPr>
            </w:pPr>
            <w:r>
              <w:rPr>
                <w:rFonts w:hint="eastAsia"/>
                <w:color w:val="auto"/>
                <w:highlight w:val="none"/>
              </w:rPr>
              <w:t>式中：</w:t>
            </w:r>
          </w:p>
          <w:p w14:paraId="316EAA76">
            <w:pPr>
              <w:adjustRightInd w:val="0"/>
              <w:snapToGrid w:val="0"/>
              <w:ind w:firstLine="480"/>
              <w:rPr>
                <w:rFonts w:hint="eastAsia"/>
                <w:color w:val="auto"/>
                <w:highlight w:val="none"/>
              </w:rPr>
            </w:pPr>
            <w:r>
              <w:rPr>
                <w:rFonts w:hint="eastAsia"/>
                <w:color w:val="auto"/>
                <w:highlight w:val="none"/>
              </w:rPr>
              <w:t>L</w:t>
            </w:r>
            <w:r>
              <w:rPr>
                <w:rFonts w:hint="eastAsia"/>
                <w:color w:val="auto"/>
                <w:highlight w:val="none"/>
                <w:vertAlign w:val="subscript"/>
              </w:rPr>
              <w:t>p2i</w:t>
            </w:r>
            <w:r>
              <w:rPr>
                <w:rFonts w:hint="eastAsia"/>
                <w:color w:val="auto"/>
                <w:highlight w:val="none"/>
              </w:rPr>
              <w:t>(T)</w:t>
            </w:r>
            <w:r>
              <w:rPr>
                <w:rFonts w:hint="eastAsia" w:hAnsi="宋体" w:cs="宋体"/>
                <w:color w:val="auto"/>
                <w:highlight w:val="none"/>
              </w:rPr>
              <w:t>—</w:t>
            </w:r>
            <w:r>
              <w:rPr>
                <w:rFonts w:hint="eastAsia"/>
                <w:color w:val="auto"/>
                <w:highlight w:val="none"/>
              </w:rPr>
              <w:t>靠近围护结构处室外N个声源i倍频带的叠加声压级，dB；</w:t>
            </w:r>
          </w:p>
          <w:p w14:paraId="6943C9D8">
            <w:pPr>
              <w:adjustRightInd w:val="0"/>
              <w:snapToGrid w:val="0"/>
              <w:ind w:firstLine="480"/>
              <w:rPr>
                <w:rFonts w:hint="eastAsia"/>
                <w:color w:val="auto"/>
                <w:highlight w:val="none"/>
              </w:rPr>
            </w:pPr>
            <w:r>
              <w:rPr>
                <w:rFonts w:hint="eastAsia"/>
                <w:color w:val="auto"/>
                <w:highlight w:val="none"/>
              </w:rPr>
              <w:t>L</w:t>
            </w:r>
            <w:r>
              <w:rPr>
                <w:rFonts w:hint="eastAsia"/>
                <w:color w:val="auto"/>
                <w:highlight w:val="none"/>
                <w:vertAlign w:val="subscript"/>
              </w:rPr>
              <w:t>p1i</w:t>
            </w:r>
            <w:r>
              <w:rPr>
                <w:rFonts w:hint="eastAsia"/>
                <w:color w:val="auto"/>
                <w:highlight w:val="none"/>
              </w:rPr>
              <w:t>(T)</w:t>
            </w:r>
            <w:r>
              <w:rPr>
                <w:rFonts w:hint="eastAsia" w:hAnsi="宋体" w:cs="宋体"/>
                <w:color w:val="auto"/>
                <w:highlight w:val="none"/>
              </w:rPr>
              <w:t>—</w:t>
            </w:r>
            <w:r>
              <w:rPr>
                <w:rFonts w:hint="eastAsia"/>
                <w:color w:val="auto"/>
                <w:highlight w:val="none"/>
              </w:rPr>
              <w:t>靠近围护结构处室内N个声源i倍频带的叠加声压级，dB；</w:t>
            </w:r>
          </w:p>
          <w:p w14:paraId="42838BD7">
            <w:pPr>
              <w:adjustRightInd w:val="0"/>
              <w:snapToGrid w:val="0"/>
              <w:ind w:firstLine="480"/>
              <w:rPr>
                <w:rFonts w:hint="eastAsia"/>
                <w:color w:val="auto"/>
                <w:highlight w:val="none"/>
              </w:rPr>
            </w:pPr>
            <w:r>
              <w:rPr>
                <w:rFonts w:hint="eastAsia"/>
                <w:color w:val="auto"/>
                <w:highlight w:val="none"/>
              </w:rPr>
              <w:t>TL</w:t>
            </w:r>
            <w:r>
              <w:rPr>
                <w:rFonts w:hint="eastAsia"/>
                <w:color w:val="auto"/>
                <w:highlight w:val="none"/>
                <w:vertAlign w:val="subscript"/>
              </w:rPr>
              <w:t>i</w:t>
            </w:r>
            <w:r>
              <w:rPr>
                <w:rFonts w:hint="eastAsia" w:hAnsi="宋体" w:cs="宋体"/>
                <w:color w:val="auto"/>
                <w:highlight w:val="none"/>
              </w:rPr>
              <w:t>—</w:t>
            </w:r>
            <w:r>
              <w:rPr>
                <w:rFonts w:hint="eastAsia"/>
                <w:color w:val="auto"/>
                <w:highlight w:val="none"/>
              </w:rPr>
              <w:t>围护结构i倍频带的隔声量，dB。</w:t>
            </w:r>
          </w:p>
          <w:p w14:paraId="6277C885">
            <w:pPr>
              <w:adjustRightInd w:val="0"/>
              <w:snapToGrid w:val="0"/>
              <w:ind w:firstLine="480"/>
              <w:rPr>
                <w:color w:val="auto"/>
                <w:highlight w:val="none"/>
              </w:rPr>
            </w:pPr>
            <w:r>
              <w:rPr>
                <w:rFonts w:hint="eastAsia" w:hAnsi="宋体" w:cs="宋体"/>
                <w:color w:val="auto"/>
                <w:highlight w:val="none"/>
              </w:rPr>
              <w:t>⑤按下式</w:t>
            </w:r>
            <w:r>
              <w:rPr>
                <w:color w:val="auto"/>
                <w:highlight w:val="none"/>
              </w:rPr>
              <w:t>将室外</w:t>
            </w:r>
            <w:r>
              <w:rPr>
                <w:rFonts w:hint="eastAsia"/>
                <w:color w:val="auto"/>
                <w:highlight w:val="none"/>
              </w:rPr>
              <w:t>声源的声压级</w:t>
            </w:r>
            <w:r>
              <w:rPr>
                <w:color w:val="auto"/>
                <w:highlight w:val="none"/>
              </w:rPr>
              <w:t>和透声面积换算成等效的室外声源，计算出</w:t>
            </w:r>
            <w:r>
              <w:rPr>
                <w:rFonts w:hint="eastAsia"/>
                <w:color w:val="auto"/>
                <w:highlight w:val="none"/>
              </w:rPr>
              <w:t>中心位置位于透声面积(S)处的</w:t>
            </w:r>
            <w:r>
              <w:rPr>
                <w:color w:val="auto"/>
                <w:highlight w:val="none"/>
              </w:rPr>
              <w:t>等效声源</w:t>
            </w:r>
            <w:r>
              <w:rPr>
                <w:rFonts w:hint="eastAsia"/>
                <w:color w:val="auto"/>
                <w:highlight w:val="none"/>
              </w:rPr>
              <w:t>的</w:t>
            </w:r>
            <w:r>
              <w:rPr>
                <w:color w:val="auto"/>
                <w:highlight w:val="none"/>
              </w:rPr>
              <w:t>倍频带的声功率级</w:t>
            </w:r>
            <w:r>
              <w:rPr>
                <w:color w:val="auto"/>
                <w:highlight w:val="none"/>
              </w:rPr>
              <w:softHyphen/>
            </w:r>
            <w:r>
              <w:rPr>
                <w:color w:val="auto"/>
                <w:highlight w:val="none"/>
              </w:rPr>
              <w:softHyphen/>
            </w:r>
            <w:r>
              <w:rPr>
                <w:color w:val="auto"/>
                <w:highlight w:val="none"/>
              </w:rPr>
              <w:t>：</w:t>
            </w:r>
          </w:p>
          <w:p w14:paraId="1FF9773C">
            <w:pPr>
              <w:adjustRightInd w:val="0"/>
              <w:snapToGrid w:val="0"/>
              <w:ind w:firstLine="0" w:firstLineChars="0"/>
              <w:jc w:val="center"/>
              <w:rPr>
                <w:color w:val="auto"/>
                <w:highlight w:val="none"/>
              </w:rPr>
            </w:pPr>
            <w:r>
              <w:rPr>
                <w:color w:val="auto"/>
                <w:highlight w:val="none"/>
              </w:rPr>
              <w:drawing>
                <wp:inline distT="0" distB="0" distL="114300" distR="114300">
                  <wp:extent cx="1333500" cy="241300"/>
                  <wp:effectExtent l="0" t="0" r="0" b="5080"/>
                  <wp:docPr id="21"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0"/>
                          <pic:cNvPicPr>
                            <a:picLocks noChangeAspect="1"/>
                          </pic:cNvPicPr>
                        </pic:nvPicPr>
                        <pic:blipFill>
                          <a:blip r:embed="rId31"/>
                          <a:stretch>
                            <a:fillRect/>
                          </a:stretch>
                        </pic:blipFill>
                        <pic:spPr>
                          <a:xfrm>
                            <a:off x="0" y="0"/>
                            <a:ext cx="1333500" cy="241300"/>
                          </a:xfrm>
                          <a:prstGeom prst="rect">
                            <a:avLst/>
                          </a:prstGeom>
                          <a:noFill/>
                          <a:ln>
                            <a:noFill/>
                          </a:ln>
                        </pic:spPr>
                      </pic:pic>
                    </a:graphicData>
                  </a:graphic>
                </wp:inline>
              </w:drawing>
            </w:r>
          </w:p>
          <w:p w14:paraId="116C7B0C">
            <w:pPr>
              <w:adjustRightInd w:val="0"/>
              <w:snapToGrid w:val="0"/>
              <w:ind w:firstLine="480"/>
              <w:rPr>
                <w:rFonts w:hint="eastAsia"/>
                <w:color w:val="auto"/>
                <w:highlight w:val="none"/>
              </w:rPr>
            </w:pPr>
            <w:r>
              <w:rPr>
                <w:rFonts w:hint="eastAsia"/>
                <w:color w:val="auto"/>
                <w:highlight w:val="none"/>
              </w:rPr>
              <w:t>式中：</w:t>
            </w:r>
          </w:p>
          <w:p w14:paraId="00E2B690">
            <w:pPr>
              <w:adjustRightInd w:val="0"/>
              <w:snapToGrid w:val="0"/>
              <w:ind w:firstLine="480"/>
              <w:rPr>
                <w:rFonts w:hint="eastAsia"/>
                <w:color w:val="auto"/>
                <w:highlight w:val="none"/>
              </w:rPr>
            </w:pPr>
            <w:r>
              <w:rPr>
                <w:rFonts w:hint="eastAsia"/>
                <w:color w:val="auto"/>
                <w:highlight w:val="none"/>
              </w:rPr>
              <w:t>Lw—中心位置位于透声面积（S）处的等效声源的倍频带声功率级，dB；</w:t>
            </w:r>
          </w:p>
          <w:p w14:paraId="6CBC8702">
            <w:pPr>
              <w:adjustRightInd w:val="0"/>
              <w:snapToGrid w:val="0"/>
              <w:ind w:firstLine="480"/>
              <w:rPr>
                <w:rFonts w:hint="eastAsia"/>
                <w:color w:val="auto"/>
                <w:highlight w:val="none"/>
              </w:rPr>
            </w:pPr>
            <w:r>
              <w:rPr>
                <w:rFonts w:hint="eastAsia"/>
                <w:color w:val="auto"/>
                <w:highlight w:val="none"/>
              </w:rPr>
              <w:t>Lp</w:t>
            </w:r>
            <w:r>
              <w:rPr>
                <w:rFonts w:hint="eastAsia"/>
                <w:color w:val="auto"/>
                <w:highlight w:val="none"/>
                <w:vertAlign w:val="subscript"/>
              </w:rPr>
              <w:t>2</w:t>
            </w:r>
            <w:r>
              <w:rPr>
                <w:rFonts w:hint="eastAsia"/>
                <w:color w:val="auto"/>
                <w:highlight w:val="none"/>
              </w:rPr>
              <w:t>(T)—靠近围护结构处室外声源的声压级，dB；</w:t>
            </w:r>
          </w:p>
          <w:p w14:paraId="674F9BA2">
            <w:pPr>
              <w:adjustRightInd w:val="0"/>
              <w:snapToGrid w:val="0"/>
              <w:ind w:firstLine="480"/>
              <w:rPr>
                <w:rFonts w:hint="eastAsia"/>
                <w:color w:val="auto"/>
                <w:highlight w:val="none"/>
              </w:rPr>
            </w:pPr>
            <w:r>
              <w:rPr>
                <w:rFonts w:hint="eastAsia"/>
                <w:color w:val="auto"/>
                <w:highlight w:val="none"/>
              </w:rPr>
              <w:t>S—透声面积，m</w:t>
            </w:r>
            <w:r>
              <w:rPr>
                <w:rFonts w:hint="eastAsia"/>
                <w:color w:val="auto"/>
                <w:highlight w:val="none"/>
                <w:vertAlign w:val="superscript"/>
              </w:rPr>
              <w:t>2</w:t>
            </w:r>
            <w:r>
              <w:rPr>
                <w:rFonts w:hint="eastAsia"/>
                <w:color w:val="auto"/>
                <w:highlight w:val="none"/>
              </w:rPr>
              <w:t>。</w:t>
            </w:r>
          </w:p>
          <w:p w14:paraId="07E32D9A">
            <w:pPr>
              <w:ind w:firstLine="482"/>
              <w:rPr>
                <w:b/>
                <w:bCs/>
                <w:color w:val="auto"/>
                <w:highlight w:val="none"/>
              </w:rPr>
            </w:pPr>
            <w:r>
              <w:rPr>
                <w:rFonts w:hint="eastAsia"/>
                <w:b/>
                <w:bCs/>
                <w:color w:val="auto"/>
                <w:highlight w:val="none"/>
              </w:rPr>
              <w:t>（2）</w:t>
            </w:r>
            <w:r>
              <w:rPr>
                <w:b/>
                <w:bCs/>
                <w:color w:val="auto"/>
                <w:highlight w:val="none"/>
              </w:rPr>
              <w:t>户外声传播的衰减</w:t>
            </w:r>
          </w:p>
          <w:p w14:paraId="0C775E28">
            <w:pPr>
              <w:ind w:firstLine="480"/>
              <w:rPr>
                <w:color w:val="auto"/>
                <w:highlight w:val="none"/>
              </w:rPr>
            </w:pPr>
            <w:r>
              <w:rPr>
                <w:color w:val="auto"/>
                <w:highlight w:val="none"/>
              </w:rPr>
              <w:t>户外声传播衰减包括几何发散</w:t>
            </w:r>
            <w:r>
              <w:rPr>
                <w:rFonts w:hint="eastAsia"/>
                <w:color w:val="auto"/>
                <w:highlight w:val="none"/>
              </w:rPr>
              <w:t>（</w:t>
            </w:r>
            <w:r>
              <w:rPr>
                <w:color w:val="auto"/>
                <w:highlight w:val="none"/>
              </w:rPr>
              <w:t>A</w:t>
            </w:r>
            <w:r>
              <w:rPr>
                <w:color w:val="auto"/>
                <w:highlight w:val="none"/>
                <w:vertAlign w:val="subscript"/>
              </w:rPr>
              <w:t>div</w:t>
            </w:r>
            <w:r>
              <w:rPr>
                <w:rFonts w:hint="eastAsia"/>
                <w:color w:val="auto"/>
                <w:highlight w:val="none"/>
              </w:rPr>
              <w:t>）</w:t>
            </w:r>
            <w:r>
              <w:rPr>
                <w:color w:val="auto"/>
                <w:highlight w:val="none"/>
              </w:rPr>
              <w:t>、大气吸收</w:t>
            </w:r>
            <w:r>
              <w:rPr>
                <w:rFonts w:hint="eastAsia"/>
                <w:color w:val="auto"/>
                <w:highlight w:val="none"/>
              </w:rPr>
              <w:t>（</w:t>
            </w:r>
            <w:r>
              <w:rPr>
                <w:color w:val="auto"/>
                <w:highlight w:val="none"/>
              </w:rPr>
              <w:t>A</w:t>
            </w:r>
            <w:r>
              <w:rPr>
                <w:color w:val="auto"/>
                <w:highlight w:val="none"/>
                <w:vertAlign w:val="subscript"/>
              </w:rPr>
              <w:t>atm</w:t>
            </w:r>
            <w:r>
              <w:rPr>
                <w:rFonts w:hint="eastAsia"/>
                <w:color w:val="auto"/>
                <w:highlight w:val="none"/>
              </w:rPr>
              <w:t>）</w:t>
            </w:r>
            <w:r>
              <w:rPr>
                <w:color w:val="auto"/>
                <w:highlight w:val="none"/>
              </w:rPr>
              <w:t>、地面效应</w:t>
            </w:r>
            <w:r>
              <w:rPr>
                <w:rFonts w:hint="eastAsia"/>
                <w:color w:val="auto"/>
                <w:highlight w:val="none"/>
              </w:rPr>
              <w:t>（</w:t>
            </w:r>
            <w:r>
              <w:rPr>
                <w:color w:val="auto"/>
                <w:highlight w:val="none"/>
              </w:rPr>
              <w:t>A</w:t>
            </w:r>
            <w:r>
              <w:rPr>
                <w:color w:val="auto"/>
                <w:highlight w:val="none"/>
                <w:vertAlign w:val="subscript"/>
              </w:rPr>
              <w:t>gr</w:t>
            </w:r>
            <w:r>
              <w:rPr>
                <w:rFonts w:hint="eastAsia"/>
                <w:color w:val="auto"/>
                <w:highlight w:val="none"/>
              </w:rPr>
              <w:t>）</w:t>
            </w:r>
            <w:r>
              <w:rPr>
                <w:color w:val="auto"/>
                <w:highlight w:val="none"/>
              </w:rPr>
              <w:t>、障碍物屏蔽</w:t>
            </w:r>
            <w:r>
              <w:rPr>
                <w:rFonts w:hint="eastAsia"/>
                <w:color w:val="auto"/>
                <w:highlight w:val="none"/>
              </w:rPr>
              <w:t>（</w:t>
            </w:r>
            <w:r>
              <w:rPr>
                <w:color w:val="auto"/>
                <w:highlight w:val="none"/>
              </w:rPr>
              <w:t>A</w:t>
            </w:r>
            <w:r>
              <w:rPr>
                <w:color w:val="auto"/>
                <w:highlight w:val="none"/>
                <w:vertAlign w:val="subscript"/>
              </w:rPr>
              <w:t>bar</w:t>
            </w:r>
            <w:r>
              <w:rPr>
                <w:rFonts w:hint="eastAsia"/>
                <w:color w:val="auto"/>
                <w:highlight w:val="none"/>
              </w:rPr>
              <w:t>）</w:t>
            </w:r>
            <w:r>
              <w:rPr>
                <w:color w:val="auto"/>
                <w:highlight w:val="none"/>
              </w:rPr>
              <w:t>、其他多方面效应</w:t>
            </w:r>
            <w:r>
              <w:rPr>
                <w:rFonts w:hint="eastAsia"/>
                <w:color w:val="auto"/>
                <w:highlight w:val="none"/>
              </w:rPr>
              <w:t>（</w:t>
            </w:r>
            <w:r>
              <w:rPr>
                <w:color w:val="auto"/>
                <w:highlight w:val="none"/>
              </w:rPr>
              <w:t>A</w:t>
            </w:r>
            <w:r>
              <w:rPr>
                <w:color w:val="auto"/>
                <w:highlight w:val="none"/>
                <w:vertAlign w:val="subscript"/>
              </w:rPr>
              <w:t>misc</w:t>
            </w:r>
            <w:r>
              <w:rPr>
                <w:rFonts w:hint="eastAsia"/>
                <w:color w:val="auto"/>
                <w:highlight w:val="none"/>
              </w:rPr>
              <w:t>）</w:t>
            </w:r>
            <w:r>
              <w:rPr>
                <w:color w:val="auto"/>
                <w:highlight w:val="none"/>
              </w:rPr>
              <w:t>引起的衰减。</w:t>
            </w:r>
          </w:p>
          <w:p w14:paraId="3B31AF1E">
            <w:pPr>
              <w:ind w:firstLine="480"/>
              <w:rPr>
                <w:rFonts w:hint="eastAsia"/>
                <w:color w:val="auto"/>
                <w:highlight w:val="none"/>
              </w:rPr>
            </w:pPr>
            <w:r>
              <w:rPr>
                <w:color w:val="auto"/>
                <w:highlight w:val="none"/>
              </w:rPr>
              <w:t>①</w:t>
            </w:r>
            <w:r>
              <w:rPr>
                <w:rFonts w:hint="eastAsia"/>
                <w:color w:val="auto"/>
                <w:highlight w:val="none"/>
              </w:rPr>
              <w:t>基本公式</w:t>
            </w:r>
          </w:p>
          <w:p w14:paraId="4521A47D">
            <w:pPr>
              <w:ind w:firstLine="480"/>
              <w:rPr>
                <w:rFonts w:hint="eastAsia"/>
                <w:color w:val="auto"/>
                <w:highlight w:val="none"/>
              </w:rPr>
            </w:pPr>
            <w:r>
              <w:rPr>
                <w:rFonts w:hint="eastAsia"/>
                <w:color w:val="auto"/>
                <w:highlight w:val="none"/>
              </w:rPr>
              <w:t>某个声源在预测点处声压级的计算公式如下：</w:t>
            </w:r>
          </w:p>
          <w:p w14:paraId="23CD7DE9">
            <w:pPr>
              <w:adjustRightInd w:val="0"/>
              <w:snapToGrid w:val="0"/>
              <w:ind w:firstLine="0" w:firstLineChars="0"/>
              <w:jc w:val="center"/>
              <w:rPr>
                <w:color w:val="auto"/>
                <w:highlight w:val="none"/>
              </w:rPr>
            </w:pPr>
            <w:r>
              <w:rPr>
                <w:rFonts w:eastAsia="Times New Roman"/>
                <w:i/>
                <w:color w:val="auto"/>
                <w:highlight w:val="none"/>
              </w:rPr>
              <w:t>Lp</w:t>
            </w:r>
            <w:r>
              <w:rPr>
                <w:rFonts w:eastAsia="Times New Roman"/>
                <w:color w:val="auto"/>
                <w:highlight w:val="none"/>
              </w:rPr>
              <w:t>(</w:t>
            </w:r>
            <w:r>
              <w:rPr>
                <w:rFonts w:eastAsia="Times New Roman"/>
                <w:i/>
                <w:color w:val="auto"/>
                <w:highlight w:val="none"/>
              </w:rPr>
              <w:t>r</w:t>
            </w:r>
            <w:r>
              <w:rPr>
                <w:rFonts w:eastAsia="Times New Roman"/>
                <w:color w:val="auto"/>
                <w:highlight w:val="none"/>
              </w:rPr>
              <w:t>)</w:t>
            </w:r>
            <w:r>
              <w:rPr>
                <w:rFonts w:ascii="宋体" w:hAnsi="宋体"/>
                <w:color w:val="auto"/>
                <w:highlight w:val="none"/>
              </w:rPr>
              <w:t>＝</w:t>
            </w:r>
            <w:r>
              <w:rPr>
                <w:rFonts w:eastAsia="Times New Roman"/>
                <w:i/>
                <w:color w:val="auto"/>
                <w:highlight w:val="none"/>
              </w:rPr>
              <w:t>Lw</w:t>
            </w:r>
            <w:r>
              <w:rPr>
                <w:rFonts w:eastAsia="Times New Roman"/>
                <w:color w:val="auto"/>
                <w:highlight w:val="none"/>
              </w:rPr>
              <w:t>+</w:t>
            </w:r>
            <w:r>
              <w:rPr>
                <w:rFonts w:eastAsia="Times New Roman"/>
                <w:i/>
                <w:color w:val="auto"/>
                <w:highlight w:val="none"/>
              </w:rPr>
              <w:t>D</w:t>
            </w:r>
            <w:r>
              <w:rPr>
                <w:rFonts w:eastAsia="Times New Roman"/>
                <w:color w:val="auto"/>
                <w:highlight w:val="none"/>
                <w:vertAlign w:val="subscript"/>
              </w:rPr>
              <w:t>C</w:t>
            </w:r>
            <w:r>
              <w:rPr>
                <w:rFonts w:ascii="宋体" w:hAnsi="宋体"/>
                <w:color w:val="auto"/>
                <w:highlight w:val="none"/>
              </w:rPr>
              <w:t>－</w:t>
            </w:r>
            <w:r>
              <w:rPr>
                <w:rFonts w:eastAsia="Times New Roman"/>
                <w:color w:val="auto"/>
                <w:highlight w:val="none"/>
              </w:rPr>
              <w:t>(</w:t>
            </w:r>
            <w:r>
              <w:rPr>
                <w:rFonts w:eastAsia="Times New Roman"/>
                <w:i/>
                <w:color w:val="auto"/>
                <w:highlight w:val="none"/>
              </w:rPr>
              <w:t>A</w:t>
            </w:r>
            <w:r>
              <w:rPr>
                <w:rFonts w:eastAsia="Times New Roman"/>
                <w:color w:val="auto"/>
                <w:highlight w:val="none"/>
                <w:vertAlign w:val="subscript"/>
              </w:rPr>
              <w:t>div</w:t>
            </w:r>
            <w:r>
              <w:rPr>
                <w:rFonts w:ascii="宋体" w:hAnsi="宋体"/>
                <w:color w:val="auto"/>
                <w:highlight w:val="none"/>
              </w:rPr>
              <w:t>＋</w:t>
            </w:r>
            <w:r>
              <w:rPr>
                <w:rFonts w:eastAsia="Times New Roman"/>
                <w:i/>
                <w:color w:val="auto"/>
                <w:highlight w:val="none"/>
              </w:rPr>
              <w:t>A</w:t>
            </w:r>
            <w:r>
              <w:rPr>
                <w:rFonts w:eastAsia="Times New Roman"/>
                <w:color w:val="auto"/>
                <w:highlight w:val="none"/>
                <w:vertAlign w:val="subscript"/>
              </w:rPr>
              <w:t>atm</w:t>
            </w:r>
            <w:r>
              <w:rPr>
                <w:rFonts w:ascii="宋体" w:hAnsi="宋体"/>
                <w:color w:val="auto"/>
                <w:highlight w:val="none"/>
              </w:rPr>
              <w:t>＋</w:t>
            </w:r>
            <w:r>
              <w:rPr>
                <w:rFonts w:eastAsia="Times New Roman"/>
                <w:i/>
                <w:color w:val="auto"/>
                <w:highlight w:val="none"/>
              </w:rPr>
              <w:t>A</w:t>
            </w:r>
            <w:r>
              <w:rPr>
                <w:rFonts w:eastAsia="Times New Roman"/>
                <w:color w:val="auto"/>
                <w:highlight w:val="none"/>
                <w:vertAlign w:val="subscript"/>
              </w:rPr>
              <w:t>gr</w:t>
            </w:r>
            <w:r>
              <w:rPr>
                <w:rFonts w:ascii="宋体" w:hAnsi="宋体"/>
                <w:color w:val="auto"/>
                <w:highlight w:val="none"/>
              </w:rPr>
              <w:t>＋</w:t>
            </w:r>
            <w:r>
              <w:rPr>
                <w:rFonts w:eastAsia="Times New Roman"/>
                <w:i/>
                <w:color w:val="auto"/>
                <w:highlight w:val="none"/>
              </w:rPr>
              <w:t>A</w:t>
            </w:r>
            <w:r>
              <w:rPr>
                <w:rFonts w:eastAsia="Times New Roman"/>
                <w:color w:val="auto"/>
                <w:highlight w:val="none"/>
                <w:vertAlign w:val="subscript"/>
              </w:rPr>
              <w:t>bar</w:t>
            </w:r>
            <w:r>
              <w:rPr>
                <w:rFonts w:ascii="宋体" w:hAnsi="宋体"/>
                <w:color w:val="auto"/>
                <w:highlight w:val="none"/>
              </w:rPr>
              <w:t>＋</w:t>
            </w:r>
            <w:r>
              <w:rPr>
                <w:rFonts w:eastAsia="Times New Roman"/>
                <w:i/>
                <w:color w:val="auto"/>
                <w:highlight w:val="none"/>
              </w:rPr>
              <w:t>A</w:t>
            </w:r>
            <w:r>
              <w:rPr>
                <w:rFonts w:eastAsia="Times New Roman"/>
                <w:color w:val="auto"/>
                <w:highlight w:val="none"/>
                <w:vertAlign w:val="subscript"/>
              </w:rPr>
              <w:t>misc</w:t>
            </w:r>
            <w:r>
              <w:rPr>
                <w:rFonts w:eastAsia="Times New Roman"/>
                <w:color w:val="auto"/>
                <w:highlight w:val="none"/>
              </w:rPr>
              <w:t>)</w:t>
            </w:r>
          </w:p>
          <w:p w14:paraId="019C11AA">
            <w:pPr>
              <w:adjustRightInd w:val="0"/>
              <w:snapToGrid w:val="0"/>
              <w:ind w:firstLine="0" w:firstLineChars="0"/>
              <w:jc w:val="center"/>
              <w:rPr>
                <w:rFonts w:hint="eastAsia"/>
                <w:color w:val="auto"/>
                <w:highlight w:val="none"/>
              </w:rPr>
            </w:pPr>
            <w:r>
              <w:rPr>
                <w:rFonts w:eastAsia="Times New Roman"/>
                <w:i/>
                <w:color w:val="auto"/>
                <w:highlight w:val="none"/>
              </w:rPr>
              <w:t>Lp</w:t>
            </w:r>
            <w:r>
              <w:rPr>
                <w:rFonts w:eastAsia="Times New Roman"/>
                <w:color w:val="auto"/>
                <w:highlight w:val="none"/>
              </w:rPr>
              <w:t>(</w:t>
            </w:r>
            <w:r>
              <w:rPr>
                <w:rFonts w:eastAsia="Times New Roman"/>
                <w:i/>
                <w:color w:val="auto"/>
                <w:highlight w:val="none"/>
              </w:rPr>
              <w:t>r</w:t>
            </w:r>
            <w:r>
              <w:rPr>
                <w:rFonts w:eastAsia="Times New Roman"/>
                <w:color w:val="auto"/>
                <w:highlight w:val="none"/>
              </w:rPr>
              <w:t>)</w:t>
            </w:r>
            <w:r>
              <w:rPr>
                <w:rFonts w:ascii="宋体" w:hAnsi="宋体"/>
                <w:color w:val="auto"/>
                <w:highlight w:val="none"/>
              </w:rPr>
              <w:t>＝</w:t>
            </w:r>
            <w:r>
              <w:rPr>
                <w:rFonts w:eastAsia="Times New Roman"/>
                <w:i/>
                <w:color w:val="auto"/>
                <w:highlight w:val="none"/>
              </w:rPr>
              <w:t>Lp</w:t>
            </w:r>
            <w:r>
              <w:rPr>
                <w:rFonts w:eastAsia="Times New Roman"/>
                <w:color w:val="auto"/>
                <w:highlight w:val="none"/>
              </w:rPr>
              <w:t>(</w:t>
            </w:r>
            <w:r>
              <w:rPr>
                <w:rFonts w:eastAsia="Times New Roman"/>
                <w:i/>
                <w:color w:val="auto"/>
                <w:highlight w:val="none"/>
              </w:rPr>
              <w:t>r</w:t>
            </w:r>
            <w:r>
              <w:rPr>
                <w:rFonts w:eastAsia="Times New Roman"/>
                <w:color w:val="auto"/>
                <w:highlight w:val="none"/>
                <w:vertAlign w:val="subscript"/>
              </w:rPr>
              <w:t>0</w:t>
            </w:r>
            <w:r>
              <w:rPr>
                <w:rFonts w:eastAsia="Times New Roman"/>
                <w:color w:val="auto"/>
                <w:highlight w:val="none"/>
              </w:rPr>
              <w:t>)+</w:t>
            </w:r>
            <w:r>
              <w:rPr>
                <w:rFonts w:eastAsia="Times New Roman"/>
                <w:i/>
                <w:color w:val="auto"/>
                <w:highlight w:val="none"/>
              </w:rPr>
              <w:t>D</w:t>
            </w:r>
            <w:r>
              <w:rPr>
                <w:rFonts w:eastAsia="Times New Roman"/>
                <w:color w:val="auto"/>
                <w:highlight w:val="none"/>
                <w:vertAlign w:val="subscript"/>
              </w:rPr>
              <w:t>C</w:t>
            </w:r>
            <w:r>
              <w:rPr>
                <w:rFonts w:ascii="宋体" w:hAnsi="宋体"/>
                <w:color w:val="auto"/>
                <w:highlight w:val="none"/>
              </w:rPr>
              <w:t>－</w:t>
            </w:r>
            <w:r>
              <w:rPr>
                <w:rFonts w:eastAsia="Times New Roman"/>
                <w:color w:val="auto"/>
                <w:highlight w:val="none"/>
              </w:rPr>
              <w:t>(</w:t>
            </w:r>
            <w:r>
              <w:rPr>
                <w:rFonts w:eastAsia="Times New Roman"/>
                <w:i/>
                <w:color w:val="auto"/>
                <w:highlight w:val="none"/>
              </w:rPr>
              <w:t>A</w:t>
            </w:r>
            <w:r>
              <w:rPr>
                <w:rFonts w:eastAsia="Times New Roman"/>
                <w:color w:val="auto"/>
                <w:highlight w:val="none"/>
                <w:vertAlign w:val="subscript"/>
              </w:rPr>
              <w:t>div</w:t>
            </w:r>
            <w:r>
              <w:rPr>
                <w:rFonts w:ascii="宋体" w:hAnsi="宋体"/>
                <w:color w:val="auto"/>
                <w:highlight w:val="none"/>
              </w:rPr>
              <w:t>＋</w:t>
            </w:r>
            <w:r>
              <w:rPr>
                <w:rFonts w:eastAsia="Times New Roman"/>
                <w:i/>
                <w:color w:val="auto"/>
                <w:highlight w:val="none"/>
              </w:rPr>
              <w:t>A</w:t>
            </w:r>
            <w:r>
              <w:rPr>
                <w:rFonts w:eastAsia="Times New Roman"/>
                <w:color w:val="auto"/>
                <w:highlight w:val="none"/>
                <w:vertAlign w:val="subscript"/>
              </w:rPr>
              <w:t>atm</w:t>
            </w:r>
            <w:r>
              <w:rPr>
                <w:rFonts w:ascii="宋体" w:hAnsi="宋体"/>
                <w:color w:val="auto"/>
                <w:highlight w:val="none"/>
              </w:rPr>
              <w:t>＋</w:t>
            </w:r>
            <w:r>
              <w:rPr>
                <w:rFonts w:eastAsia="Times New Roman"/>
                <w:i/>
                <w:color w:val="auto"/>
                <w:highlight w:val="none"/>
              </w:rPr>
              <w:t>A</w:t>
            </w:r>
            <w:r>
              <w:rPr>
                <w:rFonts w:eastAsia="Times New Roman"/>
                <w:color w:val="auto"/>
                <w:highlight w:val="none"/>
                <w:vertAlign w:val="subscript"/>
              </w:rPr>
              <w:t>gr</w:t>
            </w:r>
            <w:r>
              <w:rPr>
                <w:rFonts w:ascii="宋体" w:hAnsi="宋体"/>
                <w:color w:val="auto"/>
                <w:highlight w:val="none"/>
              </w:rPr>
              <w:t>＋</w:t>
            </w:r>
            <w:r>
              <w:rPr>
                <w:rFonts w:eastAsia="Times New Roman"/>
                <w:i/>
                <w:color w:val="auto"/>
                <w:highlight w:val="none"/>
              </w:rPr>
              <w:t>A</w:t>
            </w:r>
            <w:r>
              <w:rPr>
                <w:rFonts w:eastAsia="Times New Roman"/>
                <w:color w:val="auto"/>
                <w:highlight w:val="none"/>
                <w:vertAlign w:val="subscript"/>
              </w:rPr>
              <w:t>bar</w:t>
            </w:r>
            <w:r>
              <w:rPr>
                <w:rFonts w:ascii="宋体" w:hAnsi="宋体"/>
                <w:color w:val="auto"/>
                <w:highlight w:val="none"/>
              </w:rPr>
              <w:t>＋</w:t>
            </w:r>
            <w:r>
              <w:rPr>
                <w:rFonts w:eastAsia="Times New Roman"/>
                <w:i/>
                <w:color w:val="auto"/>
                <w:highlight w:val="none"/>
              </w:rPr>
              <w:t>A</w:t>
            </w:r>
            <w:r>
              <w:rPr>
                <w:rFonts w:eastAsia="Times New Roman"/>
                <w:color w:val="auto"/>
                <w:highlight w:val="none"/>
                <w:vertAlign w:val="subscript"/>
              </w:rPr>
              <w:t>misc</w:t>
            </w:r>
            <w:r>
              <w:rPr>
                <w:rFonts w:eastAsia="Times New Roman"/>
                <w:color w:val="auto"/>
                <w:highlight w:val="none"/>
              </w:rPr>
              <w:t>)</w:t>
            </w:r>
          </w:p>
          <w:p w14:paraId="71AA2E5D">
            <w:pPr>
              <w:adjustRightInd w:val="0"/>
              <w:snapToGrid w:val="0"/>
              <w:ind w:firstLine="480"/>
              <w:rPr>
                <w:rFonts w:hint="eastAsia"/>
                <w:color w:val="auto"/>
                <w:highlight w:val="none"/>
              </w:rPr>
            </w:pPr>
            <w:r>
              <w:rPr>
                <w:rFonts w:hint="eastAsia"/>
                <w:color w:val="auto"/>
                <w:highlight w:val="none"/>
              </w:rPr>
              <w:t>式中：</w:t>
            </w:r>
          </w:p>
          <w:p w14:paraId="088BDA61">
            <w:pPr>
              <w:adjustRightInd w:val="0"/>
              <w:snapToGrid w:val="0"/>
              <w:ind w:firstLine="480"/>
              <w:rPr>
                <w:rFonts w:hint="eastAsia"/>
                <w:color w:val="auto"/>
                <w:highlight w:val="none"/>
              </w:rPr>
            </w:pPr>
            <w:r>
              <w:rPr>
                <w:rFonts w:hint="eastAsia"/>
                <w:color w:val="auto"/>
                <w:highlight w:val="none"/>
              </w:rPr>
              <w:t xml:space="preserve">Lp(r)—预测点处声压级，dB； </w:t>
            </w:r>
          </w:p>
          <w:p w14:paraId="075B530C">
            <w:pPr>
              <w:adjustRightInd w:val="0"/>
              <w:snapToGrid w:val="0"/>
              <w:ind w:firstLine="480"/>
              <w:rPr>
                <w:rFonts w:hint="eastAsia"/>
                <w:color w:val="auto"/>
                <w:highlight w:val="none"/>
              </w:rPr>
            </w:pPr>
            <w:r>
              <w:rPr>
                <w:rFonts w:hint="eastAsia"/>
                <w:color w:val="auto"/>
                <w:highlight w:val="none"/>
              </w:rPr>
              <w:t>L</w:t>
            </w:r>
            <w:r>
              <w:rPr>
                <w:rFonts w:hint="eastAsia"/>
                <w:color w:val="auto"/>
                <w:highlight w:val="none"/>
              </w:rPr>
              <w:softHyphen/>
            </w:r>
            <w:r>
              <w:rPr>
                <w:rFonts w:hint="eastAsia"/>
                <w:color w:val="auto"/>
                <w:highlight w:val="none"/>
              </w:rPr>
              <w:softHyphen/>
            </w:r>
            <w:r>
              <w:rPr>
                <w:rFonts w:hint="eastAsia"/>
                <w:color w:val="auto"/>
                <w:highlight w:val="none"/>
              </w:rPr>
              <w:t>w—由点声源产生的声功率级（A计权或倍频带），dB；</w:t>
            </w:r>
          </w:p>
          <w:p w14:paraId="66FDDCA2">
            <w:pPr>
              <w:adjustRightInd w:val="0"/>
              <w:snapToGrid w:val="0"/>
              <w:ind w:firstLine="480"/>
              <w:rPr>
                <w:rFonts w:hint="eastAsia"/>
                <w:color w:val="auto"/>
                <w:highlight w:val="none"/>
              </w:rPr>
            </w:pPr>
            <w:r>
              <w:rPr>
                <w:rFonts w:hint="eastAsia"/>
                <w:color w:val="auto"/>
                <w:highlight w:val="none"/>
              </w:rPr>
              <w:t>Lp(r</w:t>
            </w:r>
            <w:r>
              <w:rPr>
                <w:rFonts w:hint="eastAsia"/>
                <w:color w:val="auto"/>
                <w:highlight w:val="none"/>
                <w:vertAlign w:val="subscript"/>
              </w:rPr>
              <w:t>0</w:t>
            </w:r>
            <w:r>
              <w:rPr>
                <w:rFonts w:hint="eastAsia"/>
                <w:color w:val="auto"/>
                <w:highlight w:val="none"/>
              </w:rPr>
              <w:t>)—</w:t>
            </w:r>
            <w:r>
              <w:rPr>
                <w:color w:val="auto"/>
                <w:highlight w:val="none"/>
              </w:rPr>
              <w:t>参考位置</w:t>
            </w:r>
            <w:r>
              <w:rPr>
                <w:rFonts w:hint="eastAsia"/>
                <w:color w:val="auto"/>
                <w:highlight w:val="none"/>
              </w:rPr>
              <w:t>r</w:t>
            </w:r>
            <w:r>
              <w:rPr>
                <w:rFonts w:hint="eastAsia"/>
                <w:color w:val="auto"/>
                <w:highlight w:val="none"/>
                <w:vertAlign w:val="subscript"/>
              </w:rPr>
              <w:t>0</w:t>
            </w:r>
            <w:r>
              <w:rPr>
                <w:color w:val="auto"/>
                <w:highlight w:val="none"/>
              </w:rPr>
              <w:t>处的声压级，</w:t>
            </w:r>
            <w:r>
              <w:rPr>
                <w:rFonts w:hint="eastAsia"/>
                <w:color w:val="auto"/>
                <w:highlight w:val="none"/>
              </w:rPr>
              <w:t>dB</w:t>
            </w:r>
            <w:r>
              <w:rPr>
                <w:color w:val="auto"/>
                <w:highlight w:val="none"/>
              </w:rPr>
              <w:t>；</w:t>
            </w:r>
          </w:p>
          <w:p w14:paraId="5DA420ED">
            <w:pPr>
              <w:adjustRightInd w:val="0"/>
              <w:snapToGrid w:val="0"/>
              <w:ind w:firstLine="480"/>
              <w:rPr>
                <w:rFonts w:hint="eastAsia"/>
                <w:color w:val="auto"/>
                <w:highlight w:val="none"/>
              </w:rPr>
            </w:pPr>
            <w:r>
              <w:rPr>
                <w:rFonts w:hint="eastAsia"/>
                <w:color w:val="auto"/>
                <w:highlight w:val="none"/>
              </w:rPr>
              <w:t xml:space="preserve">Dc—指向性校正，它描述点声源的等效连续声压级与产生声功率级Lw的全向点声源在规定方向的声级的偏差程度，dB； </w:t>
            </w:r>
          </w:p>
          <w:p w14:paraId="01D6C5F1">
            <w:pPr>
              <w:adjustRightInd w:val="0"/>
              <w:snapToGrid w:val="0"/>
              <w:ind w:firstLine="480"/>
              <w:rPr>
                <w:rFonts w:hint="eastAsia"/>
                <w:color w:val="auto"/>
                <w:highlight w:val="none"/>
              </w:rPr>
            </w:pPr>
            <w:r>
              <w:rPr>
                <w:rFonts w:hint="eastAsia"/>
                <w:color w:val="auto"/>
                <w:highlight w:val="none"/>
              </w:rPr>
              <w:t>A</w:t>
            </w:r>
            <w:r>
              <w:rPr>
                <w:rFonts w:hint="eastAsia"/>
                <w:color w:val="auto"/>
                <w:highlight w:val="none"/>
                <w:vertAlign w:val="subscript"/>
              </w:rPr>
              <w:t>div</w:t>
            </w:r>
            <w:r>
              <w:rPr>
                <w:rFonts w:hint="eastAsia"/>
                <w:color w:val="auto"/>
                <w:highlight w:val="none"/>
              </w:rPr>
              <w:t xml:space="preserve">—几何发散引起的衰减，dB； </w:t>
            </w:r>
          </w:p>
          <w:p w14:paraId="34E72F96">
            <w:pPr>
              <w:adjustRightInd w:val="0"/>
              <w:snapToGrid w:val="0"/>
              <w:ind w:firstLine="480"/>
              <w:rPr>
                <w:rFonts w:hint="eastAsia"/>
                <w:color w:val="auto"/>
                <w:highlight w:val="none"/>
              </w:rPr>
            </w:pPr>
            <w:r>
              <w:rPr>
                <w:rFonts w:hint="eastAsia"/>
                <w:color w:val="auto"/>
                <w:highlight w:val="none"/>
              </w:rPr>
              <w:t>A</w:t>
            </w:r>
            <w:r>
              <w:rPr>
                <w:rFonts w:hint="eastAsia"/>
                <w:color w:val="auto"/>
                <w:highlight w:val="none"/>
                <w:vertAlign w:val="subscript"/>
              </w:rPr>
              <w:t>atm</w:t>
            </w:r>
            <w:r>
              <w:rPr>
                <w:rFonts w:hint="eastAsia"/>
                <w:color w:val="auto"/>
                <w:highlight w:val="none"/>
              </w:rPr>
              <w:t xml:space="preserve">—大气吸收引起的衰减，dB； </w:t>
            </w:r>
          </w:p>
          <w:p w14:paraId="6ACC629B">
            <w:pPr>
              <w:adjustRightInd w:val="0"/>
              <w:snapToGrid w:val="0"/>
              <w:ind w:firstLine="480"/>
              <w:rPr>
                <w:rFonts w:hint="eastAsia"/>
                <w:color w:val="auto"/>
                <w:highlight w:val="none"/>
              </w:rPr>
            </w:pPr>
            <w:r>
              <w:rPr>
                <w:rFonts w:hint="eastAsia"/>
                <w:color w:val="auto"/>
                <w:highlight w:val="none"/>
              </w:rPr>
              <w:t>A</w:t>
            </w:r>
            <w:r>
              <w:rPr>
                <w:rFonts w:hint="eastAsia"/>
                <w:color w:val="auto"/>
                <w:highlight w:val="none"/>
                <w:vertAlign w:val="subscript"/>
              </w:rPr>
              <w:t>gr</w:t>
            </w:r>
            <w:r>
              <w:rPr>
                <w:rFonts w:hint="eastAsia"/>
                <w:color w:val="auto"/>
                <w:highlight w:val="none"/>
              </w:rPr>
              <w:t>—地面效应引起的衰减，dB；</w:t>
            </w:r>
          </w:p>
          <w:p w14:paraId="251D4EA0">
            <w:pPr>
              <w:adjustRightInd w:val="0"/>
              <w:snapToGrid w:val="0"/>
              <w:ind w:firstLine="480"/>
              <w:rPr>
                <w:rFonts w:hint="eastAsia"/>
                <w:color w:val="auto"/>
                <w:highlight w:val="none"/>
              </w:rPr>
            </w:pPr>
            <w:r>
              <w:rPr>
                <w:rFonts w:hint="eastAsia"/>
                <w:color w:val="auto"/>
                <w:highlight w:val="none"/>
              </w:rPr>
              <w:t>A</w:t>
            </w:r>
            <w:r>
              <w:rPr>
                <w:rFonts w:hint="eastAsia"/>
                <w:color w:val="auto"/>
                <w:highlight w:val="none"/>
                <w:vertAlign w:val="subscript"/>
              </w:rPr>
              <w:t>bar</w:t>
            </w:r>
            <w:r>
              <w:rPr>
                <w:rFonts w:hint="eastAsia"/>
                <w:color w:val="auto"/>
                <w:highlight w:val="none"/>
              </w:rPr>
              <w:t>—障碍物屏蔽引起的衰减，dB；</w:t>
            </w:r>
          </w:p>
          <w:p w14:paraId="64B8F5A7">
            <w:pPr>
              <w:adjustRightInd w:val="0"/>
              <w:snapToGrid w:val="0"/>
              <w:ind w:firstLine="480"/>
              <w:rPr>
                <w:rFonts w:hint="eastAsia"/>
                <w:color w:val="auto"/>
                <w:highlight w:val="none"/>
              </w:rPr>
            </w:pPr>
            <w:r>
              <w:rPr>
                <w:rFonts w:hint="eastAsia"/>
                <w:color w:val="auto"/>
                <w:highlight w:val="none"/>
              </w:rPr>
              <w:t>A</w:t>
            </w:r>
            <w:r>
              <w:rPr>
                <w:rFonts w:hint="eastAsia"/>
                <w:color w:val="auto"/>
                <w:highlight w:val="none"/>
                <w:vertAlign w:val="subscript"/>
              </w:rPr>
              <w:t>misc</w:t>
            </w:r>
            <w:r>
              <w:rPr>
                <w:rFonts w:hint="eastAsia"/>
                <w:color w:val="auto"/>
                <w:highlight w:val="none"/>
              </w:rPr>
              <w:t>—其他多方面效应引起的衰减，dB。</w:t>
            </w:r>
          </w:p>
          <w:p w14:paraId="6E7CFFC3">
            <w:pPr>
              <w:ind w:firstLine="480"/>
              <w:rPr>
                <w:color w:val="auto"/>
                <w:highlight w:val="none"/>
              </w:rPr>
            </w:pPr>
            <w:r>
              <w:rPr>
                <w:color w:val="auto"/>
                <w:highlight w:val="none"/>
              </w:rPr>
              <w:t>②</w:t>
            </w:r>
            <w:r>
              <w:rPr>
                <w:rFonts w:ascii="宋体" w:hAnsi="宋体"/>
                <w:color w:val="auto"/>
                <w:highlight w:val="none"/>
              </w:rPr>
              <w:t>预测点的</w:t>
            </w:r>
            <w:r>
              <w:rPr>
                <w:rFonts w:eastAsia="Times New Roman"/>
                <w:color w:val="auto"/>
                <w:highlight w:val="none"/>
              </w:rPr>
              <w:t>A</w:t>
            </w:r>
            <w:r>
              <w:rPr>
                <w:rFonts w:ascii="宋体" w:hAnsi="宋体"/>
                <w:color w:val="auto"/>
                <w:highlight w:val="none"/>
              </w:rPr>
              <w:t>声级</w:t>
            </w:r>
            <w:r>
              <w:rPr>
                <w:rFonts w:eastAsia="Times New Roman"/>
                <w:i/>
                <w:color w:val="auto"/>
                <w:highlight w:val="none"/>
              </w:rPr>
              <w:t>L</w:t>
            </w:r>
            <w:r>
              <w:rPr>
                <w:rFonts w:eastAsia="Times New Roman"/>
                <w:color w:val="auto"/>
                <w:highlight w:val="none"/>
                <w:vertAlign w:val="subscript"/>
              </w:rPr>
              <w:t>A</w:t>
            </w:r>
            <w:r>
              <w:rPr>
                <w:rFonts w:eastAsia="Times New Roman"/>
                <w:color w:val="auto"/>
                <w:highlight w:val="none"/>
              </w:rPr>
              <w:t>(</w:t>
            </w:r>
            <w:r>
              <w:rPr>
                <w:rFonts w:eastAsia="Times New Roman"/>
                <w:i/>
                <w:color w:val="auto"/>
                <w:highlight w:val="none"/>
              </w:rPr>
              <w:t>r</w:t>
            </w:r>
            <w:r>
              <w:rPr>
                <w:rFonts w:eastAsia="Times New Roman"/>
                <w:color w:val="auto"/>
                <w:highlight w:val="none"/>
              </w:rPr>
              <w:t>)</w:t>
            </w:r>
            <w:r>
              <w:rPr>
                <w:rFonts w:ascii="宋体" w:hAnsi="宋体"/>
                <w:color w:val="auto"/>
                <w:highlight w:val="none"/>
              </w:rPr>
              <w:t>可按</w:t>
            </w:r>
            <w:r>
              <w:rPr>
                <w:rFonts w:hint="eastAsia" w:ascii="宋体" w:hAnsi="宋体"/>
                <w:color w:val="auto"/>
                <w:highlight w:val="none"/>
              </w:rPr>
              <w:t>下式</w:t>
            </w:r>
            <w:r>
              <w:rPr>
                <w:rFonts w:ascii="宋体" w:hAnsi="宋体"/>
                <w:color w:val="auto"/>
                <w:highlight w:val="none"/>
              </w:rPr>
              <w:t>计算，即将</w:t>
            </w:r>
            <w:r>
              <w:rPr>
                <w:rFonts w:eastAsia="Times New Roman"/>
                <w:color w:val="auto"/>
                <w:highlight w:val="none"/>
              </w:rPr>
              <w:t>8</w:t>
            </w:r>
            <w:r>
              <w:rPr>
                <w:rFonts w:ascii="宋体" w:hAnsi="宋体"/>
                <w:color w:val="auto"/>
                <w:highlight w:val="none"/>
              </w:rPr>
              <w:t>个倍频带声压级合成，计算出预测点的</w:t>
            </w:r>
            <w:r>
              <w:rPr>
                <w:rFonts w:eastAsia="Times New Roman"/>
                <w:color w:val="auto"/>
                <w:highlight w:val="none"/>
              </w:rPr>
              <w:t>A</w:t>
            </w:r>
            <w:r>
              <w:rPr>
                <w:rFonts w:ascii="宋体" w:hAnsi="宋体"/>
                <w:color w:val="auto"/>
                <w:highlight w:val="none"/>
              </w:rPr>
              <w:t>声级</w:t>
            </w:r>
            <w:r>
              <w:rPr>
                <w:rFonts w:eastAsia="Times New Roman"/>
                <w:color w:val="auto"/>
                <w:highlight w:val="none"/>
              </w:rPr>
              <w:t>[</w:t>
            </w:r>
            <w:r>
              <w:rPr>
                <w:rFonts w:eastAsia="Times New Roman"/>
                <w:i/>
                <w:color w:val="auto"/>
                <w:highlight w:val="none"/>
              </w:rPr>
              <w:t>L</w:t>
            </w:r>
            <w:r>
              <w:rPr>
                <w:rFonts w:eastAsia="Times New Roman"/>
                <w:color w:val="auto"/>
                <w:highlight w:val="none"/>
                <w:vertAlign w:val="subscript"/>
              </w:rPr>
              <w:t>A</w:t>
            </w:r>
            <w:r>
              <w:rPr>
                <w:rFonts w:eastAsia="Times New Roman"/>
                <w:color w:val="auto"/>
                <w:highlight w:val="none"/>
              </w:rPr>
              <w:t>(</w:t>
            </w:r>
            <w:r>
              <w:rPr>
                <w:rFonts w:eastAsia="Times New Roman"/>
                <w:i/>
                <w:color w:val="auto"/>
                <w:highlight w:val="none"/>
              </w:rPr>
              <w:t>r</w:t>
            </w:r>
            <w:r>
              <w:rPr>
                <w:rFonts w:eastAsia="Times New Roman"/>
                <w:color w:val="auto"/>
                <w:highlight w:val="none"/>
              </w:rPr>
              <w:t>)]</w:t>
            </w:r>
            <w:r>
              <w:rPr>
                <w:rFonts w:ascii="宋体" w:hAnsi="宋体"/>
                <w:color w:val="auto"/>
                <w:highlight w:val="none"/>
              </w:rPr>
              <w:t>。</w:t>
            </w:r>
          </w:p>
          <w:p w14:paraId="155D7CFE">
            <w:pPr>
              <w:ind w:firstLine="0" w:firstLineChars="0"/>
              <w:jc w:val="center"/>
              <w:rPr>
                <w:b/>
                <w:color w:val="auto"/>
                <w:highlight w:val="none"/>
              </w:rPr>
            </w:pPr>
            <m:oMathPara>
              <m:oMath>
                <m:sSub>
                  <m:sSubPr>
                    <m:ctrlPr>
                      <w:rPr>
                        <w:rFonts w:hint="default" w:ascii="Cambria Math" w:hAnsi="Cambria Math" w:cs="Times New Roman"/>
                        <w:i/>
                        <w:color w:val="auto"/>
                        <w:sz w:val="24"/>
                        <w:szCs w:val="24"/>
                        <w:highlight w:val="none"/>
                        <w:shd w:val="clear" w:color="auto" w:fill="auto"/>
                      </w:rPr>
                    </m:ctrlPr>
                  </m:sSubPr>
                  <m:e>
                    <m:r>
                      <m:rPr/>
                      <w:rPr>
                        <w:rFonts w:hint="default" w:ascii="Cambria Math" w:hAnsi="Cambria Math" w:cs="Times New Roman"/>
                        <w:color w:val="auto"/>
                        <w:sz w:val="24"/>
                        <w:szCs w:val="24"/>
                        <w:highlight w:val="none"/>
                        <w:shd w:val="clear" w:color="auto" w:fill="auto"/>
                        <w:lang w:val="en-US" w:eastAsia="zh-CN"/>
                      </w:rPr>
                      <m:t>L</m:t>
                    </m:r>
                    <m:ctrlPr>
                      <w:rPr>
                        <w:rFonts w:hint="default" w:ascii="Cambria Math" w:hAnsi="Cambria Math" w:cs="Times New Roman"/>
                        <w:i/>
                        <w:color w:val="auto"/>
                        <w:sz w:val="24"/>
                        <w:szCs w:val="24"/>
                        <w:highlight w:val="none"/>
                        <w:shd w:val="clear" w:color="auto" w:fill="auto"/>
                      </w:rPr>
                    </m:ctrlPr>
                  </m:e>
                  <m:sub>
                    <m:r>
                      <m:rPr/>
                      <w:rPr>
                        <w:rFonts w:hint="default" w:ascii="Cambria Math" w:hAnsi="Cambria Math" w:cs="Times New Roman"/>
                        <w:color w:val="auto"/>
                        <w:sz w:val="24"/>
                        <w:szCs w:val="24"/>
                        <w:highlight w:val="none"/>
                        <w:shd w:val="clear" w:color="auto" w:fill="auto"/>
                        <w:lang w:val="en-US" w:eastAsia="zh-CN"/>
                      </w:rPr>
                      <m:t>A</m:t>
                    </m:r>
                    <m:ctrlPr>
                      <w:rPr>
                        <w:rFonts w:hint="default" w:ascii="Cambria Math" w:hAnsi="Cambria Math" w:cs="Times New Roman"/>
                        <w:i/>
                        <w:color w:val="auto"/>
                        <w:sz w:val="24"/>
                        <w:szCs w:val="24"/>
                        <w:highlight w:val="none"/>
                        <w:shd w:val="clear" w:color="auto" w:fill="auto"/>
                      </w:rPr>
                    </m:ctrlPr>
                  </m:sub>
                </m:sSub>
                <m:d>
                  <m:dPr>
                    <m:ctrlPr>
                      <w:rPr>
                        <w:rFonts w:hint="default" w:ascii="Cambria Math" w:hAnsi="Cambria Math" w:cs="Times New Roman"/>
                        <w:i/>
                        <w:color w:val="auto"/>
                        <w:sz w:val="24"/>
                        <w:szCs w:val="24"/>
                        <w:highlight w:val="none"/>
                        <w:shd w:val="clear" w:color="auto" w:fill="auto"/>
                      </w:rPr>
                    </m:ctrlPr>
                  </m:dPr>
                  <m:e>
                    <m:r>
                      <m:rPr/>
                      <w:rPr>
                        <w:rFonts w:hint="default" w:ascii="Cambria Math" w:hAnsi="Cambria Math" w:cs="Times New Roman"/>
                        <w:color w:val="auto"/>
                        <w:sz w:val="24"/>
                        <w:szCs w:val="24"/>
                        <w:highlight w:val="none"/>
                        <w:shd w:val="clear" w:color="auto" w:fill="auto"/>
                        <w:lang w:val="en-US" w:eastAsia="zh-CN"/>
                      </w:rPr>
                      <m:t>r</m:t>
                    </m:r>
                    <m:ctrlPr>
                      <w:rPr>
                        <w:rFonts w:hint="default" w:ascii="Cambria Math" w:hAnsi="Cambria Math" w:cs="Times New Roman"/>
                        <w:i/>
                        <w:color w:val="auto"/>
                        <w:sz w:val="24"/>
                        <w:szCs w:val="24"/>
                        <w:highlight w:val="none"/>
                        <w:shd w:val="clear" w:color="auto" w:fill="auto"/>
                      </w:rPr>
                    </m:ctrlPr>
                  </m:e>
                </m:d>
                <m:r>
                  <m:rPr/>
                  <w:rPr>
                    <w:rFonts w:hint="default" w:ascii="Cambria Math" w:hAnsi="Cambria Math" w:cs="Times New Roman"/>
                    <w:color w:val="auto"/>
                    <w:sz w:val="24"/>
                    <w:szCs w:val="24"/>
                    <w:highlight w:val="none"/>
                    <w:shd w:val="clear" w:color="auto" w:fill="auto"/>
                    <w:lang w:val="en-US" w:eastAsia="zh-CN"/>
                  </w:rPr>
                  <m:t>=10</m:t>
                </m:r>
                <m:func>
                  <m:funcPr>
                    <m:ctrlPr>
                      <w:rPr>
                        <w:rFonts w:hint="default" w:ascii="Cambria Math" w:hAnsi="Cambria Math" w:cs="Times New Roman"/>
                        <w:color w:val="auto"/>
                        <w:sz w:val="24"/>
                        <w:szCs w:val="24"/>
                        <w:highlight w:val="none"/>
                        <w:shd w:val="clear" w:color="auto" w:fill="auto"/>
                        <w:lang w:val="en-US" w:eastAsia="zh-CN"/>
                      </w:rPr>
                    </m:ctrlPr>
                  </m:funcPr>
                  <m:fName>
                    <m:r>
                      <m:rPr>
                        <m:sty m:val="p"/>
                      </m:rPr>
                      <w:rPr>
                        <w:rFonts w:hint="default" w:ascii="Cambria Math" w:hAnsi="Cambria Math" w:cs="Times New Roman"/>
                        <w:color w:val="auto"/>
                        <w:sz w:val="24"/>
                        <w:szCs w:val="24"/>
                        <w:highlight w:val="none"/>
                        <w:shd w:val="clear" w:color="auto" w:fill="auto"/>
                        <w:lang w:val="en-US"/>
                      </w:rPr>
                      <m:t>log</m:t>
                    </m:r>
                    <m:ctrlPr>
                      <w:rPr>
                        <w:rFonts w:hint="default" w:ascii="Cambria Math" w:hAnsi="Cambria Math" w:cs="Times New Roman"/>
                        <w:i/>
                        <w:color w:val="auto"/>
                        <w:sz w:val="24"/>
                        <w:szCs w:val="24"/>
                        <w:highlight w:val="none"/>
                        <w:shd w:val="clear" w:color="auto" w:fill="auto"/>
                        <w:lang w:val="en-US" w:eastAsia="zh-CN"/>
                      </w:rPr>
                    </m:ctrlPr>
                  </m:fName>
                  <m:e>
                    <m:d>
                      <m:dPr>
                        <m:ctrlPr>
                          <w:rPr>
                            <w:rFonts w:hint="default" w:ascii="Cambria Math" w:hAnsi="Cambria Math" w:cs="Times New Roman"/>
                            <w:i/>
                            <w:color w:val="auto"/>
                            <w:sz w:val="24"/>
                            <w:szCs w:val="24"/>
                            <w:highlight w:val="none"/>
                            <w:shd w:val="clear" w:color="auto" w:fill="auto"/>
                            <w:lang w:val="en-US" w:eastAsia="zh-CN"/>
                          </w:rPr>
                        </m:ctrlPr>
                      </m:dPr>
                      <m:e>
                        <m:nary>
                          <m:naryPr>
                            <m:chr m:val="∑"/>
                            <m:limLoc m:val="undOvr"/>
                            <m:ctrlPr>
                              <w:rPr>
                                <w:rFonts w:hint="default" w:ascii="Cambria Math" w:hAnsi="Cambria Math" w:cs="Times New Roman"/>
                                <w:i/>
                                <w:color w:val="auto"/>
                                <w:sz w:val="24"/>
                                <w:szCs w:val="24"/>
                                <w:highlight w:val="none"/>
                                <w:shd w:val="clear" w:color="auto" w:fill="auto"/>
                                <w:lang w:val="en-US" w:eastAsia="zh-CN"/>
                              </w:rPr>
                            </m:ctrlPr>
                          </m:naryPr>
                          <m:sub>
                            <m:r>
                              <m:rPr/>
                              <w:rPr>
                                <w:rFonts w:hint="default" w:ascii="Cambria Math" w:hAnsi="Cambria Math" w:cs="Times New Roman"/>
                                <w:color w:val="auto"/>
                                <w:sz w:val="24"/>
                                <w:szCs w:val="24"/>
                                <w:highlight w:val="none"/>
                                <w:shd w:val="clear" w:color="auto" w:fill="auto"/>
                                <w:lang w:val="en-US" w:eastAsia="zh-CN"/>
                              </w:rPr>
                              <m:t>i=1</m:t>
                            </m:r>
                            <m:ctrlPr>
                              <w:rPr>
                                <w:rFonts w:hint="default" w:ascii="Cambria Math" w:hAnsi="Cambria Math" w:cs="Times New Roman"/>
                                <w:i/>
                                <w:color w:val="auto"/>
                                <w:sz w:val="24"/>
                                <w:szCs w:val="24"/>
                                <w:highlight w:val="none"/>
                                <w:shd w:val="clear" w:color="auto" w:fill="auto"/>
                                <w:lang w:val="en-US" w:eastAsia="zh-CN"/>
                              </w:rPr>
                            </m:ctrlPr>
                          </m:sub>
                          <m:sup>
                            <m:r>
                              <m:rPr/>
                              <w:rPr>
                                <w:rFonts w:hint="default" w:ascii="Cambria Math" w:hAnsi="Cambria Math" w:cs="Times New Roman"/>
                                <w:color w:val="auto"/>
                                <w:sz w:val="24"/>
                                <w:szCs w:val="24"/>
                                <w:highlight w:val="none"/>
                                <w:shd w:val="clear" w:color="auto" w:fill="auto"/>
                                <w:lang w:val="en-US" w:eastAsia="zh-CN"/>
                              </w:rPr>
                              <m:t>8</m:t>
                            </m:r>
                            <m:ctrlPr>
                              <w:rPr>
                                <w:rFonts w:hint="default" w:ascii="Cambria Math" w:hAnsi="Cambria Math" w:cs="Times New Roman"/>
                                <w:i/>
                                <w:color w:val="auto"/>
                                <w:sz w:val="24"/>
                                <w:szCs w:val="24"/>
                                <w:highlight w:val="none"/>
                                <w:shd w:val="clear" w:color="auto" w:fill="auto"/>
                                <w:lang w:val="en-US" w:eastAsia="zh-CN"/>
                              </w:rPr>
                            </m:ctrlPr>
                          </m:sup>
                          <m:e>
                            <m:sSup>
                              <m:sSupPr>
                                <m:ctrlPr>
                                  <w:rPr>
                                    <w:rFonts w:hint="default" w:ascii="Cambria Math" w:hAnsi="Cambria Math" w:cs="Times New Roman"/>
                                    <w:i/>
                                    <w:color w:val="auto"/>
                                    <w:sz w:val="24"/>
                                    <w:szCs w:val="24"/>
                                    <w:highlight w:val="none"/>
                                    <w:shd w:val="clear" w:color="auto" w:fill="auto"/>
                                    <w:lang w:val="en-US" w:eastAsia="zh-CN"/>
                                  </w:rPr>
                                </m:ctrlPr>
                              </m:sSupPr>
                              <m:e>
                                <m:r>
                                  <m:rPr/>
                                  <w:rPr>
                                    <w:rFonts w:hint="default" w:ascii="Cambria Math" w:hAnsi="Cambria Math" w:cs="Times New Roman"/>
                                    <w:color w:val="auto"/>
                                    <w:sz w:val="24"/>
                                    <w:szCs w:val="24"/>
                                    <w:highlight w:val="none"/>
                                    <w:shd w:val="clear" w:color="auto" w:fill="auto"/>
                                    <w:lang w:val="en-US" w:eastAsia="zh-CN"/>
                                  </w:rPr>
                                  <m:t>10</m:t>
                                </m:r>
                                <m:ctrlPr>
                                  <w:rPr>
                                    <w:rFonts w:hint="default" w:ascii="Cambria Math" w:hAnsi="Cambria Math" w:cs="Times New Roman"/>
                                    <w:i/>
                                    <w:color w:val="auto"/>
                                    <w:sz w:val="24"/>
                                    <w:szCs w:val="24"/>
                                    <w:highlight w:val="none"/>
                                    <w:shd w:val="clear" w:color="auto" w:fill="auto"/>
                                    <w:lang w:val="en-US" w:eastAsia="zh-CN"/>
                                  </w:rPr>
                                </m:ctrlPr>
                              </m:e>
                              <m:sup>
                                <m:r>
                                  <m:rPr/>
                                  <w:rPr>
                                    <w:rFonts w:hint="default" w:ascii="Cambria Math" w:hAnsi="Cambria Math" w:cs="Times New Roman"/>
                                    <w:color w:val="auto"/>
                                    <w:sz w:val="24"/>
                                    <w:szCs w:val="24"/>
                                    <w:highlight w:val="none"/>
                                    <w:shd w:val="clear" w:color="auto" w:fill="auto"/>
                                    <w:lang w:val="en-US" w:eastAsia="zh-CN"/>
                                  </w:rPr>
                                  <m:t>0.1</m:t>
                                </m:r>
                                <m:d>
                                  <m:dPr>
                                    <m:ctrlPr>
                                      <w:rPr>
                                        <w:rFonts w:hint="default" w:ascii="Cambria Math" w:hAnsi="Cambria Math" w:cs="Times New Roman"/>
                                        <w:i/>
                                        <w:color w:val="auto"/>
                                        <w:sz w:val="24"/>
                                        <w:szCs w:val="24"/>
                                        <w:highlight w:val="none"/>
                                        <w:shd w:val="clear" w:color="auto" w:fill="auto"/>
                                        <w:lang w:val="en-US" w:eastAsia="zh-CN"/>
                                      </w:rPr>
                                    </m:ctrlPr>
                                  </m:dPr>
                                  <m:e>
                                    <m:sSub>
                                      <m:sSubPr>
                                        <m:ctrlPr>
                                          <w:rPr>
                                            <w:rFonts w:hint="default" w:ascii="Cambria Math" w:hAnsi="Cambria Math" w:cs="Times New Roman"/>
                                            <w:i/>
                                            <w:color w:val="auto"/>
                                            <w:sz w:val="24"/>
                                            <w:szCs w:val="24"/>
                                            <w:highlight w:val="none"/>
                                            <w:shd w:val="clear" w:color="auto" w:fill="auto"/>
                                            <w:lang w:val="en-US" w:eastAsia="zh-CN"/>
                                          </w:rPr>
                                        </m:ctrlPr>
                                      </m:sSubPr>
                                      <m:e>
                                        <m:r>
                                          <m:rPr/>
                                          <w:rPr>
                                            <w:rFonts w:hint="default" w:ascii="Cambria Math" w:hAnsi="Cambria Math" w:cs="Times New Roman"/>
                                            <w:color w:val="auto"/>
                                            <w:sz w:val="24"/>
                                            <w:szCs w:val="24"/>
                                            <w:highlight w:val="none"/>
                                            <w:shd w:val="clear" w:color="auto" w:fill="auto"/>
                                            <w:lang w:val="en-US" w:eastAsia="zh-CN"/>
                                          </w:rPr>
                                          <m:t>L</m:t>
                                        </m:r>
                                        <m:ctrlPr>
                                          <w:rPr>
                                            <w:rFonts w:hint="default" w:ascii="Cambria Math" w:hAnsi="Cambria Math" w:cs="Times New Roman"/>
                                            <w:i/>
                                            <w:color w:val="auto"/>
                                            <w:sz w:val="24"/>
                                            <w:szCs w:val="24"/>
                                            <w:highlight w:val="none"/>
                                            <w:shd w:val="clear" w:color="auto" w:fill="auto"/>
                                            <w:lang w:val="en-US" w:eastAsia="zh-CN"/>
                                          </w:rPr>
                                        </m:ctrlPr>
                                      </m:e>
                                      <m:sub>
                                        <m:r>
                                          <m:rPr/>
                                          <w:rPr>
                                            <w:rFonts w:hint="default" w:ascii="Cambria Math" w:hAnsi="Cambria Math" w:cs="Times New Roman"/>
                                            <w:color w:val="auto"/>
                                            <w:sz w:val="24"/>
                                            <w:szCs w:val="24"/>
                                            <w:highlight w:val="none"/>
                                            <w:shd w:val="clear" w:color="auto" w:fill="auto"/>
                                            <w:lang w:val="en-US" w:eastAsia="zh-CN"/>
                                          </w:rPr>
                                          <m:t>pi</m:t>
                                        </m:r>
                                        <m:ctrlPr>
                                          <w:rPr>
                                            <w:rFonts w:hint="default" w:ascii="Cambria Math" w:hAnsi="Cambria Math" w:cs="Times New Roman"/>
                                            <w:i/>
                                            <w:color w:val="auto"/>
                                            <w:sz w:val="24"/>
                                            <w:szCs w:val="24"/>
                                            <w:highlight w:val="none"/>
                                            <w:shd w:val="clear" w:color="auto" w:fill="auto"/>
                                            <w:lang w:val="en-US" w:eastAsia="zh-CN"/>
                                          </w:rPr>
                                        </m:ctrlPr>
                                      </m:sub>
                                    </m:sSub>
                                    <m:d>
                                      <m:dPr>
                                        <m:ctrlPr>
                                          <w:rPr>
                                            <w:rFonts w:hint="default" w:ascii="Cambria Math" w:hAnsi="Cambria Math" w:cs="Times New Roman"/>
                                            <w:i/>
                                            <w:color w:val="auto"/>
                                            <w:sz w:val="24"/>
                                            <w:szCs w:val="24"/>
                                            <w:highlight w:val="none"/>
                                            <w:shd w:val="clear" w:color="auto" w:fill="auto"/>
                                            <w:lang w:val="en-US" w:eastAsia="zh-CN"/>
                                          </w:rPr>
                                        </m:ctrlPr>
                                      </m:dPr>
                                      <m:e>
                                        <m:r>
                                          <m:rPr/>
                                          <w:rPr>
                                            <w:rFonts w:hint="default" w:ascii="Cambria Math" w:hAnsi="Cambria Math" w:cs="Times New Roman"/>
                                            <w:color w:val="auto"/>
                                            <w:sz w:val="24"/>
                                            <w:szCs w:val="24"/>
                                            <w:highlight w:val="none"/>
                                            <w:shd w:val="clear" w:color="auto" w:fill="auto"/>
                                            <w:lang w:val="en-US" w:eastAsia="zh-CN"/>
                                          </w:rPr>
                                          <m:t>r</m:t>
                                        </m:r>
                                        <m:ctrlPr>
                                          <w:rPr>
                                            <w:rFonts w:hint="default" w:ascii="Cambria Math" w:hAnsi="Cambria Math" w:cs="Times New Roman"/>
                                            <w:i/>
                                            <w:color w:val="auto"/>
                                            <w:sz w:val="24"/>
                                            <w:szCs w:val="24"/>
                                            <w:highlight w:val="none"/>
                                            <w:shd w:val="clear" w:color="auto" w:fill="auto"/>
                                            <w:lang w:val="en-US" w:eastAsia="zh-CN"/>
                                          </w:rPr>
                                        </m:ctrlPr>
                                      </m:e>
                                    </m:d>
                                    <m:r>
                                      <m:rPr/>
                                      <w:rPr>
                                        <w:rFonts w:hint="default" w:ascii="Cambria Math" w:hAnsi="Cambria Math" w:cs="Times New Roman"/>
                                        <w:color w:val="auto"/>
                                        <w:sz w:val="24"/>
                                        <w:szCs w:val="24"/>
                                        <w:highlight w:val="none"/>
                                        <w:shd w:val="clear" w:color="auto" w:fill="auto"/>
                                        <w:lang w:val="en-US" w:eastAsia="zh-CN"/>
                                      </w:rPr>
                                      <m:t>−</m:t>
                                    </m:r>
                                    <m:r>
                                      <m:rPr/>
                                      <w:rPr>
                                        <w:rFonts w:hint="default" w:ascii="Cambria Math" w:hAnsi="Cambria Math" w:cs="Times New Roman"/>
                                        <w:color w:val="auto"/>
                                        <w:sz w:val="24"/>
                                        <w:szCs w:val="24"/>
                                        <w:highlight w:val="none"/>
                                        <w:shd w:val="clear" w:color="auto" w:fill="auto"/>
                                        <w:lang w:val="en-US"/>
                                      </w:rPr>
                                      <m:t>∆</m:t>
                                    </m:r>
                                    <m:sSub>
                                      <m:sSubPr>
                                        <m:ctrlPr>
                                          <w:rPr>
                                            <w:rFonts w:hint="default" w:ascii="Cambria Math" w:hAnsi="Cambria Math" w:cs="Times New Roman"/>
                                            <w:i/>
                                            <w:color w:val="auto"/>
                                            <w:sz w:val="24"/>
                                            <w:szCs w:val="24"/>
                                            <w:highlight w:val="none"/>
                                            <w:shd w:val="clear" w:color="auto" w:fill="auto"/>
                                            <w:lang w:val="en-US"/>
                                          </w:rPr>
                                        </m:ctrlPr>
                                      </m:sSubPr>
                                      <m:e>
                                        <m:r>
                                          <m:rPr/>
                                          <w:rPr>
                                            <w:rFonts w:hint="default" w:ascii="Cambria Math" w:hAnsi="Cambria Math" w:cs="Times New Roman"/>
                                            <w:color w:val="auto"/>
                                            <w:sz w:val="24"/>
                                            <w:szCs w:val="24"/>
                                            <w:highlight w:val="none"/>
                                            <w:shd w:val="clear" w:color="auto" w:fill="auto"/>
                                            <w:lang w:val="en-US" w:eastAsia="zh-CN"/>
                                          </w:rPr>
                                          <m:t>L</m:t>
                                        </m:r>
                                        <m:ctrlPr>
                                          <w:rPr>
                                            <w:rFonts w:hint="default" w:ascii="Cambria Math" w:hAnsi="Cambria Math" w:cs="Times New Roman"/>
                                            <w:i/>
                                            <w:color w:val="auto"/>
                                            <w:sz w:val="24"/>
                                            <w:szCs w:val="24"/>
                                            <w:highlight w:val="none"/>
                                            <w:shd w:val="clear" w:color="auto" w:fill="auto"/>
                                            <w:lang w:val="en-US"/>
                                          </w:rPr>
                                        </m:ctrlPr>
                                      </m:e>
                                      <m:sub>
                                        <m:r>
                                          <m:rPr/>
                                          <w:rPr>
                                            <w:rFonts w:hint="default" w:ascii="Cambria Math" w:hAnsi="Cambria Math" w:cs="Times New Roman"/>
                                            <w:color w:val="auto"/>
                                            <w:sz w:val="24"/>
                                            <w:szCs w:val="24"/>
                                            <w:highlight w:val="none"/>
                                            <w:shd w:val="clear" w:color="auto" w:fill="auto"/>
                                            <w:lang w:val="en-US" w:eastAsia="zh-CN"/>
                                          </w:rPr>
                                          <m:t>i</m:t>
                                        </m:r>
                                        <m:ctrlPr>
                                          <w:rPr>
                                            <w:rFonts w:hint="default" w:ascii="Cambria Math" w:hAnsi="Cambria Math" w:cs="Times New Roman"/>
                                            <w:i/>
                                            <w:color w:val="auto"/>
                                            <w:sz w:val="24"/>
                                            <w:szCs w:val="24"/>
                                            <w:highlight w:val="none"/>
                                            <w:shd w:val="clear" w:color="auto" w:fill="auto"/>
                                            <w:lang w:val="en-US"/>
                                          </w:rPr>
                                        </m:ctrlPr>
                                      </m:sub>
                                    </m:sSub>
                                    <m:ctrlPr>
                                      <w:rPr>
                                        <w:rFonts w:hint="default" w:ascii="Cambria Math" w:hAnsi="Cambria Math" w:cs="Times New Roman"/>
                                        <w:i/>
                                        <w:color w:val="auto"/>
                                        <w:sz w:val="24"/>
                                        <w:szCs w:val="24"/>
                                        <w:highlight w:val="none"/>
                                        <w:shd w:val="clear" w:color="auto" w:fill="auto"/>
                                        <w:lang w:val="en-US" w:eastAsia="zh-CN"/>
                                      </w:rPr>
                                    </m:ctrlPr>
                                  </m:e>
                                </m:d>
                                <m:ctrlPr>
                                  <w:rPr>
                                    <w:rFonts w:hint="default" w:ascii="Cambria Math" w:hAnsi="Cambria Math" w:cs="Times New Roman"/>
                                    <w:i/>
                                    <w:color w:val="auto"/>
                                    <w:sz w:val="24"/>
                                    <w:szCs w:val="24"/>
                                    <w:highlight w:val="none"/>
                                    <w:shd w:val="clear" w:color="auto" w:fill="auto"/>
                                    <w:lang w:val="en-US" w:eastAsia="zh-CN"/>
                                  </w:rPr>
                                </m:ctrlPr>
                              </m:sup>
                            </m:sSup>
                            <m:ctrlPr>
                              <w:rPr>
                                <w:rFonts w:hint="default" w:ascii="Cambria Math" w:hAnsi="Cambria Math" w:cs="Times New Roman"/>
                                <w:i/>
                                <w:color w:val="auto"/>
                                <w:sz w:val="24"/>
                                <w:szCs w:val="24"/>
                                <w:highlight w:val="none"/>
                                <w:shd w:val="clear" w:color="auto" w:fill="auto"/>
                                <w:lang w:val="en-US" w:eastAsia="zh-CN"/>
                              </w:rPr>
                            </m:ctrlPr>
                          </m:e>
                        </m:nary>
                        <m:ctrlPr>
                          <w:rPr>
                            <w:rFonts w:hint="default" w:ascii="Cambria Math" w:hAnsi="Cambria Math" w:cs="Times New Roman"/>
                            <w:i/>
                            <w:color w:val="auto"/>
                            <w:sz w:val="24"/>
                            <w:szCs w:val="24"/>
                            <w:highlight w:val="none"/>
                            <w:shd w:val="clear" w:color="auto" w:fill="auto"/>
                            <w:lang w:val="en-US" w:eastAsia="zh-CN"/>
                          </w:rPr>
                        </m:ctrlPr>
                      </m:e>
                    </m:d>
                    <m:ctrlPr>
                      <w:rPr>
                        <w:rFonts w:hint="default" w:ascii="Cambria Math" w:hAnsi="Cambria Math" w:cs="Times New Roman"/>
                        <w:i/>
                        <w:color w:val="auto"/>
                        <w:sz w:val="24"/>
                        <w:szCs w:val="24"/>
                        <w:highlight w:val="none"/>
                        <w:shd w:val="clear" w:color="auto" w:fill="auto"/>
                        <w:lang w:val="en-US" w:eastAsia="zh-CN"/>
                      </w:rPr>
                    </m:ctrlPr>
                  </m:e>
                </m:func>
              </m:oMath>
            </m:oMathPara>
          </w:p>
          <w:p w14:paraId="1FAECFF5">
            <w:pPr>
              <w:adjustRightInd w:val="0"/>
              <w:snapToGrid w:val="0"/>
              <w:ind w:firstLine="480"/>
              <w:rPr>
                <w:rFonts w:hint="eastAsia"/>
                <w:color w:val="auto"/>
                <w:highlight w:val="none"/>
              </w:rPr>
            </w:pPr>
            <w:r>
              <w:rPr>
                <w:rFonts w:hint="eastAsia"/>
                <w:color w:val="auto"/>
                <w:highlight w:val="none"/>
              </w:rPr>
              <w:t>式中：</w:t>
            </w:r>
          </w:p>
          <w:p w14:paraId="12FD280A">
            <w:pPr>
              <w:adjustRightInd w:val="0"/>
              <w:snapToGrid w:val="0"/>
              <w:ind w:firstLine="480"/>
              <w:rPr>
                <w:rFonts w:hint="eastAsia"/>
                <w:color w:val="auto"/>
                <w:highlight w:val="none"/>
              </w:rPr>
            </w:pPr>
            <w:r>
              <w:rPr>
                <w:color w:val="auto"/>
                <w:highlight w:val="none"/>
              </w:rPr>
              <w:t>L</w:t>
            </w:r>
            <w:r>
              <w:rPr>
                <w:color w:val="auto"/>
                <w:highlight w:val="none"/>
                <w:vertAlign w:val="subscript"/>
              </w:rPr>
              <w:t>A</w:t>
            </w:r>
            <w:r>
              <w:rPr>
                <w:color w:val="auto"/>
                <w:highlight w:val="none"/>
              </w:rPr>
              <w:t>(r)</w:t>
            </w:r>
            <w:r>
              <w:rPr>
                <w:rFonts w:hint="eastAsia"/>
                <w:color w:val="auto"/>
                <w:highlight w:val="none"/>
              </w:rPr>
              <w:t>—</w:t>
            </w:r>
            <w:r>
              <w:rPr>
                <w:color w:val="auto"/>
                <w:highlight w:val="none"/>
              </w:rPr>
              <w:t>距声源r处的A声级，dB</w:t>
            </w:r>
            <w:r>
              <w:rPr>
                <w:rFonts w:hint="eastAsia"/>
                <w:color w:val="auto"/>
                <w:highlight w:val="none"/>
              </w:rPr>
              <w:t>（A）</w:t>
            </w:r>
            <w:r>
              <w:rPr>
                <w:color w:val="auto"/>
                <w:highlight w:val="none"/>
              </w:rPr>
              <w:t>；</w:t>
            </w:r>
          </w:p>
          <w:p w14:paraId="1E1C4FF1">
            <w:pPr>
              <w:adjustRightInd w:val="0"/>
              <w:snapToGrid w:val="0"/>
              <w:ind w:firstLine="480"/>
              <w:rPr>
                <w:rFonts w:hint="eastAsia"/>
                <w:color w:val="auto"/>
                <w:highlight w:val="none"/>
              </w:rPr>
            </w:pPr>
            <w:r>
              <w:rPr>
                <w:rFonts w:hint="eastAsia"/>
                <w:color w:val="auto"/>
                <w:highlight w:val="none"/>
              </w:rPr>
              <w:t>L</w:t>
            </w:r>
            <w:r>
              <w:rPr>
                <w:rFonts w:hint="eastAsia"/>
                <w:color w:val="auto"/>
                <w:highlight w:val="none"/>
                <w:vertAlign w:val="subscript"/>
              </w:rPr>
              <w:t>pi</w:t>
            </w:r>
            <w:r>
              <w:rPr>
                <w:rFonts w:hint="eastAsia"/>
                <w:color w:val="auto"/>
                <w:highlight w:val="none"/>
              </w:rPr>
              <w:t>(r)—预测点（r）处，第i倍频带声压级，dB；</w:t>
            </w:r>
          </w:p>
          <w:p w14:paraId="21F6C9A1">
            <w:pPr>
              <w:adjustRightInd w:val="0"/>
              <w:snapToGrid w:val="0"/>
              <w:ind w:firstLine="480"/>
              <w:rPr>
                <w:rFonts w:hint="eastAsia"/>
                <w:color w:val="auto"/>
                <w:highlight w:val="none"/>
              </w:rPr>
            </w:pPr>
            <w:r>
              <w:rPr>
                <w:rFonts w:hint="eastAsia"/>
                <w:color w:val="auto"/>
                <w:highlight w:val="none"/>
              </w:rPr>
              <w:t>△L</w:t>
            </w:r>
            <w:r>
              <w:rPr>
                <w:rFonts w:hint="eastAsia"/>
                <w:color w:val="auto"/>
                <w:highlight w:val="none"/>
                <w:vertAlign w:val="subscript"/>
              </w:rPr>
              <w:t>i</w:t>
            </w:r>
            <w:r>
              <w:rPr>
                <w:rFonts w:hint="eastAsia"/>
                <w:color w:val="auto"/>
                <w:highlight w:val="none"/>
              </w:rPr>
              <w:t>—i倍频带A计算网络修正值，dB（根据导则附录B计算）。</w:t>
            </w:r>
          </w:p>
          <w:p w14:paraId="6FB4C382">
            <w:pPr>
              <w:adjustRightInd w:val="0"/>
              <w:snapToGrid w:val="0"/>
              <w:ind w:firstLine="480"/>
              <w:rPr>
                <w:rFonts w:hint="eastAsia"/>
                <w:color w:val="auto"/>
                <w:highlight w:val="none"/>
              </w:rPr>
            </w:pPr>
            <w:r>
              <w:rPr>
                <w:rFonts w:hint="eastAsia"/>
                <w:color w:val="auto"/>
                <w:highlight w:val="none"/>
              </w:rPr>
              <w:t>衰减项计算按导则附录A中A.3相关模式计算。</w:t>
            </w:r>
          </w:p>
          <w:p w14:paraId="7DA39750">
            <w:pPr>
              <w:ind w:firstLine="482"/>
              <w:rPr>
                <w:rFonts w:hint="eastAsia"/>
                <w:b/>
                <w:bCs/>
                <w:color w:val="auto"/>
                <w:highlight w:val="none"/>
              </w:rPr>
            </w:pPr>
            <w:r>
              <w:rPr>
                <w:rFonts w:hint="eastAsia"/>
                <w:b/>
                <w:bCs/>
                <w:color w:val="auto"/>
                <w:highlight w:val="none"/>
              </w:rPr>
              <w:t>（3）噪声贡献值计算</w:t>
            </w:r>
          </w:p>
          <w:p w14:paraId="1CB674F8">
            <w:pPr>
              <w:adjustRightInd w:val="0"/>
              <w:snapToGrid w:val="0"/>
              <w:ind w:firstLine="480"/>
              <w:rPr>
                <w:rFonts w:hint="eastAsia"/>
                <w:color w:val="auto"/>
                <w:highlight w:val="none"/>
              </w:rPr>
            </w:pPr>
            <w:r>
              <w:rPr>
                <w:rFonts w:hint="eastAsia"/>
                <w:color w:val="auto"/>
                <w:highlight w:val="none"/>
              </w:rPr>
              <w:t>设第</w:t>
            </w:r>
            <w:r>
              <w:rPr>
                <w:color w:val="auto"/>
                <w:highlight w:val="none"/>
              </w:rPr>
              <w:t>i</w:t>
            </w:r>
            <w:r>
              <w:rPr>
                <w:rFonts w:hint="eastAsia"/>
                <w:color w:val="auto"/>
                <w:highlight w:val="none"/>
              </w:rPr>
              <w:t>个室外声源在预测点产生的</w:t>
            </w:r>
            <w:r>
              <w:rPr>
                <w:color w:val="auto"/>
                <w:highlight w:val="none"/>
              </w:rPr>
              <w:t>A</w:t>
            </w:r>
            <w:r>
              <w:rPr>
                <w:rFonts w:hint="eastAsia"/>
                <w:color w:val="auto"/>
                <w:highlight w:val="none"/>
              </w:rPr>
              <w:t>声级为</w:t>
            </w:r>
            <w:r>
              <w:rPr>
                <w:color w:val="auto"/>
                <w:highlight w:val="none"/>
              </w:rPr>
              <w:t>L</w:t>
            </w:r>
            <w:r>
              <w:rPr>
                <w:color w:val="auto"/>
                <w:highlight w:val="none"/>
                <w:vertAlign w:val="subscript"/>
              </w:rPr>
              <w:t>Ai</w:t>
            </w:r>
            <w:r>
              <w:rPr>
                <w:rFonts w:hint="eastAsia"/>
                <w:color w:val="auto"/>
                <w:highlight w:val="none"/>
              </w:rPr>
              <w:t>，在</w:t>
            </w:r>
            <w:r>
              <w:rPr>
                <w:color w:val="auto"/>
                <w:highlight w:val="none"/>
              </w:rPr>
              <w:t>T</w:t>
            </w:r>
            <w:r>
              <w:rPr>
                <w:rFonts w:hint="eastAsia"/>
                <w:color w:val="auto"/>
                <w:highlight w:val="none"/>
              </w:rPr>
              <w:t>时间内该声源工作时间为</w:t>
            </w:r>
            <w:r>
              <w:rPr>
                <w:color w:val="auto"/>
                <w:highlight w:val="none"/>
              </w:rPr>
              <w:t>t</w:t>
            </w:r>
            <w:r>
              <w:rPr>
                <w:color w:val="auto"/>
                <w:highlight w:val="none"/>
                <w:vertAlign w:val="subscript"/>
              </w:rPr>
              <w:t>i</w:t>
            </w:r>
            <w:r>
              <w:rPr>
                <w:rFonts w:hint="eastAsia"/>
                <w:color w:val="auto"/>
                <w:highlight w:val="none"/>
              </w:rPr>
              <w:t>；第</w:t>
            </w:r>
            <w:r>
              <w:rPr>
                <w:color w:val="auto"/>
                <w:highlight w:val="none"/>
              </w:rPr>
              <w:t>j</w:t>
            </w:r>
            <w:r>
              <w:rPr>
                <w:rFonts w:hint="eastAsia"/>
                <w:color w:val="auto"/>
                <w:highlight w:val="none"/>
              </w:rPr>
              <w:t>个等效室外声源在预测点产生的</w:t>
            </w:r>
            <w:r>
              <w:rPr>
                <w:color w:val="auto"/>
                <w:highlight w:val="none"/>
              </w:rPr>
              <w:t>A</w:t>
            </w:r>
            <w:r>
              <w:rPr>
                <w:rFonts w:hint="eastAsia"/>
                <w:color w:val="auto"/>
                <w:highlight w:val="none"/>
              </w:rPr>
              <w:t>声级为</w:t>
            </w:r>
            <w:r>
              <w:rPr>
                <w:color w:val="auto"/>
                <w:highlight w:val="none"/>
              </w:rPr>
              <w:t>L</w:t>
            </w:r>
            <w:r>
              <w:rPr>
                <w:color w:val="auto"/>
                <w:highlight w:val="none"/>
                <w:vertAlign w:val="subscript"/>
              </w:rPr>
              <w:t>Aj</w:t>
            </w:r>
            <w:r>
              <w:rPr>
                <w:rFonts w:hint="eastAsia"/>
                <w:color w:val="auto"/>
                <w:highlight w:val="none"/>
              </w:rPr>
              <w:t>，在</w:t>
            </w:r>
            <w:r>
              <w:rPr>
                <w:color w:val="auto"/>
                <w:highlight w:val="none"/>
              </w:rPr>
              <w:t>T</w:t>
            </w:r>
            <w:r>
              <w:rPr>
                <w:rFonts w:hint="eastAsia"/>
                <w:color w:val="auto"/>
                <w:highlight w:val="none"/>
              </w:rPr>
              <w:t>时间内该声源工作时间为</w:t>
            </w:r>
            <w:r>
              <w:rPr>
                <w:color w:val="auto"/>
                <w:highlight w:val="none"/>
              </w:rPr>
              <w:t>t</w:t>
            </w:r>
            <w:r>
              <w:rPr>
                <w:color w:val="auto"/>
                <w:highlight w:val="none"/>
                <w:vertAlign w:val="subscript"/>
              </w:rPr>
              <w:t xml:space="preserve"> j</w:t>
            </w:r>
            <w:r>
              <w:rPr>
                <w:rFonts w:hint="eastAsia"/>
                <w:color w:val="auto"/>
                <w:highlight w:val="none"/>
              </w:rPr>
              <w:t>，则拟建工程声源对预测点产生的贡献值（</w:t>
            </w:r>
            <w:r>
              <w:rPr>
                <w:color w:val="auto"/>
                <w:highlight w:val="none"/>
              </w:rPr>
              <w:t>L</w:t>
            </w:r>
            <w:r>
              <w:rPr>
                <w:color w:val="auto"/>
                <w:highlight w:val="none"/>
                <w:vertAlign w:val="subscript"/>
              </w:rPr>
              <w:t>eqg</w:t>
            </w:r>
            <w:r>
              <w:rPr>
                <w:rFonts w:hint="eastAsia"/>
                <w:color w:val="auto"/>
                <w:highlight w:val="none"/>
              </w:rPr>
              <w:t>）为：</w:t>
            </w:r>
          </w:p>
          <w:p w14:paraId="1913833B">
            <w:pPr>
              <w:adjustRightInd w:val="0"/>
              <w:snapToGrid w:val="0"/>
              <w:ind w:firstLine="0" w:firstLineChars="0"/>
              <w:jc w:val="center"/>
              <w:rPr>
                <w:color w:val="auto"/>
                <w:szCs w:val="28"/>
                <w:highlight w:val="none"/>
              </w:rPr>
            </w:pPr>
            <m:oMathPara>
              <m:oMath>
                <m:sSub>
                  <m:sSubPr>
                    <m:ctrlPr>
                      <w:rPr>
                        <w:rFonts w:hint="default" w:ascii="Cambria Math" w:hAnsi="Cambria Math" w:cs="Times New Roman"/>
                        <w:i w:val="0"/>
                        <w:color w:val="auto"/>
                        <w:kern w:val="2"/>
                        <w:sz w:val="24"/>
                        <w:szCs w:val="24"/>
                        <w:highlight w:val="none"/>
                        <w:shd w:val="clear" w:color="auto" w:fill="auto"/>
                        <w:lang w:val="en-US" w:eastAsia="zh-CN" w:bidi="ar-SA"/>
                      </w:rPr>
                    </m:ctrlPr>
                  </m:sSubPr>
                  <m:e>
                    <m:r>
                      <m:rPr>
                        <m:sty m:val="p"/>
                      </m:rPr>
                      <w:rPr>
                        <w:rFonts w:hint="default" w:ascii="Cambria Math" w:hAnsi="Cambria Math" w:cs="Times New Roman"/>
                        <w:color w:val="auto"/>
                        <w:kern w:val="2"/>
                        <w:sz w:val="24"/>
                        <w:szCs w:val="24"/>
                        <w:highlight w:val="none"/>
                        <w:shd w:val="clear" w:color="auto" w:fill="auto"/>
                        <w:lang w:val="en-US" w:eastAsia="zh-CN" w:bidi="ar-SA"/>
                      </w:rPr>
                      <m:t>L</m:t>
                    </m:r>
                    <m:ctrlPr>
                      <w:rPr>
                        <w:rFonts w:hint="default" w:ascii="Cambria Math" w:hAnsi="Cambria Math" w:cs="Times New Roman"/>
                        <w:i w:val="0"/>
                        <w:color w:val="auto"/>
                        <w:kern w:val="2"/>
                        <w:sz w:val="24"/>
                        <w:szCs w:val="24"/>
                        <w:highlight w:val="none"/>
                        <w:shd w:val="clear" w:color="auto" w:fill="auto"/>
                        <w:lang w:val="en-US" w:eastAsia="zh-CN" w:bidi="ar-SA"/>
                      </w:rPr>
                    </m:ctrlPr>
                  </m:e>
                  <m:sub>
                    <m:r>
                      <m:rPr>
                        <m:sty m:val="p"/>
                      </m:rPr>
                      <w:rPr>
                        <w:rFonts w:hint="default" w:ascii="Cambria Math" w:hAnsi="Cambria Math" w:cs="Times New Roman"/>
                        <w:color w:val="auto"/>
                        <w:kern w:val="2"/>
                        <w:sz w:val="24"/>
                        <w:szCs w:val="24"/>
                        <w:highlight w:val="none"/>
                        <w:shd w:val="clear" w:color="auto" w:fill="auto"/>
                        <w:lang w:val="en-US" w:eastAsia="zh-CN" w:bidi="ar-SA"/>
                      </w:rPr>
                      <m:t>eqg</m:t>
                    </m:r>
                    <m:ctrlPr>
                      <w:rPr>
                        <w:rFonts w:hint="default" w:ascii="Cambria Math" w:hAnsi="Cambria Math" w:cs="Times New Roman"/>
                        <w:i w:val="0"/>
                        <w:color w:val="auto"/>
                        <w:kern w:val="2"/>
                        <w:sz w:val="24"/>
                        <w:szCs w:val="24"/>
                        <w:highlight w:val="none"/>
                        <w:shd w:val="clear" w:color="auto" w:fill="auto"/>
                        <w:lang w:val="en-US" w:eastAsia="zh-CN" w:bidi="ar-SA"/>
                      </w:rPr>
                    </m:ctrlPr>
                  </m:sub>
                </m:sSub>
                <m:r>
                  <m:rPr>
                    <m:sty m:val="p"/>
                  </m:rPr>
                  <w:rPr>
                    <w:rFonts w:hint="default" w:ascii="Cambria Math" w:hAnsi="Cambria Math" w:cs="Times New Roman"/>
                    <w:color w:val="auto"/>
                    <w:kern w:val="2"/>
                    <w:sz w:val="24"/>
                    <w:szCs w:val="24"/>
                    <w:highlight w:val="none"/>
                    <w:shd w:val="clear" w:color="auto" w:fill="auto"/>
                    <w:lang w:val="en-US" w:eastAsia="zh-CN" w:bidi="ar-SA"/>
                  </w:rPr>
                  <m:t>=10</m:t>
                </m:r>
                <m:func>
                  <m:funcPr>
                    <m:ctrlPr>
                      <w:rPr>
                        <w:rFonts w:hint="default" w:ascii="Cambria Math" w:hAnsi="Cambria Math" w:cs="Times New Roman"/>
                        <w:color w:val="auto"/>
                        <w:kern w:val="2"/>
                        <w:sz w:val="24"/>
                        <w:szCs w:val="24"/>
                        <w:highlight w:val="none"/>
                        <w:shd w:val="clear" w:color="auto" w:fill="auto"/>
                        <w:lang w:val="en-US" w:eastAsia="zh-CN" w:bidi="ar-SA"/>
                      </w:rPr>
                    </m:ctrlPr>
                  </m:funcPr>
                  <m:fName>
                    <m:r>
                      <m:rPr>
                        <m:sty m:val="p"/>
                      </m:rPr>
                      <w:rPr>
                        <w:rFonts w:hint="default" w:ascii="Cambria Math" w:hAnsi="Cambria Math" w:cs="Times New Roman"/>
                        <w:color w:val="auto"/>
                        <w:kern w:val="2"/>
                        <w:sz w:val="24"/>
                        <w:szCs w:val="24"/>
                        <w:highlight w:val="none"/>
                        <w:shd w:val="clear" w:color="auto" w:fill="auto"/>
                        <w:lang w:val="en-US" w:bidi="ar-SA"/>
                      </w:rPr>
                      <m:t>log</m:t>
                    </m:r>
                    <m:ctrlPr>
                      <w:rPr>
                        <w:rFonts w:hint="default" w:ascii="Cambria Math" w:hAnsi="Cambria Math" w:cs="Times New Roman"/>
                        <w:color w:val="auto"/>
                        <w:kern w:val="2"/>
                        <w:sz w:val="24"/>
                        <w:szCs w:val="24"/>
                        <w:highlight w:val="none"/>
                        <w:shd w:val="clear" w:color="auto" w:fill="auto"/>
                        <w:lang w:val="en-US" w:eastAsia="zh-CN" w:bidi="ar-SA"/>
                      </w:rPr>
                    </m:ctrlPr>
                  </m:fName>
                  <m:e>
                    <m:d>
                      <m:dPr>
                        <m:begChr m:val="["/>
                        <m:endChr m:val="]"/>
                        <m:ctrlPr>
                          <w:rPr>
                            <w:rFonts w:hint="default" w:ascii="Cambria Math" w:hAnsi="Cambria Math" w:cs="Times New Roman"/>
                            <w:color w:val="auto"/>
                            <w:kern w:val="2"/>
                            <w:sz w:val="24"/>
                            <w:szCs w:val="24"/>
                            <w:highlight w:val="none"/>
                            <w:shd w:val="clear" w:color="auto" w:fill="auto"/>
                            <w:lang w:val="en-US" w:eastAsia="zh-CN" w:bidi="ar-SA"/>
                          </w:rPr>
                        </m:ctrlPr>
                      </m:dPr>
                      <m:e>
                        <m:f>
                          <m:fPr>
                            <m:ctrlPr>
                              <w:rPr>
                                <w:rFonts w:hint="default" w:ascii="Cambria Math" w:hAnsi="Cambria Math" w:cs="Times New Roman"/>
                                <w:color w:val="auto"/>
                                <w:kern w:val="2"/>
                                <w:sz w:val="24"/>
                                <w:szCs w:val="24"/>
                                <w:highlight w:val="none"/>
                                <w:shd w:val="clear" w:color="auto" w:fill="auto"/>
                                <w:lang w:val="en-US" w:eastAsia="zh-CN" w:bidi="ar-SA"/>
                              </w:rPr>
                            </m:ctrlPr>
                          </m:fPr>
                          <m:num>
                            <m:r>
                              <m:rPr>
                                <m:sty m:val="p"/>
                              </m:rPr>
                              <w:rPr>
                                <w:rFonts w:hint="default" w:ascii="Cambria Math" w:hAnsi="Cambria Math" w:cs="Times New Roman"/>
                                <w:color w:val="auto"/>
                                <w:kern w:val="2"/>
                                <w:sz w:val="24"/>
                                <w:szCs w:val="24"/>
                                <w:highlight w:val="none"/>
                                <w:shd w:val="clear" w:color="auto" w:fill="auto"/>
                                <w:lang w:val="en-US" w:eastAsia="zh-CN" w:bidi="ar-SA"/>
                              </w:rPr>
                              <m:t>1</m:t>
                            </m:r>
                            <m:ctrlPr>
                              <w:rPr>
                                <w:rFonts w:hint="default" w:ascii="Cambria Math" w:hAnsi="Cambria Math" w:cs="Times New Roman"/>
                                <w:color w:val="auto"/>
                                <w:kern w:val="2"/>
                                <w:sz w:val="24"/>
                                <w:szCs w:val="24"/>
                                <w:highlight w:val="none"/>
                                <w:shd w:val="clear" w:color="auto" w:fill="auto"/>
                                <w:lang w:val="en-US" w:eastAsia="zh-CN" w:bidi="ar-SA"/>
                              </w:rPr>
                            </m:ctrlPr>
                          </m:num>
                          <m:den>
                            <m:r>
                              <m:rPr>
                                <m:sty m:val="p"/>
                              </m:rPr>
                              <w:rPr>
                                <w:rFonts w:hint="default" w:ascii="Cambria Math" w:hAnsi="Cambria Math" w:cs="Times New Roman"/>
                                <w:color w:val="auto"/>
                                <w:kern w:val="2"/>
                                <w:sz w:val="24"/>
                                <w:szCs w:val="24"/>
                                <w:highlight w:val="none"/>
                                <w:shd w:val="clear" w:color="auto" w:fill="auto"/>
                                <w:lang w:val="en-US" w:eastAsia="zh-CN" w:bidi="ar-SA"/>
                              </w:rPr>
                              <m:t>T</m:t>
                            </m:r>
                            <m:ctrlPr>
                              <w:rPr>
                                <w:rFonts w:hint="default" w:ascii="Cambria Math" w:hAnsi="Cambria Math" w:cs="Times New Roman"/>
                                <w:color w:val="auto"/>
                                <w:kern w:val="2"/>
                                <w:sz w:val="24"/>
                                <w:szCs w:val="24"/>
                                <w:highlight w:val="none"/>
                                <w:shd w:val="clear" w:color="auto" w:fill="auto"/>
                                <w:lang w:val="en-US" w:eastAsia="zh-CN" w:bidi="ar-SA"/>
                              </w:rPr>
                            </m:ctrlPr>
                          </m:den>
                        </m:f>
                        <m:d>
                          <m:dPr>
                            <m:ctrlPr>
                              <w:rPr>
                                <w:rFonts w:hint="default" w:ascii="Cambria Math" w:hAnsi="Cambria Math" w:cs="Times New Roman"/>
                                <w:color w:val="auto"/>
                                <w:kern w:val="2"/>
                                <w:sz w:val="24"/>
                                <w:szCs w:val="24"/>
                                <w:highlight w:val="none"/>
                                <w:shd w:val="clear" w:color="auto" w:fill="auto"/>
                                <w:lang w:val="en-US" w:eastAsia="zh-CN" w:bidi="ar-SA"/>
                              </w:rPr>
                            </m:ctrlPr>
                          </m:dPr>
                          <m:e>
                            <m:nary>
                              <m:naryPr>
                                <m:chr m:val="∑"/>
                                <m:limLoc m:val="undOvr"/>
                                <m:ctrlPr>
                                  <w:rPr>
                                    <w:rFonts w:hint="default" w:ascii="Cambria Math" w:hAnsi="Cambria Math" w:cs="Times New Roman"/>
                                    <w:color w:val="auto"/>
                                    <w:kern w:val="2"/>
                                    <w:sz w:val="24"/>
                                    <w:szCs w:val="24"/>
                                    <w:highlight w:val="none"/>
                                    <w:shd w:val="clear" w:color="auto" w:fill="auto"/>
                                    <w:lang w:val="en-US" w:eastAsia="zh-CN" w:bidi="ar-SA"/>
                                  </w:rPr>
                                </m:ctrlPr>
                              </m:naryPr>
                              <m:sub>
                                <m:r>
                                  <m:rPr>
                                    <m:sty m:val="p"/>
                                  </m:rPr>
                                  <w:rPr>
                                    <w:rFonts w:hint="default" w:ascii="Cambria Math" w:hAnsi="Cambria Math" w:cs="Times New Roman"/>
                                    <w:color w:val="auto"/>
                                    <w:kern w:val="2"/>
                                    <w:sz w:val="24"/>
                                    <w:szCs w:val="24"/>
                                    <w:highlight w:val="none"/>
                                    <w:shd w:val="clear" w:color="auto" w:fill="auto"/>
                                    <w:lang w:val="en-US" w:eastAsia="zh-CN" w:bidi="ar-SA"/>
                                  </w:rPr>
                                  <m:t>i=1</m:t>
                                </m:r>
                                <m:ctrlPr>
                                  <w:rPr>
                                    <w:rFonts w:hint="default" w:ascii="Cambria Math" w:hAnsi="Cambria Math" w:cs="Times New Roman"/>
                                    <w:color w:val="auto"/>
                                    <w:kern w:val="2"/>
                                    <w:sz w:val="24"/>
                                    <w:szCs w:val="24"/>
                                    <w:highlight w:val="none"/>
                                    <w:shd w:val="clear" w:color="auto" w:fill="auto"/>
                                    <w:lang w:val="en-US" w:eastAsia="zh-CN" w:bidi="ar-SA"/>
                                  </w:rPr>
                                </m:ctrlPr>
                              </m:sub>
                              <m:sup>
                                <m:r>
                                  <m:rPr>
                                    <m:sty m:val="p"/>
                                  </m:rPr>
                                  <w:rPr>
                                    <w:rFonts w:hint="default" w:ascii="Cambria Math" w:hAnsi="Cambria Math" w:cs="Times New Roman"/>
                                    <w:color w:val="auto"/>
                                    <w:kern w:val="2"/>
                                    <w:sz w:val="24"/>
                                    <w:szCs w:val="24"/>
                                    <w:highlight w:val="none"/>
                                    <w:shd w:val="clear" w:color="auto" w:fill="auto"/>
                                    <w:lang w:val="en-US" w:eastAsia="zh-CN" w:bidi="ar-SA"/>
                                  </w:rPr>
                                  <m:t>N</m:t>
                                </m:r>
                                <m:ctrlPr>
                                  <w:rPr>
                                    <w:rFonts w:hint="default" w:ascii="Cambria Math" w:hAnsi="Cambria Math" w:cs="Times New Roman"/>
                                    <w:color w:val="auto"/>
                                    <w:kern w:val="2"/>
                                    <w:sz w:val="24"/>
                                    <w:szCs w:val="24"/>
                                    <w:highlight w:val="none"/>
                                    <w:shd w:val="clear" w:color="auto" w:fill="auto"/>
                                    <w:lang w:val="en-US" w:eastAsia="zh-CN" w:bidi="ar-SA"/>
                                  </w:rPr>
                                </m:ctrlPr>
                              </m:sup>
                              <m:e>
                                <m:sSub>
                                  <m:sSubPr>
                                    <m:ctrlPr>
                                      <w:rPr>
                                        <w:rFonts w:hint="default" w:ascii="Cambria Math" w:hAnsi="Cambria Math" w:cs="Times New Roman"/>
                                        <w:color w:val="auto"/>
                                        <w:kern w:val="2"/>
                                        <w:sz w:val="24"/>
                                        <w:szCs w:val="24"/>
                                        <w:highlight w:val="none"/>
                                        <w:shd w:val="clear" w:color="auto" w:fill="auto"/>
                                        <w:lang w:val="en-US" w:eastAsia="zh-CN" w:bidi="ar-SA"/>
                                      </w:rPr>
                                    </m:ctrlPr>
                                  </m:sSubPr>
                                  <m:e>
                                    <m:r>
                                      <m:rPr>
                                        <m:sty m:val="p"/>
                                      </m:rPr>
                                      <w:rPr>
                                        <w:rFonts w:hint="default" w:ascii="Cambria Math" w:hAnsi="Cambria Math" w:cs="Times New Roman"/>
                                        <w:color w:val="auto"/>
                                        <w:kern w:val="2"/>
                                        <w:sz w:val="24"/>
                                        <w:szCs w:val="24"/>
                                        <w:highlight w:val="none"/>
                                        <w:shd w:val="clear" w:color="auto" w:fill="auto"/>
                                        <w:lang w:val="en-US" w:eastAsia="zh-CN" w:bidi="ar-SA"/>
                                      </w:rPr>
                                      <m:t>t</m:t>
                                    </m:r>
                                    <m:ctrlPr>
                                      <w:rPr>
                                        <w:rFonts w:hint="default" w:ascii="Cambria Math" w:hAnsi="Cambria Math" w:cs="Times New Roman"/>
                                        <w:color w:val="auto"/>
                                        <w:kern w:val="2"/>
                                        <w:sz w:val="24"/>
                                        <w:szCs w:val="24"/>
                                        <w:highlight w:val="none"/>
                                        <w:shd w:val="clear" w:color="auto" w:fill="auto"/>
                                        <w:lang w:val="en-US" w:eastAsia="zh-CN" w:bidi="ar-SA"/>
                                      </w:rPr>
                                    </m:ctrlPr>
                                  </m:e>
                                  <m:sub>
                                    <m:r>
                                      <m:rPr>
                                        <m:sty m:val="p"/>
                                      </m:rPr>
                                      <w:rPr>
                                        <w:rFonts w:hint="default" w:ascii="Cambria Math" w:hAnsi="Cambria Math" w:cs="Times New Roman"/>
                                        <w:color w:val="auto"/>
                                        <w:kern w:val="2"/>
                                        <w:sz w:val="24"/>
                                        <w:szCs w:val="24"/>
                                        <w:highlight w:val="none"/>
                                        <w:shd w:val="clear" w:color="auto" w:fill="auto"/>
                                        <w:lang w:val="en-US" w:eastAsia="zh-CN" w:bidi="ar-SA"/>
                                      </w:rPr>
                                      <m:t>i</m:t>
                                    </m:r>
                                    <m:ctrlPr>
                                      <w:rPr>
                                        <w:rFonts w:hint="default" w:ascii="Cambria Math" w:hAnsi="Cambria Math" w:cs="Times New Roman"/>
                                        <w:color w:val="auto"/>
                                        <w:kern w:val="2"/>
                                        <w:sz w:val="24"/>
                                        <w:szCs w:val="24"/>
                                        <w:highlight w:val="none"/>
                                        <w:shd w:val="clear" w:color="auto" w:fill="auto"/>
                                        <w:lang w:val="en-US" w:eastAsia="zh-CN" w:bidi="ar-SA"/>
                                      </w:rPr>
                                    </m:ctrlPr>
                                  </m:sub>
                                </m:sSub>
                                <m:sSup>
                                  <m:sSupPr>
                                    <m:ctrlPr>
                                      <w:rPr>
                                        <w:rFonts w:hint="default" w:ascii="Cambria Math" w:hAnsi="Cambria Math" w:cs="Times New Roman"/>
                                        <w:color w:val="auto"/>
                                        <w:kern w:val="2"/>
                                        <w:sz w:val="24"/>
                                        <w:szCs w:val="24"/>
                                        <w:highlight w:val="none"/>
                                        <w:shd w:val="clear" w:color="auto" w:fill="auto"/>
                                        <w:lang w:val="en-US" w:eastAsia="zh-CN" w:bidi="ar-SA"/>
                                      </w:rPr>
                                    </m:ctrlPr>
                                  </m:sSupPr>
                                  <m:e>
                                    <m:r>
                                      <m:rPr>
                                        <m:sty m:val="p"/>
                                      </m:rPr>
                                      <w:rPr>
                                        <w:rFonts w:hint="default" w:ascii="Cambria Math" w:hAnsi="Cambria Math" w:cs="Times New Roman"/>
                                        <w:color w:val="auto"/>
                                        <w:kern w:val="2"/>
                                        <w:sz w:val="24"/>
                                        <w:szCs w:val="24"/>
                                        <w:highlight w:val="none"/>
                                        <w:shd w:val="clear" w:color="auto" w:fill="auto"/>
                                        <w:lang w:val="en-US" w:eastAsia="zh-CN" w:bidi="ar-SA"/>
                                      </w:rPr>
                                      <m:t>10</m:t>
                                    </m:r>
                                    <m:ctrlPr>
                                      <w:rPr>
                                        <w:rFonts w:hint="default" w:ascii="Cambria Math" w:hAnsi="Cambria Math" w:cs="Times New Roman"/>
                                        <w:color w:val="auto"/>
                                        <w:kern w:val="2"/>
                                        <w:sz w:val="24"/>
                                        <w:szCs w:val="24"/>
                                        <w:highlight w:val="none"/>
                                        <w:shd w:val="clear" w:color="auto" w:fill="auto"/>
                                        <w:lang w:val="en-US" w:eastAsia="zh-CN" w:bidi="ar-SA"/>
                                      </w:rPr>
                                    </m:ctrlPr>
                                  </m:e>
                                  <m:sup>
                                    <m:r>
                                      <m:rPr>
                                        <m:sty m:val="p"/>
                                      </m:rPr>
                                      <w:rPr>
                                        <w:rFonts w:hint="default" w:ascii="Cambria Math" w:hAnsi="Cambria Math" w:cs="Times New Roman"/>
                                        <w:color w:val="auto"/>
                                        <w:kern w:val="2"/>
                                        <w:sz w:val="24"/>
                                        <w:szCs w:val="24"/>
                                        <w:highlight w:val="none"/>
                                        <w:shd w:val="clear" w:color="auto" w:fill="auto"/>
                                        <w:lang w:val="en-US" w:eastAsia="zh-CN" w:bidi="ar-SA"/>
                                      </w:rPr>
                                      <m:t>0.1</m:t>
                                    </m:r>
                                    <m:sSub>
                                      <m:sSubPr>
                                        <m:ctrlPr>
                                          <w:rPr>
                                            <w:rFonts w:hint="default" w:ascii="Cambria Math" w:hAnsi="Cambria Math" w:cs="Times New Roman"/>
                                            <w:color w:val="auto"/>
                                            <w:kern w:val="2"/>
                                            <w:sz w:val="24"/>
                                            <w:szCs w:val="24"/>
                                            <w:highlight w:val="none"/>
                                            <w:shd w:val="clear" w:color="auto" w:fill="auto"/>
                                            <w:lang w:val="en-US" w:eastAsia="zh-CN" w:bidi="ar-SA"/>
                                          </w:rPr>
                                        </m:ctrlPr>
                                      </m:sSubPr>
                                      <m:e>
                                        <m:r>
                                          <m:rPr>
                                            <m:sty m:val="p"/>
                                          </m:rPr>
                                          <w:rPr>
                                            <w:rFonts w:hint="default" w:ascii="Cambria Math" w:hAnsi="Cambria Math" w:cs="Times New Roman"/>
                                            <w:color w:val="auto"/>
                                            <w:kern w:val="2"/>
                                            <w:sz w:val="24"/>
                                            <w:szCs w:val="24"/>
                                            <w:highlight w:val="none"/>
                                            <w:shd w:val="clear" w:color="auto" w:fill="auto"/>
                                            <w:lang w:val="en-US" w:eastAsia="zh-CN" w:bidi="ar-SA"/>
                                          </w:rPr>
                                          <m:t>L</m:t>
                                        </m:r>
                                        <m:ctrlPr>
                                          <w:rPr>
                                            <w:rFonts w:hint="default" w:ascii="Cambria Math" w:hAnsi="Cambria Math" w:cs="Times New Roman"/>
                                            <w:color w:val="auto"/>
                                            <w:kern w:val="2"/>
                                            <w:sz w:val="24"/>
                                            <w:szCs w:val="24"/>
                                            <w:highlight w:val="none"/>
                                            <w:shd w:val="clear" w:color="auto" w:fill="auto"/>
                                            <w:lang w:val="en-US" w:eastAsia="zh-CN" w:bidi="ar-SA"/>
                                          </w:rPr>
                                        </m:ctrlPr>
                                      </m:e>
                                      <m:sub>
                                        <m:sSub>
                                          <m:sSubPr>
                                            <m:ctrlPr>
                                              <w:rPr>
                                                <w:rFonts w:hint="default" w:ascii="Cambria Math" w:hAnsi="Cambria Math" w:cs="Times New Roman"/>
                                                <w:color w:val="auto"/>
                                                <w:kern w:val="2"/>
                                                <w:sz w:val="24"/>
                                                <w:szCs w:val="24"/>
                                                <w:highlight w:val="none"/>
                                                <w:shd w:val="clear" w:color="auto" w:fill="auto"/>
                                                <w:lang w:val="en-US" w:eastAsia="zh-CN" w:bidi="ar-SA"/>
                                              </w:rPr>
                                            </m:ctrlPr>
                                          </m:sSubPr>
                                          <m:e>
                                            <m:r>
                                              <m:rPr>
                                                <m:sty m:val="p"/>
                                              </m:rPr>
                                              <w:rPr>
                                                <w:rFonts w:hint="default" w:ascii="Cambria Math" w:hAnsi="Cambria Math" w:cs="Times New Roman"/>
                                                <w:color w:val="auto"/>
                                                <w:kern w:val="2"/>
                                                <w:sz w:val="24"/>
                                                <w:szCs w:val="24"/>
                                                <w:highlight w:val="none"/>
                                                <w:shd w:val="clear" w:color="auto" w:fill="auto"/>
                                                <w:lang w:val="en-US" w:eastAsia="zh-CN" w:bidi="ar-SA"/>
                                              </w:rPr>
                                              <m:t>A</m:t>
                                            </m:r>
                                            <m:ctrlPr>
                                              <w:rPr>
                                                <w:rFonts w:hint="default" w:ascii="Cambria Math" w:hAnsi="Cambria Math" w:cs="Times New Roman"/>
                                                <w:color w:val="auto"/>
                                                <w:kern w:val="2"/>
                                                <w:sz w:val="24"/>
                                                <w:szCs w:val="24"/>
                                                <w:highlight w:val="none"/>
                                                <w:shd w:val="clear" w:color="auto" w:fill="auto"/>
                                                <w:lang w:val="en-US" w:eastAsia="zh-CN" w:bidi="ar-SA"/>
                                              </w:rPr>
                                            </m:ctrlPr>
                                          </m:e>
                                          <m:sub>
                                            <m:r>
                                              <m:rPr>
                                                <m:sty m:val="p"/>
                                              </m:rPr>
                                              <w:rPr>
                                                <w:rFonts w:hint="default" w:ascii="Cambria Math" w:hAnsi="Cambria Math" w:cs="Times New Roman"/>
                                                <w:color w:val="auto"/>
                                                <w:kern w:val="2"/>
                                                <w:sz w:val="24"/>
                                                <w:szCs w:val="24"/>
                                                <w:highlight w:val="none"/>
                                                <w:shd w:val="clear" w:color="auto" w:fill="auto"/>
                                                <w:lang w:val="en-US" w:eastAsia="zh-CN" w:bidi="ar-SA"/>
                                              </w:rPr>
                                              <m:t>i</m:t>
                                            </m:r>
                                            <m:ctrlPr>
                                              <w:rPr>
                                                <w:rFonts w:hint="default" w:ascii="Cambria Math" w:hAnsi="Cambria Math" w:cs="Times New Roman"/>
                                                <w:color w:val="auto"/>
                                                <w:kern w:val="2"/>
                                                <w:sz w:val="24"/>
                                                <w:szCs w:val="24"/>
                                                <w:highlight w:val="none"/>
                                                <w:shd w:val="clear" w:color="auto" w:fill="auto"/>
                                                <w:lang w:val="en-US" w:eastAsia="zh-CN" w:bidi="ar-SA"/>
                                              </w:rPr>
                                            </m:ctrlPr>
                                          </m:sub>
                                        </m:sSub>
                                        <m:ctrlPr>
                                          <w:rPr>
                                            <w:rFonts w:hint="default" w:ascii="Cambria Math" w:hAnsi="Cambria Math" w:cs="Times New Roman"/>
                                            <w:color w:val="auto"/>
                                            <w:kern w:val="2"/>
                                            <w:sz w:val="24"/>
                                            <w:szCs w:val="24"/>
                                            <w:highlight w:val="none"/>
                                            <w:shd w:val="clear" w:color="auto" w:fill="auto"/>
                                            <w:lang w:val="en-US" w:eastAsia="zh-CN" w:bidi="ar-SA"/>
                                          </w:rPr>
                                        </m:ctrlPr>
                                      </m:sub>
                                    </m:sSub>
                                    <m:ctrlPr>
                                      <w:rPr>
                                        <w:rFonts w:hint="default" w:ascii="Cambria Math" w:hAnsi="Cambria Math" w:cs="Times New Roman"/>
                                        <w:color w:val="auto"/>
                                        <w:kern w:val="2"/>
                                        <w:sz w:val="24"/>
                                        <w:szCs w:val="24"/>
                                        <w:highlight w:val="none"/>
                                        <w:shd w:val="clear" w:color="auto" w:fill="auto"/>
                                        <w:lang w:val="en-US" w:eastAsia="zh-CN" w:bidi="ar-SA"/>
                                      </w:rPr>
                                    </m:ctrlPr>
                                  </m:sup>
                                </m:sSup>
                                <m:ctrlPr>
                                  <w:rPr>
                                    <w:rFonts w:hint="default" w:ascii="Cambria Math" w:hAnsi="Cambria Math" w:cs="Times New Roman"/>
                                    <w:color w:val="auto"/>
                                    <w:kern w:val="2"/>
                                    <w:sz w:val="24"/>
                                    <w:szCs w:val="24"/>
                                    <w:highlight w:val="none"/>
                                    <w:shd w:val="clear" w:color="auto" w:fill="auto"/>
                                    <w:lang w:val="en-US" w:eastAsia="zh-CN" w:bidi="ar-SA"/>
                                  </w:rPr>
                                </m:ctrlPr>
                              </m:e>
                            </m:nary>
                            <m:r>
                              <m:rPr>
                                <m:sty m:val="p"/>
                              </m:rPr>
                              <w:rPr>
                                <w:rFonts w:hint="default" w:ascii="Cambria Math" w:hAnsi="Cambria Math" w:cs="Times New Roman"/>
                                <w:color w:val="auto"/>
                                <w:kern w:val="2"/>
                                <w:sz w:val="24"/>
                                <w:szCs w:val="24"/>
                                <w:highlight w:val="none"/>
                                <w:shd w:val="clear" w:color="auto" w:fill="auto"/>
                                <w:lang w:val="en-US" w:eastAsia="zh-CN" w:bidi="ar-SA"/>
                              </w:rPr>
                              <m:t>+</m:t>
                            </m:r>
                            <m:nary>
                              <m:naryPr>
                                <m:chr m:val="∑"/>
                                <m:limLoc m:val="undOvr"/>
                                <m:ctrlPr>
                                  <w:rPr>
                                    <w:rFonts w:hint="default" w:ascii="Cambria Math" w:hAnsi="Cambria Math" w:cs="Times New Roman"/>
                                    <w:color w:val="auto"/>
                                    <w:kern w:val="2"/>
                                    <w:sz w:val="24"/>
                                    <w:szCs w:val="24"/>
                                    <w:highlight w:val="none"/>
                                    <w:shd w:val="clear" w:color="auto" w:fill="auto"/>
                                    <w:lang w:val="en-US" w:eastAsia="zh-CN" w:bidi="ar-SA"/>
                                  </w:rPr>
                                </m:ctrlPr>
                              </m:naryPr>
                              <m:sub>
                                <m:r>
                                  <m:rPr>
                                    <m:sty m:val="p"/>
                                  </m:rPr>
                                  <w:rPr>
                                    <w:rFonts w:hint="default" w:ascii="Cambria Math" w:hAnsi="Cambria Math" w:cs="Times New Roman"/>
                                    <w:color w:val="auto"/>
                                    <w:kern w:val="2"/>
                                    <w:sz w:val="24"/>
                                    <w:szCs w:val="24"/>
                                    <w:highlight w:val="none"/>
                                    <w:shd w:val="clear" w:color="auto" w:fill="auto"/>
                                    <w:lang w:val="en-US" w:eastAsia="zh-CN" w:bidi="ar-SA"/>
                                  </w:rPr>
                                  <m:t>j=1</m:t>
                                </m:r>
                                <m:ctrlPr>
                                  <w:rPr>
                                    <w:rFonts w:hint="default" w:ascii="Cambria Math" w:hAnsi="Cambria Math" w:cs="Times New Roman"/>
                                    <w:color w:val="auto"/>
                                    <w:kern w:val="2"/>
                                    <w:sz w:val="24"/>
                                    <w:szCs w:val="24"/>
                                    <w:highlight w:val="none"/>
                                    <w:shd w:val="clear" w:color="auto" w:fill="auto"/>
                                    <w:lang w:val="en-US" w:eastAsia="zh-CN" w:bidi="ar-SA"/>
                                  </w:rPr>
                                </m:ctrlPr>
                              </m:sub>
                              <m:sup>
                                <m:r>
                                  <m:rPr>
                                    <m:sty m:val="p"/>
                                  </m:rPr>
                                  <w:rPr>
                                    <w:rFonts w:hint="default" w:ascii="Cambria Math" w:hAnsi="Cambria Math" w:cs="Times New Roman"/>
                                    <w:color w:val="auto"/>
                                    <w:kern w:val="2"/>
                                    <w:sz w:val="24"/>
                                    <w:szCs w:val="24"/>
                                    <w:highlight w:val="none"/>
                                    <w:shd w:val="clear" w:color="auto" w:fill="auto"/>
                                    <w:lang w:val="en-US" w:eastAsia="zh-CN" w:bidi="ar-SA"/>
                                  </w:rPr>
                                  <m:t>M</m:t>
                                </m:r>
                                <m:ctrlPr>
                                  <w:rPr>
                                    <w:rFonts w:hint="default" w:ascii="Cambria Math" w:hAnsi="Cambria Math" w:cs="Times New Roman"/>
                                    <w:color w:val="auto"/>
                                    <w:kern w:val="2"/>
                                    <w:sz w:val="24"/>
                                    <w:szCs w:val="24"/>
                                    <w:highlight w:val="none"/>
                                    <w:shd w:val="clear" w:color="auto" w:fill="auto"/>
                                    <w:lang w:val="en-US" w:eastAsia="zh-CN" w:bidi="ar-SA"/>
                                  </w:rPr>
                                </m:ctrlPr>
                              </m:sup>
                              <m:e>
                                <m:sSub>
                                  <m:sSubPr>
                                    <m:ctrlPr>
                                      <w:rPr>
                                        <w:rFonts w:hint="default" w:ascii="Cambria Math" w:hAnsi="Cambria Math" w:cs="Times New Roman"/>
                                        <w:color w:val="auto"/>
                                        <w:kern w:val="2"/>
                                        <w:sz w:val="24"/>
                                        <w:szCs w:val="24"/>
                                        <w:highlight w:val="none"/>
                                        <w:shd w:val="clear" w:color="auto" w:fill="auto"/>
                                        <w:lang w:val="en-US" w:eastAsia="zh-CN" w:bidi="ar-SA"/>
                                      </w:rPr>
                                    </m:ctrlPr>
                                  </m:sSubPr>
                                  <m:e>
                                    <m:r>
                                      <m:rPr>
                                        <m:sty m:val="p"/>
                                      </m:rPr>
                                      <w:rPr>
                                        <w:rFonts w:hint="default" w:ascii="Cambria Math" w:hAnsi="Cambria Math" w:cs="Times New Roman"/>
                                        <w:color w:val="auto"/>
                                        <w:kern w:val="2"/>
                                        <w:sz w:val="24"/>
                                        <w:szCs w:val="24"/>
                                        <w:highlight w:val="none"/>
                                        <w:shd w:val="clear" w:color="auto" w:fill="auto"/>
                                        <w:lang w:val="en-US" w:eastAsia="zh-CN" w:bidi="ar-SA"/>
                                      </w:rPr>
                                      <m:t>t</m:t>
                                    </m:r>
                                    <m:ctrlPr>
                                      <w:rPr>
                                        <w:rFonts w:hint="default" w:ascii="Cambria Math" w:hAnsi="Cambria Math" w:cs="Times New Roman"/>
                                        <w:color w:val="auto"/>
                                        <w:kern w:val="2"/>
                                        <w:sz w:val="24"/>
                                        <w:szCs w:val="24"/>
                                        <w:highlight w:val="none"/>
                                        <w:shd w:val="clear" w:color="auto" w:fill="auto"/>
                                        <w:lang w:val="en-US" w:eastAsia="zh-CN" w:bidi="ar-SA"/>
                                      </w:rPr>
                                    </m:ctrlPr>
                                  </m:e>
                                  <m:sub>
                                    <m:r>
                                      <m:rPr>
                                        <m:sty m:val="p"/>
                                      </m:rPr>
                                      <w:rPr>
                                        <w:rFonts w:hint="default" w:ascii="Cambria Math" w:hAnsi="Cambria Math" w:cs="Times New Roman"/>
                                        <w:color w:val="auto"/>
                                        <w:kern w:val="2"/>
                                        <w:sz w:val="24"/>
                                        <w:szCs w:val="24"/>
                                        <w:highlight w:val="none"/>
                                        <w:shd w:val="clear" w:color="auto" w:fill="auto"/>
                                        <w:lang w:val="en-US" w:eastAsia="zh-CN" w:bidi="ar-SA"/>
                                      </w:rPr>
                                      <m:t>j</m:t>
                                    </m:r>
                                    <m:ctrlPr>
                                      <w:rPr>
                                        <w:rFonts w:hint="default" w:ascii="Cambria Math" w:hAnsi="Cambria Math" w:cs="Times New Roman"/>
                                        <w:color w:val="auto"/>
                                        <w:kern w:val="2"/>
                                        <w:sz w:val="24"/>
                                        <w:szCs w:val="24"/>
                                        <w:highlight w:val="none"/>
                                        <w:shd w:val="clear" w:color="auto" w:fill="auto"/>
                                        <w:lang w:val="en-US" w:eastAsia="zh-CN" w:bidi="ar-SA"/>
                                      </w:rPr>
                                    </m:ctrlPr>
                                  </m:sub>
                                </m:sSub>
                                <m:sSup>
                                  <m:sSupPr>
                                    <m:ctrlPr>
                                      <w:rPr>
                                        <w:rFonts w:hint="default" w:ascii="Cambria Math" w:hAnsi="Cambria Math" w:cs="Times New Roman"/>
                                        <w:color w:val="auto"/>
                                        <w:kern w:val="2"/>
                                        <w:sz w:val="24"/>
                                        <w:szCs w:val="24"/>
                                        <w:highlight w:val="none"/>
                                        <w:shd w:val="clear" w:color="auto" w:fill="auto"/>
                                        <w:lang w:val="en-US" w:eastAsia="zh-CN" w:bidi="ar-SA"/>
                                      </w:rPr>
                                    </m:ctrlPr>
                                  </m:sSupPr>
                                  <m:e>
                                    <m:r>
                                      <m:rPr>
                                        <m:sty m:val="p"/>
                                      </m:rPr>
                                      <w:rPr>
                                        <w:rFonts w:hint="default" w:ascii="Cambria Math" w:hAnsi="Cambria Math" w:cs="Times New Roman"/>
                                        <w:color w:val="auto"/>
                                        <w:kern w:val="2"/>
                                        <w:sz w:val="24"/>
                                        <w:szCs w:val="24"/>
                                        <w:highlight w:val="none"/>
                                        <w:shd w:val="clear" w:color="auto" w:fill="auto"/>
                                        <w:lang w:val="en-US" w:eastAsia="zh-CN" w:bidi="ar-SA"/>
                                      </w:rPr>
                                      <m:t>10</m:t>
                                    </m:r>
                                    <m:ctrlPr>
                                      <w:rPr>
                                        <w:rFonts w:hint="default" w:ascii="Cambria Math" w:hAnsi="Cambria Math" w:cs="Times New Roman"/>
                                        <w:color w:val="auto"/>
                                        <w:kern w:val="2"/>
                                        <w:sz w:val="24"/>
                                        <w:szCs w:val="24"/>
                                        <w:highlight w:val="none"/>
                                        <w:shd w:val="clear" w:color="auto" w:fill="auto"/>
                                        <w:lang w:val="en-US" w:eastAsia="zh-CN" w:bidi="ar-SA"/>
                                      </w:rPr>
                                    </m:ctrlPr>
                                  </m:e>
                                  <m:sup>
                                    <m:r>
                                      <m:rPr>
                                        <m:sty m:val="p"/>
                                      </m:rPr>
                                      <w:rPr>
                                        <w:rFonts w:hint="default" w:ascii="Cambria Math" w:hAnsi="Cambria Math" w:cs="Times New Roman"/>
                                        <w:color w:val="auto"/>
                                        <w:kern w:val="2"/>
                                        <w:sz w:val="24"/>
                                        <w:szCs w:val="24"/>
                                        <w:highlight w:val="none"/>
                                        <w:shd w:val="clear" w:color="auto" w:fill="auto"/>
                                        <w:lang w:val="en-US" w:eastAsia="zh-CN" w:bidi="ar-SA"/>
                                      </w:rPr>
                                      <m:t>0.1</m:t>
                                    </m:r>
                                    <m:sSub>
                                      <m:sSubPr>
                                        <m:ctrlPr>
                                          <w:rPr>
                                            <w:rFonts w:hint="default" w:ascii="Cambria Math" w:hAnsi="Cambria Math" w:cs="Times New Roman"/>
                                            <w:color w:val="auto"/>
                                            <w:kern w:val="2"/>
                                            <w:sz w:val="24"/>
                                            <w:szCs w:val="24"/>
                                            <w:highlight w:val="none"/>
                                            <w:shd w:val="clear" w:color="auto" w:fill="auto"/>
                                            <w:lang w:val="en-US" w:eastAsia="zh-CN" w:bidi="ar-SA"/>
                                          </w:rPr>
                                        </m:ctrlPr>
                                      </m:sSubPr>
                                      <m:e>
                                        <m:r>
                                          <m:rPr>
                                            <m:sty m:val="p"/>
                                          </m:rPr>
                                          <w:rPr>
                                            <w:rFonts w:hint="default" w:ascii="Cambria Math" w:hAnsi="Cambria Math" w:cs="Times New Roman"/>
                                            <w:color w:val="auto"/>
                                            <w:kern w:val="2"/>
                                            <w:sz w:val="24"/>
                                            <w:szCs w:val="24"/>
                                            <w:highlight w:val="none"/>
                                            <w:shd w:val="clear" w:color="auto" w:fill="auto"/>
                                            <w:lang w:val="en-US" w:eastAsia="zh-CN" w:bidi="ar-SA"/>
                                          </w:rPr>
                                          <m:t>L</m:t>
                                        </m:r>
                                        <m:ctrlPr>
                                          <w:rPr>
                                            <w:rFonts w:hint="default" w:ascii="Cambria Math" w:hAnsi="Cambria Math" w:cs="Times New Roman"/>
                                            <w:color w:val="auto"/>
                                            <w:kern w:val="2"/>
                                            <w:sz w:val="24"/>
                                            <w:szCs w:val="24"/>
                                            <w:highlight w:val="none"/>
                                            <w:shd w:val="clear" w:color="auto" w:fill="auto"/>
                                            <w:lang w:val="en-US" w:eastAsia="zh-CN" w:bidi="ar-SA"/>
                                          </w:rPr>
                                        </m:ctrlPr>
                                      </m:e>
                                      <m:sub>
                                        <m:sSub>
                                          <m:sSubPr>
                                            <m:ctrlPr>
                                              <w:rPr>
                                                <w:rFonts w:hint="default" w:ascii="Cambria Math" w:hAnsi="Cambria Math" w:cs="Times New Roman"/>
                                                <w:color w:val="auto"/>
                                                <w:kern w:val="2"/>
                                                <w:sz w:val="24"/>
                                                <w:szCs w:val="24"/>
                                                <w:highlight w:val="none"/>
                                                <w:shd w:val="clear" w:color="auto" w:fill="auto"/>
                                                <w:lang w:val="en-US" w:eastAsia="zh-CN" w:bidi="ar-SA"/>
                                              </w:rPr>
                                            </m:ctrlPr>
                                          </m:sSubPr>
                                          <m:e>
                                            <m:r>
                                              <m:rPr>
                                                <m:sty m:val="p"/>
                                              </m:rPr>
                                              <w:rPr>
                                                <w:rFonts w:hint="default" w:ascii="Cambria Math" w:hAnsi="Cambria Math" w:cs="Times New Roman"/>
                                                <w:color w:val="auto"/>
                                                <w:kern w:val="2"/>
                                                <w:sz w:val="24"/>
                                                <w:szCs w:val="24"/>
                                                <w:highlight w:val="none"/>
                                                <w:shd w:val="clear" w:color="auto" w:fill="auto"/>
                                                <w:lang w:val="en-US" w:eastAsia="zh-CN" w:bidi="ar-SA"/>
                                              </w:rPr>
                                              <m:t>A</m:t>
                                            </m:r>
                                            <m:ctrlPr>
                                              <w:rPr>
                                                <w:rFonts w:hint="default" w:ascii="Cambria Math" w:hAnsi="Cambria Math" w:cs="Times New Roman"/>
                                                <w:color w:val="auto"/>
                                                <w:kern w:val="2"/>
                                                <w:sz w:val="24"/>
                                                <w:szCs w:val="24"/>
                                                <w:highlight w:val="none"/>
                                                <w:shd w:val="clear" w:color="auto" w:fill="auto"/>
                                                <w:lang w:val="en-US" w:eastAsia="zh-CN" w:bidi="ar-SA"/>
                                              </w:rPr>
                                            </m:ctrlPr>
                                          </m:e>
                                          <m:sub>
                                            <m:r>
                                              <m:rPr>
                                                <m:sty m:val="p"/>
                                              </m:rPr>
                                              <w:rPr>
                                                <w:rFonts w:hint="default" w:ascii="Cambria Math" w:hAnsi="Cambria Math" w:cs="Times New Roman"/>
                                                <w:color w:val="auto"/>
                                                <w:kern w:val="2"/>
                                                <w:sz w:val="24"/>
                                                <w:szCs w:val="24"/>
                                                <w:highlight w:val="none"/>
                                                <w:shd w:val="clear" w:color="auto" w:fill="auto"/>
                                                <w:lang w:val="en-US" w:eastAsia="zh-CN" w:bidi="ar-SA"/>
                                              </w:rPr>
                                              <m:t>j</m:t>
                                            </m:r>
                                            <m:ctrlPr>
                                              <w:rPr>
                                                <w:rFonts w:hint="default" w:ascii="Cambria Math" w:hAnsi="Cambria Math" w:cs="Times New Roman"/>
                                                <w:color w:val="auto"/>
                                                <w:kern w:val="2"/>
                                                <w:sz w:val="24"/>
                                                <w:szCs w:val="24"/>
                                                <w:highlight w:val="none"/>
                                                <w:shd w:val="clear" w:color="auto" w:fill="auto"/>
                                                <w:lang w:val="en-US" w:eastAsia="zh-CN" w:bidi="ar-SA"/>
                                              </w:rPr>
                                            </m:ctrlPr>
                                          </m:sub>
                                        </m:sSub>
                                        <m:ctrlPr>
                                          <w:rPr>
                                            <w:rFonts w:hint="default" w:ascii="Cambria Math" w:hAnsi="Cambria Math" w:cs="Times New Roman"/>
                                            <w:color w:val="auto"/>
                                            <w:kern w:val="2"/>
                                            <w:sz w:val="24"/>
                                            <w:szCs w:val="24"/>
                                            <w:highlight w:val="none"/>
                                            <w:shd w:val="clear" w:color="auto" w:fill="auto"/>
                                            <w:lang w:val="en-US" w:eastAsia="zh-CN" w:bidi="ar-SA"/>
                                          </w:rPr>
                                        </m:ctrlPr>
                                      </m:sub>
                                    </m:sSub>
                                    <m:ctrlPr>
                                      <w:rPr>
                                        <w:rFonts w:hint="default" w:ascii="Cambria Math" w:hAnsi="Cambria Math" w:cs="Times New Roman"/>
                                        <w:color w:val="auto"/>
                                        <w:kern w:val="2"/>
                                        <w:sz w:val="24"/>
                                        <w:szCs w:val="24"/>
                                        <w:highlight w:val="none"/>
                                        <w:shd w:val="clear" w:color="auto" w:fill="auto"/>
                                        <w:lang w:val="en-US" w:eastAsia="zh-CN" w:bidi="ar-SA"/>
                                      </w:rPr>
                                    </m:ctrlPr>
                                  </m:sup>
                                </m:sSup>
                                <m:ctrlPr>
                                  <w:rPr>
                                    <w:rFonts w:hint="default" w:ascii="Cambria Math" w:hAnsi="Cambria Math" w:cs="Times New Roman"/>
                                    <w:color w:val="auto"/>
                                    <w:kern w:val="2"/>
                                    <w:sz w:val="24"/>
                                    <w:szCs w:val="24"/>
                                    <w:highlight w:val="none"/>
                                    <w:shd w:val="clear" w:color="auto" w:fill="auto"/>
                                    <w:lang w:val="en-US" w:eastAsia="zh-CN" w:bidi="ar-SA"/>
                                  </w:rPr>
                                </m:ctrlPr>
                              </m:e>
                            </m:nary>
                            <m:ctrlPr>
                              <w:rPr>
                                <w:rFonts w:hint="default" w:ascii="Cambria Math" w:hAnsi="Cambria Math" w:cs="Times New Roman"/>
                                <w:color w:val="auto"/>
                                <w:kern w:val="2"/>
                                <w:sz w:val="24"/>
                                <w:szCs w:val="24"/>
                                <w:highlight w:val="none"/>
                                <w:shd w:val="clear" w:color="auto" w:fill="auto"/>
                                <w:lang w:val="en-US" w:eastAsia="zh-CN" w:bidi="ar-SA"/>
                              </w:rPr>
                            </m:ctrlPr>
                          </m:e>
                        </m:d>
                        <m:ctrlPr>
                          <w:rPr>
                            <w:rFonts w:hint="default" w:ascii="Cambria Math" w:hAnsi="Cambria Math" w:cs="Times New Roman"/>
                            <w:color w:val="auto"/>
                            <w:kern w:val="2"/>
                            <w:sz w:val="24"/>
                            <w:szCs w:val="24"/>
                            <w:highlight w:val="none"/>
                            <w:shd w:val="clear" w:color="auto" w:fill="auto"/>
                            <w:lang w:val="en-US" w:eastAsia="zh-CN" w:bidi="ar-SA"/>
                          </w:rPr>
                        </m:ctrlPr>
                      </m:e>
                    </m:d>
                    <m:ctrlPr>
                      <w:rPr>
                        <w:rFonts w:hint="default" w:ascii="Cambria Math" w:hAnsi="Cambria Math" w:cs="Times New Roman"/>
                        <w:color w:val="auto"/>
                        <w:kern w:val="2"/>
                        <w:sz w:val="24"/>
                        <w:szCs w:val="24"/>
                        <w:highlight w:val="none"/>
                        <w:shd w:val="clear" w:color="auto" w:fill="auto"/>
                        <w:lang w:val="en-US" w:eastAsia="zh-CN" w:bidi="ar-SA"/>
                      </w:rPr>
                    </m:ctrlPr>
                  </m:e>
                </m:func>
              </m:oMath>
            </m:oMathPara>
          </w:p>
          <w:p w14:paraId="1D55F49A">
            <w:pPr>
              <w:ind w:firstLine="480"/>
              <w:rPr>
                <w:color w:val="auto"/>
                <w:highlight w:val="none"/>
              </w:rPr>
            </w:pPr>
            <w:r>
              <w:rPr>
                <w:rFonts w:hint="eastAsia"/>
                <w:color w:val="auto"/>
                <w:highlight w:val="none"/>
              </w:rPr>
              <w:t>式中：</w:t>
            </w:r>
            <w:r>
              <w:rPr>
                <w:color w:val="auto"/>
                <w:highlight w:val="none"/>
              </w:rPr>
              <w:t>L</w:t>
            </w:r>
            <w:r>
              <w:rPr>
                <w:color w:val="auto"/>
                <w:highlight w:val="none"/>
                <w:vertAlign w:val="subscript"/>
              </w:rPr>
              <w:t>eqg</w:t>
            </w:r>
            <w:r>
              <w:rPr>
                <w:color w:val="auto"/>
                <w:highlight w:val="none"/>
              </w:rPr>
              <w:t>——</w:t>
            </w:r>
            <w:r>
              <w:rPr>
                <w:rFonts w:hint="eastAsia"/>
                <w:color w:val="auto"/>
                <w:highlight w:val="none"/>
              </w:rPr>
              <w:t>建设项目声源在预测点产生的噪声贡献值，</w:t>
            </w:r>
            <w:r>
              <w:rPr>
                <w:color w:val="auto"/>
                <w:highlight w:val="none"/>
              </w:rPr>
              <w:t>dB(A)</w:t>
            </w:r>
            <w:r>
              <w:rPr>
                <w:rFonts w:hint="eastAsia"/>
                <w:color w:val="auto"/>
                <w:highlight w:val="none"/>
              </w:rPr>
              <w:t xml:space="preserve">； </w:t>
            </w:r>
          </w:p>
          <w:p w14:paraId="37DF0075">
            <w:pPr>
              <w:ind w:firstLine="1200" w:firstLineChars="500"/>
              <w:rPr>
                <w:color w:val="auto"/>
                <w:highlight w:val="none"/>
              </w:rPr>
            </w:pPr>
            <w:r>
              <w:rPr>
                <w:color w:val="auto"/>
                <w:highlight w:val="none"/>
              </w:rPr>
              <w:t>T——</w:t>
            </w:r>
            <w:r>
              <w:rPr>
                <w:rFonts w:hint="eastAsia"/>
                <w:color w:val="auto"/>
                <w:highlight w:val="none"/>
              </w:rPr>
              <w:t>用于计算等效声级的时间，</w:t>
            </w:r>
            <w:r>
              <w:rPr>
                <w:color w:val="auto"/>
                <w:highlight w:val="none"/>
              </w:rPr>
              <w:t>s</w:t>
            </w:r>
            <w:r>
              <w:rPr>
                <w:rFonts w:hint="eastAsia"/>
                <w:color w:val="auto"/>
                <w:highlight w:val="none"/>
              </w:rPr>
              <w:t xml:space="preserve">； </w:t>
            </w:r>
          </w:p>
          <w:p w14:paraId="16D5BA0C">
            <w:pPr>
              <w:ind w:firstLine="1200" w:firstLineChars="500"/>
              <w:rPr>
                <w:color w:val="auto"/>
                <w:highlight w:val="none"/>
              </w:rPr>
            </w:pPr>
            <w:r>
              <w:rPr>
                <w:color w:val="auto"/>
                <w:highlight w:val="none"/>
              </w:rPr>
              <w:t>N——</w:t>
            </w:r>
            <w:r>
              <w:rPr>
                <w:rFonts w:hint="eastAsia"/>
                <w:color w:val="auto"/>
                <w:highlight w:val="none"/>
              </w:rPr>
              <w:t xml:space="preserve">室外声源个数； </w:t>
            </w:r>
          </w:p>
          <w:p w14:paraId="69898F0C">
            <w:pPr>
              <w:ind w:firstLine="1200" w:firstLineChars="500"/>
              <w:rPr>
                <w:color w:val="auto"/>
                <w:highlight w:val="none"/>
              </w:rPr>
            </w:pPr>
            <w:r>
              <w:rPr>
                <w:color w:val="auto"/>
                <w:highlight w:val="none"/>
              </w:rPr>
              <w:t>t</w:t>
            </w:r>
            <w:r>
              <w:rPr>
                <w:rFonts w:hint="eastAsia"/>
                <w:color w:val="auto"/>
                <w:highlight w:val="none"/>
                <w:vertAlign w:val="subscript"/>
              </w:rPr>
              <w:t>i</w:t>
            </w:r>
            <w:r>
              <w:rPr>
                <w:color w:val="auto"/>
                <w:highlight w:val="none"/>
              </w:rPr>
              <w:t>——</w:t>
            </w:r>
            <w:r>
              <w:rPr>
                <w:rFonts w:hint="eastAsia"/>
                <w:color w:val="auto"/>
                <w:highlight w:val="none"/>
              </w:rPr>
              <w:t>在</w:t>
            </w:r>
            <w:r>
              <w:rPr>
                <w:color w:val="auto"/>
                <w:highlight w:val="none"/>
              </w:rPr>
              <w:t>T</w:t>
            </w:r>
            <w:r>
              <w:rPr>
                <w:rFonts w:hint="eastAsia"/>
                <w:color w:val="auto"/>
                <w:highlight w:val="none"/>
              </w:rPr>
              <w:t>时间内</w:t>
            </w:r>
            <w:r>
              <w:rPr>
                <w:color w:val="auto"/>
                <w:highlight w:val="none"/>
              </w:rPr>
              <w:t>i</w:t>
            </w:r>
            <w:r>
              <w:rPr>
                <w:rFonts w:hint="eastAsia"/>
                <w:color w:val="auto"/>
                <w:highlight w:val="none"/>
              </w:rPr>
              <w:t>声源工作时间，</w:t>
            </w:r>
            <w:r>
              <w:rPr>
                <w:color w:val="auto"/>
                <w:highlight w:val="none"/>
              </w:rPr>
              <w:t>s</w:t>
            </w:r>
            <w:r>
              <w:rPr>
                <w:rFonts w:hint="eastAsia"/>
                <w:color w:val="auto"/>
                <w:highlight w:val="none"/>
              </w:rPr>
              <w:t xml:space="preserve">； </w:t>
            </w:r>
          </w:p>
          <w:p w14:paraId="3AD6539B">
            <w:pPr>
              <w:ind w:firstLine="1200" w:firstLineChars="500"/>
              <w:rPr>
                <w:color w:val="auto"/>
                <w:highlight w:val="none"/>
              </w:rPr>
            </w:pPr>
            <w:r>
              <w:rPr>
                <w:color w:val="auto"/>
                <w:highlight w:val="none"/>
              </w:rPr>
              <w:t>M——</w:t>
            </w:r>
            <w:r>
              <w:rPr>
                <w:rFonts w:hint="eastAsia"/>
                <w:color w:val="auto"/>
                <w:highlight w:val="none"/>
              </w:rPr>
              <w:t xml:space="preserve">等效室外声源个数； </w:t>
            </w:r>
          </w:p>
          <w:p w14:paraId="6C5938CF">
            <w:pPr>
              <w:ind w:firstLine="1200" w:firstLineChars="500"/>
              <w:rPr>
                <w:color w:val="auto"/>
                <w:highlight w:val="none"/>
              </w:rPr>
            </w:pPr>
            <w:r>
              <w:rPr>
                <w:color w:val="auto"/>
                <w:highlight w:val="none"/>
              </w:rPr>
              <w:t>t</w:t>
            </w:r>
            <w:r>
              <w:rPr>
                <w:rFonts w:hint="eastAsia"/>
                <w:color w:val="auto"/>
                <w:highlight w:val="none"/>
                <w:vertAlign w:val="subscript"/>
              </w:rPr>
              <w:t>j</w:t>
            </w:r>
            <w:r>
              <w:rPr>
                <w:color w:val="auto"/>
                <w:highlight w:val="none"/>
              </w:rPr>
              <w:t>——</w:t>
            </w:r>
            <w:r>
              <w:rPr>
                <w:rFonts w:hint="eastAsia"/>
                <w:color w:val="auto"/>
                <w:highlight w:val="none"/>
              </w:rPr>
              <w:t>在</w:t>
            </w:r>
            <w:r>
              <w:rPr>
                <w:color w:val="auto"/>
                <w:highlight w:val="none"/>
              </w:rPr>
              <w:t>T</w:t>
            </w:r>
            <w:r>
              <w:rPr>
                <w:rFonts w:hint="eastAsia"/>
                <w:color w:val="auto"/>
                <w:highlight w:val="none"/>
              </w:rPr>
              <w:t>时间内</w:t>
            </w:r>
            <w:r>
              <w:rPr>
                <w:color w:val="auto"/>
                <w:highlight w:val="none"/>
              </w:rPr>
              <w:t>j</w:t>
            </w:r>
            <w:r>
              <w:rPr>
                <w:rFonts w:hint="eastAsia"/>
                <w:color w:val="auto"/>
                <w:highlight w:val="none"/>
              </w:rPr>
              <w:t>声源工作时间，</w:t>
            </w:r>
            <w:r>
              <w:rPr>
                <w:color w:val="auto"/>
                <w:highlight w:val="none"/>
              </w:rPr>
              <w:t>s</w:t>
            </w:r>
            <w:r>
              <w:rPr>
                <w:rFonts w:hint="eastAsia"/>
                <w:color w:val="auto"/>
                <w:highlight w:val="none"/>
              </w:rPr>
              <w:t>。</w:t>
            </w:r>
          </w:p>
          <w:p w14:paraId="52ADC9EB">
            <w:pPr>
              <w:ind w:firstLine="482"/>
              <w:rPr>
                <w:rFonts w:hint="eastAsia"/>
                <w:b/>
                <w:bCs/>
                <w:color w:val="auto"/>
                <w:highlight w:val="none"/>
              </w:rPr>
            </w:pPr>
            <w:r>
              <w:rPr>
                <w:rFonts w:hint="eastAsia"/>
                <w:b/>
                <w:bCs/>
                <w:color w:val="auto"/>
                <w:highlight w:val="none"/>
              </w:rPr>
              <w:t>（4）噪声预测值计算</w:t>
            </w:r>
          </w:p>
          <w:p w14:paraId="0F9C5490">
            <w:pPr>
              <w:ind w:firstLine="480"/>
              <w:rPr>
                <w:color w:val="auto"/>
                <w:highlight w:val="none"/>
              </w:rPr>
            </w:pPr>
            <w:r>
              <w:rPr>
                <w:color w:val="auto"/>
                <w:highlight w:val="none"/>
              </w:rPr>
              <w:t>预测点的贡献值和背景值按能量叠加方法计算得到的声级</w:t>
            </w:r>
            <w:r>
              <w:rPr>
                <w:rFonts w:hint="eastAsia"/>
                <w:color w:val="auto"/>
                <w:highlight w:val="none"/>
              </w:rPr>
              <w:t>，</w:t>
            </w:r>
            <w:r>
              <w:rPr>
                <w:color w:val="auto"/>
                <w:highlight w:val="none"/>
              </w:rPr>
              <w:t>计算公式：</w:t>
            </w:r>
          </w:p>
          <w:p w14:paraId="480360DE">
            <w:pPr>
              <w:ind w:firstLine="0" w:firstLineChars="0"/>
              <w:jc w:val="center"/>
              <w:rPr>
                <w:color w:val="auto"/>
                <w:highlight w:val="none"/>
              </w:rPr>
            </w:pPr>
            <m:oMathPara>
              <m:oMath>
                <m:sSub>
                  <m:sSubPr>
                    <m:ctrlPr>
                      <w:rPr>
                        <w:rFonts w:hint="default" w:ascii="Cambria Math" w:hAnsi="Cambria Math" w:cs="Times New Roman"/>
                        <w:i/>
                        <w:color w:val="auto"/>
                        <w:sz w:val="24"/>
                        <w:highlight w:val="none"/>
                        <w:shd w:val="clear" w:color="auto" w:fill="auto"/>
                      </w:rPr>
                    </m:ctrlPr>
                  </m:sSubPr>
                  <m:e>
                    <m:r>
                      <m:rPr/>
                      <w:rPr>
                        <w:rFonts w:hint="default" w:ascii="Cambria Math" w:hAnsi="Cambria Math" w:cs="Times New Roman"/>
                        <w:color w:val="auto"/>
                        <w:sz w:val="24"/>
                        <w:highlight w:val="none"/>
                        <w:shd w:val="clear" w:color="auto" w:fill="auto"/>
                        <w:lang w:val="en-US" w:eastAsia="zh-CN"/>
                      </w:rPr>
                      <m:t>L</m:t>
                    </m:r>
                    <m:ctrlPr>
                      <w:rPr>
                        <w:rFonts w:hint="default" w:ascii="Cambria Math" w:hAnsi="Cambria Math" w:cs="Times New Roman"/>
                        <w:i/>
                        <w:color w:val="auto"/>
                        <w:sz w:val="24"/>
                        <w:highlight w:val="none"/>
                        <w:shd w:val="clear" w:color="auto" w:fill="auto"/>
                      </w:rPr>
                    </m:ctrlPr>
                  </m:e>
                  <m:sub>
                    <m:r>
                      <m:rPr/>
                      <w:rPr>
                        <w:rFonts w:hint="default" w:ascii="Cambria Math" w:hAnsi="Cambria Math" w:cs="Times New Roman"/>
                        <w:color w:val="auto"/>
                        <w:sz w:val="24"/>
                        <w:highlight w:val="none"/>
                        <w:shd w:val="clear" w:color="auto" w:fill="auto"/>
                        <w:lang w:val="en-US" w:eastAsia="zh-CN"/>
                      </w:rPr>
                      <m:t>eq</m:t>
                    </m:r>
                    <m:ctrlPr>
                      <w:rPr>
                        <w:rFonts w:hint="default" w:ascii="Cambria Math" w:hAnsi="Cambria Math" w:cs="Times New Roman"/>
                        <w:i/>
                        <w:color w:val="auto"/>
                        <w:sz w:val="24"/>
                        <w:highlight w:val="none"/>
                        <w:shd w:val="clear" w:color="auto" w:fill="auto"/>
                      </w:rPr>
                    </m:ctrlPr>
                  </m:sub>
                </m:sSub>
                <m:r>
                  <m:rPr/>
                  <w:rPr>
                    <w:rFonts w:hint="default" w:ascii="Cambria Math" w:hAnsi="Cambria Math" w:cs="Times New Roman"/>
                    <w:color w:val="auto"/>
                    <w:sz w:val="24"/>
                    <w:highlight w:val="none"/>
                    <w:shd w:val="clear" w:color="auto" w:fill="auto"/>
                    <w:lang w:val="en-US" w:eastAsia="zh-CN"/>
                  </w:rPr>
                  <m:t>=10</m:t>
                </m:r>
                <m:func>
                  <m:funcPr>
                    <m:ctrlPr>
                      <w:rPr>
                        <w:rFonts w:hint="default" w:ascii="Cambria Math" w:hAnsi="Cambria Math" w:cs="Times New Roman"/>
                        <w:color w:val="auto"/>
                        <w:sz w:val="24"/>
                        <w:highlight w:val="none"/>
                        <w:shd w:val="clear" w:color="auto" w:fill="auto"/>
                        <w:lang w:val="en-US" w:eastAsia="zh-CN"/>
                      </w:rPr>
                    </m:ctrlPr>
                  </m:funcPr>
                  <m:fName>
                    <m:r>
                      <m:rPr>
                        <m:sty m:val="p"/>
                      </m:rPr>
                      <w:rPr>
                        <w:rFonts w:hint="default" w:ascii="Cambria Math" w:hAnsi="Cambria Math" w:cs="Times New Roman"/>
                        <w:color w:val="auto"/>
                        <w:sz w:val="24"/>
                        <w:highlight w:val="none"/>
                        <w:shd w:val="clear" w:color="auto" w:fill="auto"/>
                        <w:lang w:val="en-US"/>
                      </w:rPr>
                      <m:t>log</m:t>
                    </m:r>
                    <m:ctrlPr>
                      <w:rPr>
                        <w:rFonts w:hint="default" w:ascii="Cambria Math" w:hAnsi="Cambria Math" w:cs="Times New Roman"/>
                        <w:i/>
                        <w:color w:val="auto"/>
                        <w:sz w:val="24"/>
                        <w:highlight w:val="none"/>
                        <w:shd w:val="clear" w:color="auto" w:fill="auto"/>
                        <w:lang w:val="en-US" w:eastAsia="zh-CN"/>
                      </w:rPr>
                    </m:ctrlPr>
                  </m:fName>
                  <m:e>
                    <m:d>
                      <m:dPr>
                        <m:ctrlPr>
                          <w:rPr>
                            <w:rFonts w:hint="default" w:ascii="Cambria Math" w:hAnsi="Cambria Math" w:cs="Times New Roman"/>
                            <w:i/>
                            <w:color w:val="auto"/>
                            <w:sz w:val="24"/>
                            <w:highlight w:val="none"/>
                            <w:shd w:val="clear" w:color="auto" w:fill="auto"/>
                            <w:lang w:val="en-US" w:eastAsia="zh-CN"/>
                          </w:rPr>
                        </m:ctrlPr>
                      </m:dPr>
                      <m:e>
                        <m:sSup>
                          <m:sSupPr>
                            <m:ctrlPr>
                              <w:rPr>
                                <w:rFonts w:hint="default" w:ascii="Cambria Math" w:hAnsi="Cambria Math" w:cs="Times New Roman"/>
                                <w:i/>
                                <w:color w:val="auto"/>
                                <w:sz w:val="24"/>
                                <w:highlight w:val="none"/>
                                <w:shd w:val="clear" w:color="auto" w:fill="auto"/>
                                <w:lang w:val="en-US" w:eastAsia="zh-CN"/>
                              </w:rPr>
                            </m:ctrlPr>
                          </m:sSupPr>
                          <m:e>
                            <m:r>
                              <m:rPr/>
                              <w:rPr>
                                <w:rFonts w:hint="default" w:ascii="Cambria Math" w:hAnsi="Cambria Math" w:cs="Times New Roman"/>
                                <w:color w:val="auto"/>
                                <w:sz w:val="24"/>
                                <w:highlight w:val="none"/>
                                <w:shd w:val="clear" w:color="auto" w:fill="auto"/>
                                <w:lang w:val="en-US" w:eastAsia="zh-CN"/>
                              </w:rPr>
                              <m:t>10</m:t>
                            </m:r>
                            <m:ctrlPr>
                              <w:rPr>
                                <w:rFonts w:hint="default" w:ascii="Cambria Math" w:hAnsi="Cambria Math" w:cs="Times New Roman"/>
                                <w:i/>
                                <w:color w:val="auto"/>
                                <w:sz w:val="24"/>
                                <w:highlight w:val="none"/>
                                <w:shd w:val="clear" w:color="auto" w:fill="auto"/>
                                <w:lang w:val="en-US" w:eastAsia="zh-CN"/>
                              </w:rPr>
                            </m:ctrlPr>
                          </m:e>
                          <m:sup>
                            <m:r>
                              <m:rPr/>
                              <w:rPr>
                                <w:rFonts w:hint="default" w:ascii="Cambria Math" w:hAnsi="Cambria Math" w:cs="Times New Roman"/>
                                <w:color w:val="auto"/>
                                <w:sz w:val="24"/>
                                <w:highlight w:val="none"/>
                                <w:shd w:val="clear" w:color="auto" w:fill="auto"/>
                                <w:lang w:val="en-US" w:eastAsia="zh-CN"/>
                              </w:rPr>
                              <m:t>0.1</m:t>
                            </m:r>
                            <m:sSub>
                              <m:sSubPr>
                                <m:ctrlPr>
                                  <w:rPr>
                                    <w:rFonts w:hint="default" w:ascii="Cambria Math" w:hAnsi="Cambria Math" w:cs="Times New Roman"/>
                                    <w:i/>
                                    <w:color w:val="auto"/>
                                    <w:sz w:val="24"/>
                                    <w:highlight w:val="none"/>
                                    <w:shd w:val="clear" w:color="auto" w:fill="auto"/>
                                    <w:lang w:val="en-US" w:eastAsia="zh-CN"/>
                                  </w:rPr>
                                </m:ctrlPr>
                              </m:sSubPr>
                              <m:e>
                                <m:r>
                                  <m:rPr/>
                                  <w:rPr>
                                    <w:rFonts w:hint="default" w:ascii="Cambria Math" w:hAnsi="Cambria Math" w:cs="Times New Roman"/>
                                    <w:color w:val="auto"/>
                                    <w:sz w:val="24"/>
                                    <w:highlight w:val="none"/>
                                    <w:shd w:val="clear" w:color="auto" w:fill="auto"/>
                                    <w:lang w:val="en-US" w:eastAsia="zh-CN"/>
                                  </w:rPr>
                                  <m:t>L</m:t>
                                </m:r>
                                <m:ctrlPr>
                                  <w:rPr>
                                    <w:rFonts w:hint="default" w:ascii="Cambria Math" w:hAnsi="Cambria Math" w:cs="Times New Roman"/>
                                    <w:i/>
                                    <w:color w:val="auto"/>
                                    <w:sz w:val="24"/>
                                    <w:highlight w:val="none"/>
                                    <w:shd w:val="clear" w:color="auto" w:fill="auto"/>
                                    <w:lang w:val="en-US" w:eastAsia="zh-CN"/>
                                  </w:rPr>
                                </m:ctrlPr>
                              </m:e>
                              <m:sub>
                                <m:r>
                                  <m:rPr/>
                                  <w:rPr>
                                    <w:rFonts w:hint="default" w:ascii="Cambria Math" w:hAnsi="Cambria Math" w:cs="Times New Roman"/>
                                    <w:color w:val="auto"/>
                                    <w:sz w:val="24"/>
                                    <w:highlight w:val="none"/>
                                    <w:shd w:val="clear" w:color="auto" w:fill="auto"/>
                                    <w:lang w:val="en-US" w:eastAsia="zh-CN"/>
                                  </w:rPr>
                                  <m:t>eqg</m:t>
                                </m:r>
                                <m:ctrlPr>
                                  <w:rPr>
                                    <w:rFonts w:hint="default" w:ascii="Cambria Math" w:hAnsi="Cambria Math" w:cs="Times New Roman"/>
                                    <w:i/>
                                    <w:color w:val="auto"/>
                                    <w:sz w:val="24"/>
                                    <w:highlight w:val="none"/>
                                    <w:shd w:val="clear" w:color="auto" w:fill="auto"/>
                                    <w:lang w:val="en-US" w:eastAsia="zh-CN"/>
                                  </w:rPr>
                                </m:ctrlPr>
                              </m:sub>
                            </m:sSub>
                            <m:ctrlPr>
                              <w:rPr>
                                <w:rFonts w:hint="default" w:ascii="Cambria Math" w:hAnsi="Cambria Math" w:cs="Times New Roman"/>
                                <w:i/>
                                <w:color w:val="auto"/>
                                <w:sz w:val="24"/>
                                <w:highlight w:val="none"/>
                                <w:shd w:val="clear" w:color="auto" w:fill="auto"/>
                                <w:lang w:val="en-US" w:eastAsia="zh-CN"/>
                              </w:rPr>
                            </m:ctrlPr>
                          </m:sup>
                        </m:sSup>
                        <m:r>
                          <m:rPr/>
                          <w:rPr>
                            <w:rFonts w:hint="default" w:ascii="Cambria Math" w:hAnsi="Cambria Math" w:cs="Times New Roman"/>
                            <w:color w:val="auto"/>
                            <w:sz w:val="24"/>
                            <w:highlight w:val="none"/>
                            <w:shd w:val="clear" w:color="auto" w:fill="auto"/>
                            <w:lang w:val="en-US" w:eastAsia="zh-CN"/>
                          </w:rPr>
                          <m:t>+</m:t>
                        </m:r>
                        <m:sSup>
                          <m:sSupPr>
                            <m:ctrlPr>
                              <w:rPr>
                                <w:rFonts w:hint="default" w:ascii="Cambria Math" w:hAnsi="Cambria Math" w:cs="Times New Roman"/>
                                <w:i/>
                                <w:color w:val="auto"/>
                                <w:sz w:val="24"/>
                                <w:highlight w:val="none"/>
                                <w:shd w:val="clear" w:color="auto" w:fill="auto"/>
                                <w:lang w:val="en-US" w:eastAsia="zh-CN"/>
                              </w:rPr>
                            </m:ctrlPr>
                          </m:sSupPr>
                          <m:e>
                            <m:r>
                              <m:rPr/>
                              <w:rPr>
                                <w:rFonts w:hint="default" w:ascii="Cambria Math" w:hAnsi="Cambria Math" w:cs="Times New Roman"/>
                                <w:color w:val="auto"/>
                                <w:sz w:val="24"/>
                                <w:highlight w:val="none"/>
                                <w:shd w:val="clear" w:color="auto" w:fill="auto"/>
                                <w:lang w:val="en-US" w:eastAsia="zh-CN"/>
                              </w:rPr>
                              <m:t>10</m:t>
                            </m:r>
                            <m:ctrlPr>
                              <w:rPr>
                                <w:rFonts w:hint="default" w:ascii="Cambria Math" w:hAnsi="Cambria Math" w:cs="Times New Roman"/>
                                <w:i/>
                                <w:color w:val="auto"/>
                                <w:sz w:val="24"/>
                                <w:highlight w:val="none"/>
                                <w:shd w:val="clear" w:color="auto" w:fill="auto"/>
                                <w:lang w:val="en-US" w:eastAsia="zh-CN"/>
                              </w:rPr>
                            </m:ctrlPr>
                          </m:e>
                          <m:sup>
                            <m:r>
                              <m:rPr/>
                              <w:rPr>
                                <w:rFonts w:hint="default" w:ascii="Cambria Math" w:hAnsi="Cambria Math" w:cs="Times New Roman"/>
                                <w:color w:val="auto"/>
                                <w:sz w:val="24"/>
                                <w:highlight w:val="none"/>
                                <w:shd w:val="clear" w:color="auto" w:fill="auto"/>
                                <w:lang w:val="en-US" w:eastAsia="zh-CN"/>
                              </w:rPr>
                              <m:t>0.1</m:t>
                            </m:r>
                            <m:sSub>
                              <m:sSubPr>
                                <m:ctrlPr>
                                  <w:rPr>
                                    <w:rFonts w:hint="default" w:ascii="Cambria Math" w:hAnsi="Cambria Math" w:cs="Times New Roman"/>
                                    <w:i/>
                                    <w:color w:val="auto"/>
                                    <w:sz w:val="24"/>
                                    <w:highlight w:val="none"/>
                                    <w:shd w:val="clear" w:color="auto" w:fill="auto"/>
                                    <w:lang w:val="en-US" w:eastAsia="zh-CN"/>
                                  </w:rPr>
                                </m:ctrlPr>
                              </m:sSubPr>
                              <m:e>
                                <m:r>
                                  <m:rPr/>
                                  <w:rPr>
                                    <w:rFonts w:hint="default" w:ascii="Cambria Math" w:hAnsi="Cambria Math" w:cs="Times New Roman"/>
                                    <w:color w:val="auto"/>
                                    <w:sz w:val="24"/>
                                    <w:highlight w:val="none"/>
                                    <w:shd w:val="clear" w:color="auto" w:fill="auto"/>
                                    <w:lang w:val="en-US" w:eastAsia="zh-CN"/>
                                  </w:rPr>
                                  <m:t>L</m:t>
                                </m:r>
                                <m:ctrlPr>
                                  <w:rPr>
                                    <w:rFonts w:hint="default" w:ascii="Cambria Math" w:hAnsi="Cambria Math" w:cs="Times New Roman"/>
                                    <w:i/>
                                    <w:color w:val="auto"/>
                                    <w:sz w:val="24"/>
                                    <w:highlight w:val="none"/>
                                    <w:shd w:val="clear" w:color="auto" w:fill="auto"/>
                                    <w:lang w:val="en-US" w:eastAsia="zh-CN"/>
                                  </w:rPr>
                                </m:ctrlPr>
                              </m:e>
                              <m:sub>
                                <m:r>
                                  <m:rPr/>
                                  <w:rPr>
                                    <w:rFonts w:hint="default" w:ascii="Cambria Math" w:hAnsi="Cambria Math" w:cs="Times New Roman"/>
                                    <w:color w:val="auto"/>
                                    <w:sz w:val="24"/>
                                    <w:highlight w:val="none"/>
                                    <w:shd w:val="clear" w:color="auto" w:fill="auto"/>
                                    <w:lang w:val="en-US" w:eastAsia="zh-CN"/>
                                  </w:rPr>
                                  <m:t>eqb</m:t>
                                </m:r>
                                <m:ctrlPr>
                                  <w:rPr>
                                    <w:rFonts w:hint="default" w:ascii="Cambria Math" w:hAnsi="Cambria Math" w:cs="Times New Roman"/>
                                    <w:i/>
                                    <w:color w:val="auto"/>
                                    <w:sz w:val="24"/>
                                    <w:highlight w:val="none"/>
                                    <w:shd w:val="clear" w:color="auto" w:fill="auto"/>
                                    <w:lang w:val="en-US" w:eastAsia="zh-CN"/>
                                  </w:rPr>
                                </m:ctrlPr>
                              </m:sub>
                            </m:sSub>
                            <m:ctrlPr>
                              <w:rPr>
                                <w:rFonts w:hint="default" w:ascii="Cambria Math" w:hAnsi="Cambria Math" w:cs="Times New Roman"/>
                                <w:i/>
                                <w:color w:val="auto"/>
                                <w:sz w:val="24"/>
                                <w:highlight w:val="none"/>
                                <w:shd w:val="clear" w:color="auto" w:fill="auto"/>
                                <w:lang w:val="en-US" w:eastAsia="zh-CN"/>
                              </w:rPr>
                            </m:ctrlPr>
                          </m:sup>
                        </m:sSup>
                        <m:ctrlPr>
                          <w:rPr>
                            <w:rFonts w:hint="default" w:ascii="Cambria Math" w:hAnsi="Cambria Math" w:cs="Times New Roman"/>
                            <w:i/>
                            <w:color w:val="auto"/>
                            <w:sz w:val="24"/>
                            <w:highlight w:val="none"/>
                            <w:shd w:val="clear" w:color="auto" w:fill="auto"/>
                            <w:lang w:val="en-US" w:eastAsia="zh-CN"/>
                          </w:rPr>
                        </m:ctrlPr>
                      </m:e>
                    </m:d>
                    <m:ctrlPr>
                      <w:rPr>
                        <w:rFonts w:hint="default" w:ascii="Cambria Math" w:hAnsi="Cambria Math" w:cs="Times New Roman"/>
                        <w:i/>
                        <w:color w:val="auto"/>
                        <w:sz w:val="24"/>
                        <w:highlight w:val="none"/>
                        <w:shd w:val="clear" w:color="auto" w:fill="auto"/>
                        <w:lang w:val="en-US" w:eastAsia="zh-CN"/>
                      </w:rPr>
                    </m:ctrlPr>
                  </m:e>
                </m:func>
              </m:oMath>
            </m:oMathPara>
          </w:p>
          <w:p w14:paraId="1A6B4B07">
            <w:pPr>
              <w:ind w:firstLine="480"/>
              <w:rPr>
                <w:color w:val="auto"/>
                <w:highlight w:val="none"/>
              </w:rPr>
            </w:pPr>
            <w:r>
              <w:rPr>
                <w:color w:val="auto"/>
                <w:highlight w:val="none"/>
              </w:rPr>
              <w:t>式中：</w:t>
            </w:r>
          </w:p>
          <w:p w14:paraId="7EF30E42">
            <w:pPr>
              <w:ind w:firstLine="480"/>
              <w:rPr>
                <w:color w:val="auto"/>
                <w:highlight w:val="none"/>
              </w:rPr>
            </w:pPr>
            <w:r>
              <w:rPr>
                <w:rFonts w:hint="eastAsia"/>
                <w:color w:val="auto"/>
                <w:highlight w:val="none"/>
              </w:rPr>
              <w:t>L</w:t>
            </w:r>
            <w:r>
              <w:rPr>
                <w:rFonts w:hint="eastAsia"/>
                <w:color w:val="auto"/>
                <w:highlight w:val="none"/>
                <w:vertAlign w:val="subscript"/>
              </w:rPr>
              <w:t>eq</w:t>
            </w:r>
            <w:r>
              <w:rPr>
                <w:color w:val="auto"/>
                <w:highlight w:val="none"/>
              </w:rPr>
              <w:t>—预测点的噪声预测值，dB；</w:t>
            </w:r>
          </w:p>
          <w:p w14:paraId="690DC259">
            <w:pPr>
              <w:ind w:firstLine="480"/>
              <w:rPr>
                <w:rFonts w:hint="eastAsia"/>
                <w:color w:val="auto"/>
                <w:highlight w:val="none"/>
              </w:rPr>
            </w:pPr>
            <w:r>
              <w:rPr>
                <w:color w:val="auto"/>
                <w:highlight w:val="none"/>
              </w:rPr>
              <w:t>L</w:t>
            </w:r>
            <w:r>
              <w:rPr>
                <w:color w:val="auto"/>
                <w:highlight w:val="none"/>
                <w:vertAlign w:val="subscript"/>
              </w:rPr>
              <w:t>eqg</w:t>
            </w:r>
            <w:r>
              <w:rPr>
                <w:color w:val="auto"/>
                <w:highlight w:val="none"/>
              </w:rPr>
              <w:t>—建设项目声源在预测点产生的噪声贡献值，dB</w:t>
            </w:r>
            <w:r>
              <w:rPr>
                <w:rFonts w:hint="eastAsia"/>
                <w:color w:val="auto"/>
                <w:highlight w:val="none"/>
              </w:rPr>
              <w:t>；</w:t>
            </w:r>
          </w:p>
          <w:p w14:paraId="6A97820C">
            <w:pPr>
              <w:ind w:firstLine="480"/>
              <w:rPr>
                <w:color w:val="auto"/>
                <w:highlight w:val="none"/>
              </w:rPr>
            </w:pPr>
            <w:r>
              <w:rPr>
                <w:color w:val="auto"/>
                <w:highlight w:val="none"/>
              </w:rPr>
              <w:t>L</w:t>
            </w:r>
            <w:r>
              <w:rPr>
                <w:color w:val="auto"/>
                <w:highlight w:val="none"/>
                <w:vertAlign w:val="subscript"/>
              </w:rPr>
              <w:t>eq</w:t>
            </w:r>
            <w:r>
              <w:rPr>
                <w:rFonts w:hint="eastAsia"/>
                <w:color w:val="auto"/>
                <w:highlight w:val="none"/>
                <w:vertAlign w:val="subscript"/>
              </w:rPr>
              <w:t>b</w:t>
            </w:r>
            <w:r>
              <w:rPr>
                <w:color w:val="auto"/>
                <w:highlight w:val="none"/>
              </w:rPr>
              <w:t>—预测点的背景噪声值，dB。</w:t>
            </w:r>
          </w:p>
          <w:p w14:paraId="4F53E8D0">
            <w:pPr>
              <w:ind w:firstLine="482"/>
              <w:rPr>
                <w:b/>
                <w:bCs/>
                <w:color w:val="auto"/>
                <w:highlight w:val="none"/>
              </w:rPr>
            </w:pPr>
            <w:r>
              <w:rPr>
                <w:rFonts w:hint="eastAsia"/>
                <w:b/>
                <w:bCs/>
                <w:color w:val="auto"/>
                <w:highlight w:val="none"/>
              </w:rPr>
              <w:t>（5）隔声量的确定</w:t>
            </w:r>
          </w:p>
          <w:p w14:paraId="1D66BFAC">
            <w:pPr>
              <w:snapToGrid w:val="0"/>
              <w:ind w:right="11" w:firstLine="480"/>
              <w:rPr>
                <w:rFonts w:hint="eastAsia"/>
                <w:color w:val="auto"/>
                <w:highlight w:val="none"/>
              </w:rPr>
            </w:pPr>
            <w:r>
              <w:rPr>
                <w:rFonts w:hint="eastAsia"/>
                <w:color w:val="auto"/>
                <w:highlight w:val="none"/>
              </w:rPr>
              <w:t>项目主要噪声设备大多设置于各建构筑物内，设备噪声经墙体隔声，设备基础减振后，可削减15dB（A）以上。</w:t>
            </w:r>
          </w:p>
          <w:p w14:paraId="003AB426">
            <w:pPr>
              <w:ind w:firstLine="482"/>
              <w:rPr>
                <w:b/>
                <w:bCs/>
                <w:color w:val="auto"/>
                <w:highlight w:val="none"/>
              </w:rPr>
            </w:pPr>
            <w:r>
              <w:rPr>
                <w:rFonts w:hint="eastAsia"/>
                <w:b/>
                <w:bCs/>
                <w:color w:val="auto"/>
                <w:highlight w:val="none"/>
              </w:rPr>
              <w:t>（6）预测结果</w:t>
            </w:r>
          </w:p>
          <w:p w14:paraId="209E53D3">
            <w:pPr>
              <w:ind w:firstLine="480"/>
              <w:rPr>
                <w:b/>
                <w:color w:val="auto"/>
                <w:highlight w:val="none"/>
              </w:rPr>
            </w:pPr>
            <w:r>
              <w:rPr>
                <w:color w:val="auto"/>
                <w:highlight w:val="none"/>
                <w:lang w:val="zh-CN"/>
              </w:rPr>
              <w:t>利用上述模式计算本项目噪声源同时工作时，预测到厂界的噪声最大值及位置，</w:t>
            </w:r>
            <w:r>
              <w:rPr>
                <w:rFonts w:hint="eastAsia"/>
                <w:color w:val="auto"/>
                <w:highlight w:val="none"/>
              </w:rPr>
              <w:t>本项目夜间有进行生产活动，</w:t>
            </w:r>
            <w:r>
              <w:rPr>
                <w:color w:val="auto"/>
                <w:highlight w:val="none"/>
                <w:lang w:val="zh-CN"/>
              </w:rPr>
              <w:t>具体预测结果见表</w:t>
            </w:r>
            <w:r>
              <w:rPr>
                <w:rFonts w:hint="eastAsia"/>
                <w:color w:val="auto"/>
                <w:highlight w:val="none"/>
              </w:rPr>
              <w:t>4.2-</w:t>
            </w:r>
            <w:r>
              <w:rPr>
                <w:rFonts w:hint="eastAsia"/>
                <w:color w:val="auto"/>
                <w:highlight w:val="none"/>
                <w:lang w:val="en-US" w:eastAsia="zh-CN"/>
              </w:rPr>
              <w:t>21和表4.2-22</w:t>
            </w:r>
            <w:r>
              <w:rPr>
                <w:color w:val="auto"/>
                <w:highlight w:val="none"/>
                <w:lang w:val="zh-CN"/>
              </w:rPr>
              <w:t>所示。</w:t>
            </w:r>
          </w:p>
          <w:p w14:paraId="7F4D841A">
            <w:pPr>
              <w:pStyle w:val="59"/>
              <w:ind w:left="0" w:firstLine="0" w:firstLineChars="0"/>
              <w:rPr>
                <w:color w:val="auto"/>
                <w:highlight w:val="none"/>
              </w:rPr>
            </w:pPr>
            <w:r>
              <w:rPr>
                <w:color w:val="auto"/>
                <w:highlight w:val="none"/>
              </w:rPr>
              <w:t>表4.</w:t>
            </w:r>
            <w:r>
              <w:rPr>
                <w:rFonts w:hint="eastAsia"/>
                <w:color w:val="auto"/>
                <w:highlight w:val="none"/>
              </w:rPr>
              <w:t>2</w:t>
            </w:r>
            <w:r>
              <w:rPr>
                <w:color w:val="auto"/>
                <w:highlight w:val="none"/>
              </w:rPr>
              <w:t>-</w:t>
            </w:r>
            <w:r>
              <w:rPr>
                <w:rFonts w:hint="eastAsia"/>
                <w:color w:val="auto"/>
                <w:highlight w:val="none"/>
                <w:lang w:val="en-US" w:eastAsia="zh-CN"/>
              </w:rPr>
              <w:t>21</w:t>
            </w:r>
            <w:r>
              <w:rPr>
                <w:color w:val="auto"/>
                <w:highlight w:val="none"/>
              </w:rPr>
              <w:t xml:space="preserve">  厂界噪声预测结果</w:t>
            </w:r>
            <w:r>
              <w:rPr>
                <w:rFonts w:hint="eastAsia"/>
                <w:color w:val="auto"/>
                <w:highlight w:val="none"/>
                <w:lang w:eastAsia="zh-CN"/>
              </w:rPr>
              <w:t>（</w:t>
            </w:r>
            <w:r>
              <w:rPr>
                <w:rFonts w:hint="eastAsia"/>
                <w:color w:val="auto"/>
                <w:highlight w:val="none"/>
                <w:lang w:val="en-US" w:eastAsia="zh-CN"/>
              </w:rPr>
              <w:t>一期</w:t>
            </w:r>
            <w:r>
              <w:rPr>
                <w:rFonts w:hint="eastAsia"/>
                <w:color w:val="auto"/>
                <w:highlight w:val="none"/>
                <w:lang w:eastAsia="zh-CN"/>
              </w:rPr>
              <w:t>）</w:t>
            </w:r>
            <w:r>
              <w:rPr>
                <w:color w:val="auto"/>
                <w:highlight w:val="none"/>
              </w:rPr>
              <w:t xml:space="preserve">   单位：dB</w:t>
            </w:r>
            <w:r>
              <w:rPr>
                <w:rFonts w:hint="eastAsia"/>
                <w:color w:val="auto"/>
                <w:highlight w:val="none"/>
              </w:rPr>
              <w:t>（A）</w:t>
            </w:r>
          </w:p>
          <w:tbl>
            <w:tblPr>
              <w:tblStyle w:val="27"/>
              <w:tblW w:w="851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120"/>
              <w:gridCol w:w="1575"/>
              <w:gridCol w:w="1225"/>
              <w:gridCol w:w="1225"/>
              <w:gridCol w:w="1225"/>
              <w:gridCol w:w="1225"/>
              <w:gridCol w:w="922"/>
            </w:tblGrid>
            <w:tr w14:paraId="244FBF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8" w:hRule="atLeast"/>
                <w:jc w:val="center"/>
              </w:trPr>
              <w:tc>
                <w:tcPr>
                  <w:tcW w:w="1120" w:type="dxa"/>
                  <w:vMerge w:val="restart"/>
                  <w:noWrap w:val="0"/>
                  <w:vAlign w:val="center"/>
                </w:tcPr>
                <w:p w14:paraId="44854B1C">
                  <w:pPr>
                    <w:spacing w:line="340" w:lineRule="exact"/>
                    <w:ind w:firstLine="0" w:firstLineChars="0"/>
                    <w:jc w:val="center"/>
                    <w:rPr>
                      <w:b/>
                      <w:bCs/>
                      <w:color w:val="auto"/>
                      <w:sz w:val="21"/>
                      <w:szCs w:val="21"/>
                      <w:highlight w:val="none"/>
                      <w:lang w:bidi="ar"/>
                    </w:rPr>
                  </w:pPr>
                  <w:r>
                    <w:rPr>
                      <w:b/>
                      <w:bCs/>
                      <w:color w:val="auto"/>
                      <w:sz w:val="21"/>
                      <w:szCs w:val="21"/>
                      <w:highlight w:val="none"/>
                      <w:lang w:bidi="ar"/>
                    </w:rPr>
                    <w:t>编号</w:t>
                  </w:r>
                </w:p>
              </w:tc>
              <w:tc>
                <w:tcPr>
                  <w:tcW w:w="1575" w:type="dxa"/>
                  <w:vMerge w:val="restart"/>
                  <w:noWrap w:val="0"/>
                  <w:vAlign w:val="center"/>
                </w:tcPr>
                <w:p w14:paraId="551EE6AD">
                  <w:pPr>
                    <w:spacing w:line="340" w:lineRule="exact"/>
                    <w:ind w:firstLine="0" w:firstLineChars="0"/>
                    <w:jc w:val="center"/>
                    <w:rPr>
                      <w:b/>
                      <w:bCs/>
                      <w:color w:val="auto"/>
                      <w:sz w:val="21"/>
                      <w:szCs w:val="21"/>
                      <w:highlight w:val="none"/>
                      <w:lang w:bidi="ar"/>
                    </w:rPr>
                  </w:pPr>
                  <w:r>
                    <w:rPr>
                      <w:b/>
                      <w:bCs/>
                      <w:color w:val="auto"/>
                      <w:sz w:val="21"/>
                      <w:szCs w:val="21"/>
                      <w:highlight w:val="none"/>
                      <w:lang w:bidi="ar"/>
                    </w:rPr>
                    <w:t>测点位置</w:t>
                  </w:r>
                </w:p>
              </w:tc>
              <w:tc>
                <w:tcPr>
                  <w:tcW w:w="2450" w:type="dxa"/>
                  <w:gridSpan w:val="2"/>
                  <w:noWrap w:val="0"/>
                  <w:vAlign w:val="center"/>
                </w:tcPr>
                <w:p w14:paraId="0B8D6078">
                  <w:pPr>
                    <w:spacing w:line="340" w:lineRule="exact"/>
                    <w:ind w:firstLine="0" w:firstLineChars="0"/>
                    <w:jc w:val="center"/>
                    <w:rPr>
                      <w:rFonts w:hint="eastAsia"/>
                      <w:b/>
                      <w:bCs/>
                      <w:color w:val="auto"/>
                      <w:sz w:val="21"/>
                      <w:szCs w:val="21"/>
                      <w:highlight w:val="none"/>
                      <w:lang w:val="en-US" w:eastAsia="zh-CN" w:bidi="ar"/>
                    </w:rPr>
                  </w:pPr>
                  <w:r>
                    <w:rPr>
                      <w:rFonts w:hint="eastAsia"/>
                      <w:b/>
                      <w:bCs/>
                      <w:color w:val="auto"/>
                      <w:sz w:val="21"/>
                      <w:szCs w:val="21"/>
                      <w:highlight w:val="none"/>
                      <w:lang w:val="en-US" w:eastAsia="zh-CN" w:bidi="ar"/>
                    </w:rPr>
                    <w:t>噪声预测值</w:t>
                  </w:r>
                </w:p>
              </w:tc>
              <w:tc>
                <w:tcPr>
                  <w:tcW w:w="2450" w:type="dxa"/>
                  <w:gridSpan w:val="2"/>
                  <w:noWrap w:val="0"/>
                  <w:vAlign w:val="center"/>
                </w:tcPr>
                <w:p w14:paraId="6AA7F9BC">
                  <w:pPr>
                    <w:spacing w:line="340" w:lineRule="exact"/>
                    <w:ind w:firstLine="0" w:firstLineChars="0"/>
                    <w:jc w:val="center"/>
                    <w:rPr>
                      <w:b/>
                      <w:bCs/>
                      <w:color w:val="auto"/>
                      <w:sz w:val="21"/>
                      <w:szCs w:val="21"/>
                      <w:highlight w:val="none"/>
                      <w:lang w:bidi="ar"/>
                    </w:rPr>
                  </w:pPr>
                  <w:r>
                    <w:rPr>
                      <w:b/>
                      <w:bCs/>
                      <w:color w:val="auto"/>
                      <w:sz w:val="21"/>
                      <w:szCs w:val="21"/>
                      <w:highlight w:val="none"/>
                      <w:lang w:bidi="ar"/>
                    </w:rPr>
                    <w:t>标准值</w:t>
                  </w:r>
                </w:p>
              </w:tc>
              <w:tc>
                <w:tcPr>
                  <w:tcW w:w="922" w:type="dxa"/>
                  <w:vMerge w:val="restart"/>
                  <w:noWrap w:val="0"/>
                  <w:vAlign w:val="center"/>
                </w:tcPr>
                <w:p w14:paraId="62682279">
                  <w:pPr>
                    <w:spacing w:line="340" w:lineRule="exact"/>
                    <w:ind w:firstLine="0" w:firstLineChars="0"/>
                    <w:jc w:val="center"/>
                    <w:rPr>
                      <w:b/>
                      <w:bCs/>
                      <w:color w:val="auto"/>
                      <w:sz w:val="21"/>
                      <w:szCs w:val="21"/>
                      <w:highlight w:val="none"/>
                      <w:lang w:bidi="ar"/>
                    </w:rPr>
                  </w:pPr>
                  <w:r>
                    <w:rPr>
                      <w:b/>
                      <w:bCs/>
                      <w:color w:val="auto"/>
                      <w:sz w:val="21"/>
                      <w:szCs w:val="21"/>
                      <w:highlight w:val="none"/>
                      <w:lang w:bidi="ar"/>
                    </w:rPr>
                    <w:t>达标情况</w:t>
                  </w:r>
                </w:p>
              </w:tc>
            </w:tr>
            <w:tr w14:paraId="2D835D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0" w:type="dxa"/>
                  <w:vMerge w:val="continue"/>
                  <w:noWrap w:val="0"/>
                  <w:vAlign w:val="center"/>
                </w:tcPr>
                <w:p w14:paraId="2ED672E4">
                  <w:pPr>
                    <w:spacing w:line="340" w:lineRule="exact"/>
                    <w:ind w:firstLine="0" w:firstLineChars="0"/>
                    <w:jc w:val="center"/>
                    <w:rPr>
                      <w:b/>
                      <w:bCs/>
                      <w:color w:val="auto"/>
                      <w:sz w:val="21"/>
                      <w:szCs w:val="21"/>
                      <w:highlight w:val="none"/>
                      <w:lang w:bidi="ar"/>
                    </w:rPr>
                  </w:pPr>
                </w:p>
              </w:tc>
              <w:tc>
                <w:tcPr>
                  <w:tcW w:w="1575" w:type="dxa"/>
                  <w:vMerge w:val="continue"/>
                  <w:noWrap w:val="0"/>
                  <w:vAlign w:val="center"/>
                </w:tcPr>
                <w:p w14:paraId="178BFDDD">
                  <w:pPr>
                    <w:spacing w:line="340" w:lineRule="exact"/>
                    <w:ind w:firstLine="0" w:firstLineChars="0"/>
                    <w:jc w:val="center"/>
                    <w:rPr>
                      <w:b/>
                      <w:bCs/>
                      <w:color w:val="auto"/>
                      <w:sz w:val="21"/>
                      <w:szCs w:val="21"/>
                      <w:highlight w:val="none"/>
                      <w:lang w:bidi="ar"/>
                    </w:rPr>
                  </w:pPr>
                </w:p>
              </w:tc>
              <w:tc>
                <w:tcPr>
                  <w:tcW w:w="1225" w:type="dxa"/>
                  <w:noWrap w:val="0"/>
                  <w:vAlign w:val="center"/>
                </w:tcPr>
                <w:p w14:paraId="294DF04D">
                  <w:pPr>
                    <w:spacing w:line="340" w:lineRule="exact"/>
                    <w:ind w:firstLine="0" w:firstLineChars="0"/>
                    <w:jc w:val="center"/>
                    <w:rPr>
                      <w:b/>
                      <w:bCs/>
                      <w:color w:val="auto"/>
                      <w:sz w:val="21"/>
                      <w:szCs w:val="21"/>
                      <w:highlight w:val="none"/>
                      <w:lang w:bidi="ar"/>
                    </w:rPr>
                  </w:pPr>
                  <w:r>
                    <w:rPr>
                      <w:b/>
                      <w:bCs/>
                      <w:color w:val="auto"/>
                      <w:sz w:val="21"/>
                      <w:szCs w:val="21"/>
                      <w:highlight w:val="none"/>
                      <w:lang w:bidi="ar"/>
                    </w:rPr>
                    <w:t>昼间</w:t>
                  </w:r>
                </w:p>
              </w:tc>
              <w:tc>
                <w:tcPr>
                  <w:tcW w:w="1225" w:type="dxa"/>
                  <w:noWrap w:val="0"/>
                  <w:vAlign w:val="center"/>
                </w:tcPr>
                <w:p w14:paraId="71907978">
                  <w:pPr>
                    <w:spacing w:line="340" w:lineRule="exact"/>
                    <w:ind w:firstLine="0" w:firstLineChars="0"/>
                    <w:jc w:val="center"/>
                    <w:rPr>
                      <w:b/>
                      <w:bCs/>
                      <w:color w:val="auto"/>
                      <w:sz w:val="21"/>
                      <w:szCs w:val="21"/>
                      <w:highlight w:val="none"/>
                      <w:lang w:bidi="ar"/>
                    </w:rPr>
                  </w:pPr>
                  <w:r>
                    <w:rPr>
                      <w:rFonts w:hint="eastAsia"/>
                      <w:b/>
                      <w:bCs/>
                      <w:color w:val="auto"/>
                      <w:sz w:val="21"/>
                      <w:szCs w:val="21"/>
                      <w:highlight w:val="none"/>
                      <w:lang w:bidi="ar"/>
                    </w:rPr>
                    <w:t>夜间</w:t>
                  </w:r>
                </w:p>
              </w:tc>
              <w:tc>
                <w:tcPr>
                  <w:tcW w:w="1225" w:type="dxa"/>
                  <w:noWrap w:val="0"/>
                  <w:vAlign w:val="center"/>
                </w:tcPr>
                <w:p w14:paraId="0ACCD942">
                  <w:pPr>
                    <w:spacing w:line="340" w:lineRule="exact"/>
                    <w:ind w:firstLine="0" w:firstLineChars="0"/>
                    <w:jc w:val="center"/>
                    <w:rPr>
                      <w:b/>
                      <w:bCs/>
                      <w:color w:val="auto"/>
                      <w:sz w:val="21"/>
                      <w:szCs w:val="21"/>
                      <w:highlight w:val="none"/>
                      <w:lang w:bidi="ar"/>
                    </w:rPr>
                  </w:pPr>
                  <w:r>
                    <w:rPr>
                      <w:b/>
                      <w:bCs/>
                      <w:color w:val="auto"/>
                      <w:sz w:val="21"/>
                      <w:szCs w:val="21"/>
                      <w:highlight w:val="none"/>
                      <w:lang w:bidi="ar"/>
                    </w:rPr>
                    <w:t>昼间</w:t>
                  </w:r>
                </w:p>
              </w:tc>
              <w:tc>
                <w:tcPr>
                  <w:tcW w:w="1225" w:type="dxa"/>
                  <w:noWrap w:val="0"/>
                  <w:vAlign w:val="center"/>
                </w:tcPr>
                <w:p w14:paraId="22E949D4">
                  <w:pPr>
                    <w:spacing w:line="340" w:lineRule="exact"/>
                    <w:ind w:firstLine="0" w:firstLineChars="0"/>
                    <w:jc w:val="center"/>
                    <w:rPr>
                      <w:b/>
                      <w:bCs/>
                      <w:color w:val="auto"/>
                      <w:sz w:val="21"/>
                      <w:szCs w:val="21"/>
                      <w:highlight w:val="none"/>
                      <w:lang w:bidi="ar"/>
                    </w:rPr>
                  </w:pPr>
                  <w:r>
                    <w:rPr>
                      <w:rFonts w:hint="eastAsia"/>
                      <w:b/>
                      <w:bCs/>
                      <w:color w:val="auto"/>
                      <w:sz w:val="21"/>
                      <w:szCs w:val="21"/>
                      <w:highlight w:val="none"/>
                      <w:lang w:bidi="ar"/>
                    </w:rPr>
                    <w:t>夜间</w:t>
                  </w:r>
                </w:p>
              </w:tc>
              <w:tc>
                <w:tcPr>
                  <w:tcW w:w="922" w:type="dxa"/>
                  <w:vMerge w:val="continue"/>
                  <w:noWrap w:val="0"/>
                  <w:vAlign w:val="center"/>
                </w:tcPr>
                <w:p w14:paraId="5BD897FD">
                  <w:pPr>
                    <w:spacing w:line="340" w:lineRule="exact"/>
                    <w:ind w:firstLine="0" w:firstLineChars="0"/>
                    <w:jc w:val="center"/>
                    <w:rPr>
                      <w:b/>
                      <w:bCs/>
                      <w:color w:val="auto"/>
                      <w:sz w:val="21"/>
                      <w:szCs w:val="21"/>
                      <w:highlight w:val="none"/>
                      <w:lang w:bidi="ar"/>
                    </w:rPr>
                  </w:pPr>
                </w:p>
              </w:tc>
            </w:tr>
            <w:tr w14:paraId="6F4203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1120" w:type="dxa"/>
                  <w:noWrap w:val="0"/>
                  <w:vAlign w:val="center"/>
                </w:tcPr>
                <w:p w14:paraId="1F69F0C0">
                  <w:pPr>
                    <w:spacing w:line="340" w:lineRule="exact"/>
                    <w:ind w:firstLine="0" w:firstLineChars="0"/>
                    <w:jc w:val="center"/>
                    <w:rPr>
                      <w:color w:val="auto"/>
                      <w:sz w:val="21"/>
                      <w:szCs w:val="21"/>
                      <w:highlight w:val="none"/>
                      <w:lang w:bidi="ar"/>
                    </w:rPr>
                  </w:pPr>
                  <w:r>
                    <w:rPr>
                      <w:color w:val="auto"/>
                      <w:sz w:val="21"/>
                      <w:szCs w:val="21"/>
                      <w:highlight w:val="none"/>
                      <w:lang w:bidi="ar"/>
                    </w:rPr>
                    <w:t>1</w:t>
                  </w:r>
                </w:p>
              </w:tc>
              <w:tc>
                <w:tcPr>
                  <w:tcW w:w="1575" w:type="dxa"/>
                  <w:noWrap w:val="0"/>
                  <w:vAlign w:val="center"/>
                </w:tcPr>
                <w:p w14:paraId="7BD784E5">
                  <w:pPr>
                    <w:spacing w:line="340" w:lineRule="exact"/>
                    <w:ind w:firstLine="0" w:firstLineChars="0"/>
                    <w:jc w:val="center"/>
                    <w:rPr>
                      <w:color w:val="auto"/>
                      <w:sz w:val="21"/>
                      <w:szCs w:val="21"/>
                      <w:highlight w:val="none"/>
                      <w:lang w:bidi="ar"/>
                    </w:rPr>
                  </w:pPr>
                  <w:r>
                    <w:rPr>
                      <w:color w:val="auto"/>
                      <w:sz w:val="21"/>
                      <w:szCs w:val="21"/>
                      <w:highlight w:val="none"/>
                      <w:lang w:bidi="ar"/>
                    </w:rPr>
                    <w:t>东侧厂界</w:t>
                  </w:r>
                </w:p>
              </w:tc>
              <w:tc>
                <w:tcPr>
                  <w:tcW w:w="1225" w:type="dxa"/>
                  <w:noWrap w:val="0"/>
                  <w:vAlign w:val="center"/>
                </w:tcPr>
                <w:p w14:paraId="26D35B04">
                  <w:pPr>
                    <w:spacing w:line="340" w:lineRule="exact"/>
                    <w:ind w:firstLine="0" w:firstLineChars="0"/>
                    <w:jc w:val="center"/>
                    <w:rPr>
                      <w:rFonts w:hint="eastAsia" w:ascii="Times New Roman" w:hAnsi="Times New Roman" w:eastAsia="宋体" w:cs="Times New Roman"/>
                      <w:color w:val="auto"/>
                      <w:sz w:val="21"/>
                      <w:szCs w:val="21"/>
                      <w:highlight w:val="none"/>
                      <w:lang w:bidi="ar"/>
                    </w:rPr>
                  </w:pPr>
                  <w:r>
                    <w:rPr>
                      <w:rFonts w:hint="eastAsia" w:ascii="Times New Roman" w:hAnsi="Times New Roman" w:eastAsia="宋体" w:cs="Times New Roman"/>
                      <w:color w:val="auto"/>
                      <w:sz w:val="21"/>
                      <w:szCs w:val="21"/>
                      <w:highlight w:val="none"/>
                      <w:lang w:val="en-US" w:eastAsia="zh-CN" w:bidi="ar"/>
                    </w:rPr>
                    <w:t>49</w:t>
                  </w:r>
                  <w:r>
                    <w:rPr>
                      <w:rFonts w:hint="eastAsia" w:ascii="Times New Roman" w:hAnsi="Times New Roman" w:eastAsia="宋体" w:cs="Times New Roman"/>
                      <w:color w:val="auto"/>
                      <w:sz w:val="21"/>
                      <w:szCs w:val="21"/>
                      <w:highlight w:val="none"/>
                      <w:lang w:bidi="ar"/>
                    </w:rPr>
                    <w:t>.</w:t>
                  </w:r>
                  <w:r>
                    <w:rPr>
                      <w:rFonts w:hint="eastAsia" w:ascii="Times New Roman" w:hAnsi="Times New Roman" w:eastAsia="宋体" w:cs="Times New Roman"/>
                      <w:color w:val="auto"/>
                      <w:sz w:val="21"/>
                      <w:szCs w:val="21"/>
                      <w:highlight w:val="none"/>
                      <w:lang w:val="en-US" w:eastAsia="zh-CN" w:bidi="ar"/>
                    </w:rPr>
                    <w:t>9</w:t>
                  </w:r>
                </w:p>
              </w:tc>
              <w:tc>
                <w:tcPr>
                  <w:tcW w:w="1225" w:type="dxa"/>
                  <w:noWrap w:val="0"/>
                  <w:vAlign w:val="center"/>
                </w:tcPr>
                <w:p w14:paraId="62A73B62">
                  <w:pPr>
                    <w:spacing w:line="340" w:lineRule="exact"/>
                    <w:ind w:firstLine="0" w:firstLineChars="0"/>
                    <w:jc w:val="center"/>
                    <w:rPr>
                      <w:rFonts w:hint="eastAsia" w:ascii="Times New Roman" w:hAnsi="Times New Roman" w:eastAsia="宋体" w:cs="Times New Roman"/>
                      <w:color w:val="auto"/>
                      <w:sz w:val="21"/>
                      <w:szCs w:val="21"/>
                      <w:highlight w:val="none"/>
                      <w:lang w:bidi="ar"/>
                    </w:rPr>
                  </w:pPr>
                  <w:r>
                    <w:rPr>
                      <w:rFonts w:hint="eastAsia" w:ascii="Times New Roman" w:hAnsi="Times New Roman" w:eastAsia="宋体" w:cs="Times New Roman"/>
                      <w:color w:val="auto"/>
                      <w:sz w:val="21"/>
                      <w:szCs w:val="21"/>
                      <w:highlight w:val="none"/>
                      <w:lang w:bidi="ar"/>
                    </w:rPr>
                    <w:t>4</w:t>
                  </w:r>
                  <w:r>
                    <w:rPr>
                      <w:rFonts w:hint="eastAsia" w:ascii="Times New Roman" w:hAnsi="Times New Roman" w:eastAsia="宋体" w:cs="Times New Roman"/>
                      <w:color w:val="auto"/>
                      <w:sz w:val="21"/>
                      <w:szCs w:val="21"/>
                      <w:highlight w:val="none"/>
                      <w:lang w:val="en-US" w:eastAsia="zh-CN" w:bidi="ar"/>
                    </w:rPr>
                    <w:t>9</w:t>
                  </w:r>
                  <w:r>
                    <w:rPr>
                      <w:rFonts w:hint="eastAsia" w:ascii="Times New Roman" w:hAnsi="Times New Roman" w:eastAsia="宋体" w:cs="Times New Roman"/>
                      <w:color w:val="auto"/>
                      <w:sz w:val="21"/>
                      <w:szCs w:val="21"/>
                      <w:highlight w:val="none"/>
                      <w:lang w:bidi="ar"/>
                    </w:rPr>
                    <w:t>.</w:t>
                  </w:r>
                  <w:r>
                    <w:rPr>
                      <w:rFonts w:hint="eastAsia" w:ascii="Times New Roman" w:hAnsi="Times New Roman" w:eastAsia="宋体" w:cs="Times New Roman"/>
                      <w:color w:val="auto"/>
                      <w:sz w:val="21"/>
                      <w:szCs w:val="21"/>
                      <w:highlight w:val="none"/>
                      <w:lang w:val="en-US" w:eastAsia="zh-CN" w:bidi="ar"/>
                    </w:rPr>
                    <w:t>9</w:t>
                  </w:r>
                </w:p>
              </w:tc>
              <w:tc>
                <w:tcPr>
                  <w:tcW w:w="1225" w:type="dxa"/>
                  <w:noWrap w:val="0"/>
                  <w:vAlign w:val="center"/>
                </w:tcPr>
                <w:p w14:paraId="0497B19D">
                  <w:pPr>
                    <w:spacing w:line="340" w:lineRule="exact"/>
                    <w:ind w:firstLine="0" w:firstLineChars="0"/>
                    <w:jc w:val="center"/>
                    <w:rPr>
                      <w:color w:val="auto"/>
                      <w:sz w:val="21"/>
                      <w:szCs w:val="21"/>
                      <w:highlight w:val="none"/>
                      <w:lang w:bidi="ar"/>
                    </w:rPr>
                  </w:pPr>
                  <w:r>
                    <w:rPr>
                      <w:rFonts w:hint="eastAsia"/>
                      <w:color w:val="auto"/>
                      <w:sz w:val="21"/>
                      <w:szCs w:val="21"/>
                      <w:highlight w:val="none"/>
                      <w:lang w:val="en-US" w:eastAsia="zh-CN" w:bidi="ar"/>
                    </w:rPr>
                    <w:t>70</w:t>
                  </w:r>
                </w:p>
              </w:tc>
              <w:tc>
                <w:tcPr>
                  <w:tcW w:w="1225" w:type="dxa"/>
                  <w:noWrap w:val="0"/>
                  <w:vAlign w:val="center"/>
                </w:tcPr>
                <w:p w14:paraId="14A14F76">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val="en-US" w:eastAsia="zh-CN" w:bidi="ar"/>
                    </w:rPr>
                    <w:t>55</w:t>
                  </w:r>
                </w:p>
              </w:tc>
              <w:tc>
                <w:tcPr>
                  <w:tcW w:w="922" w:type="dxa"/>
                  <w:vMerge w:val="restart"/>
                  <w:noWrap w:val="0"/>
                  <w:vAlign w:val="center"/>
                </w:tcPr>
                <w:p w14:paraId="0C99A2A3">
                  <w:pPr>
                    <w:spacing w:line="340" w:lineRule="exact"/>
                    <w:ind w:firstLine="0" w:firstLineChars="0"/>
                    <w:jc w:val="center"/>
                    <w:rPr>
                      <w:color w:val="auto"/>
                      <w:sz w:val="21"/>
                      <w:szCs w:val="21"/>
                      <w:highlight w:val="none"/>
                      <w:lang w:bidi="ar"/>
                    </w:rPr>
                  </w:pPr>
                  <w:r>
                    <w:rPr>
                      <w:color w:val="auto"/>
                      <w:sz w:val="21"/>
                      <w:szCs w:val="21"/>
                      <w:highlight w:val="none"/>
                      <w:lang w:bidi="ar"/>
                    </w:rPr>
                    <w:t>达标</w:t>
                  </w:r>
                </w:p>
              </w:tc>
            </w:tr>
            <w:tr w14:paraId="02A9F2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1120" w:type="dxa"/>
                  <w:noWrap w:val="0"/>
                  <w:vAlign w:val="center"/>
                </w:tcPr>
                <w:p w14:paraId="55487A92">
                  <w:pPr>
                    <w:spacing w:line="340" w:lineRule="exact"/>
                    <w:ind w:firstLine="0" w:firstLineChars="0"/>
                    <w:jc w:val="center"/>
                    <w:rPr>
                      <w:color w:val="auto"/>
                      <w:sz w:val="21"/>
                      <w:szCs w:val="21"/>
                      <w:highlight w:val="none"/>
                      <w:lang w:bidi="ar"/>
                    </w:rPr>
                  </w:pPr>
                  <w:r>
                    <w:rPr>
                      <w:color w:val="auto"/>
                      <w:sz w:val="21"/>
                      <w:szCs w:val="21"/>
                      <w:highlight w:val="none"/>
                      <w:lang w:bidi="ar"/>
                    </w:rPr>
                    <w:t>2</w:t>
                  </w:r>
                </w:p>
              </w:tc>
              <w:tc>
                <w:tcPr>
                  <w:tcW w:w="1575" w:type="dxa"/>
                  <w:noWrap w:val="0"/>
                  <w:vAlign w:val="center"/>
                </w:tcPr>
                <w:p w14:paraId="161416B8">
                  <w:pPr>
                    <w:spacing w:line="340" w:lineRule="exact"/>
                    <w:ind w:firstLine="0" w:firstLineChars="0"/>
                    <w:jc w:val="center"/>
                    <w:rPr>
                      <w:color w:val="auto"/>
                      <w:sz w:val="21"/>
                      <w:szCs w:val="21"/>
                      <w:highlight w:val="none"/>
                      <w:lang w:bidi="ar"/>
                    </w:rPr>
                  </w:pPr>
                  <w:r>
                    <w:rPr>
                      <w:rFonts w:hint="eastAsia"/>
                      <w:color w:val="auto"/>
                      <w:sz w:val="21"/>
                      <w:szCs w:val="21"/>
                      <w:highlight w:val="none"/>
                      <w:lang w:bidi="ar"/>
                    </w:rPr>
                    <w:t>北</w:t>
                  </w:r>
                  <w:r>
                    <w:rPr>
                      <w:color w:val="auto"/>
                      <w:sz w:val="21"/>
                      <w:szCs w:val="21"/>
                      <w:highlight w:val="none"/>
                      <w:lang w:bidi="ar"/>
                    </w:rPr>
                    <w:t>侧厂界</w:t>
                  </w:r>
                </w:p>
              </w:tc>
              <w:tc>
                <w:tcPr>
                  <w:tcW w:w="1225" w:type="dxa"/>
                  <w:noWrap w:val="0"/>
                  <w:vAlign w:val="center"/>
                </w:tcPr>
                <w:p w14:paraId="52FCA2FC">
                  <w:pPr>
                    <w:spacing w:line="340" w:lineRule="exact"/>
                    <w:ind w:firstLine="0" w:firstLineChars="0"/>
                    <w:jc w:val="center"/>
                    <w:rPr>
                      <w:rFonts w:hint="eastAsia"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sz w:val="21"/>
                      <w:szCs w:val="21"/>
                      <w:highlight w:val="none"/>
                      <w:lang w:bidi="ar"/>
                    </w:rPr>
                    <w:t>4</w:t>
                  </w:r>
                  <w:r>
                    <w:rPr>
                      <w:rFonts w:hint="eastAsia" w:cs="Times New Roman"/>
                      <w:color w:val="auto"/>
                      <w:sz w:val="21"/>
                      <w:szCs w:val="21"/>
                      <w:highlight w:val="none"/>
                      <w:lang w:val="en-US" w:eastAsia="zh-CN" w:bidi="ar"/>
                    </w:rPr>
                    <w:t>8</w:t>
                  </w:r>
                  <w:r>
                    <w:rPr>
                      <w:rFonts w:hint="eastAsia" w:ascii="Times New Roman" w:hAnsi="Times New Roman" w:eastAsia="宋体" w:cs="Times New Roman"/>
                      <w:color w:val="auto"/>
                      <w:sz w:val="21"/>
                      <w:szCs w:val="21"/>
                      <w:highlight w:val="none"/>
                      <w:lang w:bidi="ar"/>
                    </w:rPr>
                    <w:t>.</w:t>
                  </w:r>
                  <w:r>
                    <w:rPr>
                      <w:rFonts w:hint="eastAsia" w:ascii="Times New Roman" w:hAnsi="Times New Roman" w:eastAsia="宋体" w:cs="Times New Roman"/>
                      <w:color w:val="auto"/>
                      <w:sz w:val="21"/>
                      <w:szCs w:val="21"/>
                      <w:highlight w:val="none"/>
                      <w:lang w:val="en-US" w:eastAsia="zh-CN" w:bidi="ar"/>
                    </w:rPr>
                    <w:t>1</w:t>
                  </w:r>
                </w:p>
              </w:tc>
              <w:tc>
                <w:tcPr>
                  <w:tcW w:w="1225" w:type="dxa"/>
                  <w:noWrap w:val="0"/>
                  <w:vAlign w:val="center"/>
                </w:tcPr>
                <w:p w14:paraId="1079C5FE">
                  <w:pPr>
                    <w:spacing w:line="340" w:lineRule="exact"/>
                    <w:ind w:firstLine="0" w:firstLineChars="0"/>
                    <w:jc w:val="center"/>
                    <w:rPr>
                      <w:rFonts w:hint="eastAsia"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sz w:val="21"/>
                      <w:szCs w:val="21"/>
                      <w:highlight w:val="none"/>
                      <w:lang w:bidi="ar"/>
                    </w:rPr>
                    <w:t>4</w:t>
                  </w:r>
                  <w:r>
                    <w:rPr>
                      <w:rFonts w:hint="eastAsia" w:cs="Times New Roman"/>
                      <w:color w:val="auto"/>
                      <w:sz w:val="21"/>
                      <w:szCs w:val="21"/>
                      <w:highlight w:val="none"/>
                      <w:lang w:val="en-US" w:eastAsia="zh-CN" w:bidi="ar"/>
                    </w:rPr>
                    <w:t>8</w:t>
                  </w:r>
                  <w:r>
                    <w:rPr>
                      <w:rFonts w:hint="eastAsia" w:ascii="Times New Roman" w:hAnsi="Times New Roman" w:eastAsia="宋体" w:cs="Times New Roman"/>
                      <w:color w:val="auto"/>
                      <w:sz w:val="21"/>
                      <w:szCs w:val="21"/>
                      <w:highlight w:val="none"/>
                      <w:lang w:bidi="ar"/>
                    </w:rPr>
                    <w:t>.</w:t>
                  </w:r>
                  <w:r>
                    <w:rPr>
                      <w:rFonts w:hint="eastAsia" w:ascii="Times New Roman" w:hAnsi="Times New Roman" w:eastAsia="宋体" w:cs="Times New Roman"/>
                      <w:color w:val="auto"/>
                      <w:sz w:val="21"/>
                      <w:szCs w:val="21"/>
                      <w:highlight w:val="none"/>
                      <w:lang w:val="en-US" w:eastAsia="zh-CN" w:bidi="ar"/>
                    </w:rPr>
                    <w:t>1</w:t>
                  </w:r>
                </w:p>
              </w:tc>
              <w:tc>
                <w:tcPr>
                  <w:tcW w:w="1225" w:type="dxa"/>
                  <w:noWrap w:val="0"/>
                  <w:vAlign w:val="center"/>
                </w:tcPr>
                <w:p w14:paraId="34B41955">
                  <w:pPr>
                    <w:spacing w:line="340" w:lineRule="exact"/>
                    <w:ind w:firstLine="0" w:firstLineChars="0"/>
                    <w:jc w:val="center"/>
                    <w:rPr>
                      <w:color w:val="auto"/>
                      <w:sz w:val="21"/>
                      <w:szCs w:val="21"/>
                      <w:highlight w:val="none"/>
                      <w:lang w:bidi="ar"/>
                    </w:rPr>
                  </w:pPr>
                  <w:r>
                    <w:rPr>
                      <w:rFonts w:hint="eastAsia"/>
                      <w:color w:val="auto"/>
                      <w:sz w:val="21"/>
                      <w:szCs w:val="21"/>
                      <w:highlight w:val="none"/>
                      <w:lang w:bidi="ar"/>
                    </w:rPr>
                    <w:t>65</w:t>
                  </w:r>
                </w:p>
              </w:tc>
              <w:tc>
                <w:tcPr>
                  <w:tcW w:w="1225" w:type="dxa"/>
                  <w:noWrap w:val="0"/>
                  <w:vAlign w:val="center"/>
                </w:tcPr>
                <w:p w14:paraId="325B7681">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55</w:t>
                  </w:r>
                </w:p>
              </w:tc>
              <w:tc>
                <w:tcPr>
                  <w:tcW w:w="922" w:type="dxa"/>
                  <w:vMerge w:val="continue"/>
                  <w:noWrap w:val="0"/>
                  <w:vAlign w:val="center"/>
                </w:tcPr>
                <w:p w14:paraId="3424EBF2">
                  <w:pPr>
                    <w:spacing w:line="340" w:lineRule="exact"/>
                    <w:ind w:firstLine="0" w:firstLineChars="0"/>
                    <w:jc w:val="center"/>
                    <w:rPr>
                      <w:color w:val="auto"/>
                      <w:sz w:val="21"/>
                      <w:szCs w:val="21"/>
                      <w:highlight w:val="none"/>
                      <w:lang w:bidi="ar"/>
                    </w:rPr>
                  </w:pPr>
                </w:p>
              </w:tc>
            </w:tr>
            <w:tr w14:paraId="0739BD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1120" w:type="dxa"/>
                  <w:noWrap w:val="0"/>
                  <w:vAlign w:val="center"/>
                </w:tcPr>
                <w:p w14:paraId="77B4D19E">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3</w:t>
                  </w:r>
                </w:p>
              </w:tc>
              <w:tc>
                <w:tcPr>
                  <w:tcW w:w="1575" w:type="dxa"/>
                  <w:noWrap w:val="0"/>
                  <w:vAlign w:val="center"/>
                </w:tcPr>
                <w:p w14:paraId="6A4AECDC">
                  <w:pPr>
                    <w:spacing w:line="340" w:lineRule="exact"/>
                    <w:ind w:firstLine="0" w:firstLineChars="0"/>
                    <w:jc w:val="center"/>
                    <w:rPr>
                      <w:color w:val="auto"/>
                      <w:sz w:val="21"/>
                      <w:szCs w:val="21"/>
                      <w:highlight w:val="none"/>
                      <w:lang w:bidi="ar"/>
                    </w:rPr>
                  </w:pPr>
                  <w:r>
                    <w:rPr>
                      <w:rFonts w:hint="eastAsia"/>
                      <w:color w:val="auto"/>
                      <w:sz w:val="21"/>
                      <w:szCs w:val="21"/>
                      <w:highlight w:val="none"/>
                      <w:lang w:bidi="ar"/>
                    </w:rPr>
                    <w:t>南侧厂界</w:t>
                  </w:r>
                </w:p>
              </w:tc>
              <w:tc>
                <w:tcPr>
                  <w:tcW w:w="1225" w:type="dxa"/>
                  <w:noWrap w:val="0"/>
                  <w:vAlign w:val="center"/>
                </w:tcPr>
                <w:p w14:paraId="63BA1705">
                  <w:pPr>
                    <w:spacing w:line="340" w:lineRule="exact"/>
                    <w:ind w:firstLine="0" w:firstLineChars="0"/>
                    <w:jc w:val="center"/>
                    <w:rPr>
                      <w:rFonts w:hint="eastAsia"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sz w:val="21"/>
                      <w:szCs w:val="21"/>
                      <w:highlight w:val="none"/>
                      <w:lang w:bidi="ar"/>
                    </w:rPr>
                    <w:t>4</w:t>
                  </w:r>
                  <w:r>
                    <w:rPr>
                      <w:rFonts w:hint="eastAsia" w:ascii="Times New Roman" w:hAnsi="Times New Roman" w:eastAsia="宋体" w:cs="Times New Roman"/>
                      <w:color w:val="auto"/>
                      <w:sz w:val="21"/>
                      <w:szCs w:val="21"/>
                      <w:highlight w:val="none"/>
                      <w:lang w:val="en-US" w:eastAsia="zh-CN" w:bidi="ar"/>
                    </w:rPr>
                    <w:t>7</w:t>
                  </w:r>
                  <w:r>
                    <w:rPr>
                      <w:rFonts w:hint="eastAsia" w:ascii="Times New Roman" w:hAnsi="Times New Roman" w:eastAsia="宋体" w:cs="Times New Roman"/>
                      <w:color w:val="auto"/>
                      <w:sz w:val="21"/>
                      <w:szCs w:val="21"/>
                      <w:highlight w:val="none"/>
                      <w:lang w:bidi="ar"/>
                    </w:rPr>
                    <w:t>.</w:t>
                  </w:r>
                  <w:r>
                    <w:rPr>
                      <w:rFonts w:hint="eastAsia" w:ascii="Times New Roman" w:hAnsi="Times New Roman" w:eastAsia="宋体" w:cs="Times New Roman"/>
                      <w:color w:val="auto"/>
                      <w:sz w:val="21"/>
                      <w:szCs w:val="21"/>
                      <w:highlight w:val="none"/>
                      <w:lang w:val="en-US" w:eastAsia="zh-CN" w:bidi="ar"/>
                    </w:rPr>
                    <w:t>6</w:t>
                  </w:r>
                </w:p>
              </w:tc>
              <w:tc>
                <w:tcPr>
                  <w:tcW w:w="1225" w:type="dxa"/>
                  <w:noWrap w:val="0"/>
                  <w:vAlign w:val="center"/>
                </w:tcPr>
                <w:p w14:paraId="22A83428">
                  <w:pPr>
                    <w:spacing w:line="340" w:lineRule="exact"/>
                    <w:ind w:firstLine="0" w:firstLineChars="0"/>
                    <w:jc w:val="center"/>
                    <w:rPr>
                      <w:rFonts w:hint="eastAsia"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sz w:val="21"/>
                      <w:szCs w:val="21"/>
                      <w:highlight w:val="none"/>
                      <w:lang w:bidi="ar"/>
                    </w:rPr>
                    <w:t>4</w:t>
                  </w:r>
                  <w:r>
                    <w:rPr>
                      <w:rFonts w:hint="eastAsia" w:ascii="Times New Roman" w:hAnsi="Times New Roman" w:eastAsia="宋体" w:cs="Times New Roman"/>
                      <w:color w:val="auto"/>
                      <w:sz w:val="21"/>
                      <w:szCs w:val="21"/>
                      <w:highlight w:val="none"/>
                      <w:lang w:val="en-US" w:eastAsia="zh-CN" w:bidi="ar"/>
                    </w:rPr>
                    <w:t>7</w:t>
                  </w:r>
                  <w:r>
                    <w:rPr>
                      <w:rFonts w:hint="eastAsia" w:ascii="Times New Roman" w:hAnsi="Times New Roman" w:eastAsia="宋体" w:cs="Times New Roman"/>
                      <w:color w:val="auto"/>
                      <w:sz w:val="21"/>
                      <w:szCs w:val="21"/>
                      <w:highlight w:val="none"/>
                      <w:lang w:bidi="ar"/>
                    </w:rPr>
                    <w:t>.</w:t>
                  </w:r>
                  <w:r>
                    <w:rPr>
                      <w:rFonts w:hint="eastAsia" w:ascii="Times New Roman" w:hAnsi="Times New Roman" w:eastAsia="宋体" w:cs="Times New Roman"/>
                      <w:color w:val="auto"/>
                      <w:sz w:val="21"/>
                      <w:szCs w:val="21"/>
                      <w:highlight w:val="none"/>
                      <w:lang w:val="en-US" w:eastAsia="zh-CN" w:bidi="ar"/>
                    </w:rPr>
                    <w:t>6</w:t>
                  </w:r>
                </w:p>
              </w:tc>
              <w:tc>
                <w:tcPr>
                  <w:tcW w:w="1225" w:type="dxa"/>
                  <w:noWrap w:val="0"/>
                  <w:vAlign w:val="center"/>
                </w:tcPr>
                <w:p w14:paraId="31B47FB4">
                  <w:pPr>
                    <w:spacing w:line="340" w:lineRule="exact"/>
                    <w:ind w:firstLine="0" w:firstLineChars="0"/>
                    <w:jc w:val="center"/>
                    <w:rPr>
                      <w:color w:val="auto"/>
                      <w:sz w:val="21"/>
                      <w:szCs w:val="21"/>
                      <w:highlight w:val="none"/>
                      <w:lang w:bidi="ar"/>
                    </w:rPr>
                  </w:pPr>
                  <w:r>
                    <w:rPr>
                      <w:rFonts w:hint="eastAsia"/>
                      <w:color w:val="auto"/>
                      <w:sz w:val="21"/>
                      <w:szCs w:val="21"/>
                      <w:highlight w:val="none"/>
                      <w:lang w:bidi="ar"/>
                    </w:rPr>
                    <w:t>65</w:t>
                  </w:r>
                </w:p>
              </w:tc>
              <w:tc>
                <w:tcPr>
                  <w:tcW w:w="1225" w:type="dxa"/>
                  <w:noWrap w:val="0"/>
                  <w:vAlign w:val="center"/>
                </w:tcPr>
                <w:p w14:paraId="0EC358C3">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55</w:t>
                  </w:r>
                </w:p>
              </w:tc>
              <w:tc>
                <w:tcPr>
                  <w:tcW w:w="922" w:type="dxa"/>
                  <w:vMerge w:val="continue"/>
                  <w:noWrap w:val="0"/>
                  <w:vAlign w:val="center"/>
                </w:tcPr>
                <w:p w14:paraId="0664C487">
                  <w:pPr>
                    <w:spacing w:line="340" w:lineRule="exact"/>
                    <w:ind w:firstLine="0" w:firstLineChars="0"/>
                    <w:jc w:val="center"/>
                    <w:rPr>
                      <w:color w:val="auto"/>
                      <w:sz w:val="21"/>
                      <w:szCs w:val="21"/>
                      <w:highlight w:val="none"/>
                      <w:lang w:bidi="ar"/>
                    </w:rPr>
                  </w:pPr>
                </w:p>
              </w:tc>
            </w:tr>
            <w:tr w14:paraId="7FB5D3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120" w:type="dxa"/>
                  <w:noWrap w:val="0"/>
                  <w:vAlign w:val="center"/>
                </w:tcPr>
                <w:p w14:paraId="18E6089F">
                  <w:pPr>
                    <w:spacing w:line="340" w:lineRule="exact"/>
                    <w:ind w:firstLine="0" w:firstLineChars="0"/>
                    <w:jc w:val="center"/>
                    <w:rPr>
                      <w:color w:val="auto"/>
                      <w:sz w:val="21"/>
                      <w:szCs w:val="21"/>
                      <w:highlight w:val="none"/>
                      <w:lang w:bidi="ar"/>
                    </w:rPr>
                  </w:pPr>
                  <w:r>
                    <w:rPr>
                      <w:rFonts w:hint="eastAsia"/>
                      <w:color w:val="auto"/>
                      <w:sz w:val="21"/>
                      <w:szCs w:val="21"/>
                      <w:highlight w:val="none"/>
                      <w:lang w:bidi="ar"/>
                    </w:rPr>
                    <w:t>4</w:t>
                  </w:r>
                </w:p>
              </w:tc>
              <w:tc>
                <w:tcPr>
                  <w:tcW w:w="1575" w:type="dxa"/>
                  <w:noWrap w:val="0"/>
                  <w:vAlign w:val="center"/>
                </w:tcPr>
                <w:p w14:paraId="4E49FF24">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西侧厂界</w:t>
                  </w:r>
                </w:p>
              </w:tc>
              <w:tc>
                <w:tcPr>
                  <w:tcW w:w="1225" w:type="dxa"/>
                  <w:noWrap w:val="0"/>
                  <w:vAlign w:val="center"/>
                </w:tcPr>
                <w:p w14:paraId="0AAFAE26">
                  <w:pPr>
                    <w:spacing w:line="340" w:lineRule="exact"/>
                    <w:ind w:firstLine="0" w:firstLineChars="0"/>
                    <w:jc w:val="center"/>
                    <w:rPr>
                      <w:rFonts w:hint="eastAsia"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sz w:val="21"/>
                      <w:szCs w:val="21"/>
                      <w:highlight w:val="none"/>
                      <w:lang w:bidi="ar"/>
                    </w:rPr>
                    <w:t>4</w:t>
                  </w:r>
                  <w:r>
                    <w:rPr>
                      <w:rFonts w:hint="eastAsia" w:ascii="Times New Roman" w:hAnsi="Times New Roman" w:eastAsia="宋体" w:cs="Times New Roman"/>
                      <w:color w:val="auto"/>
                      <w:sz w:val="21"/>
                      <w:szCs w:val="21"/>
                      <w:highlight w:val="none"/>
                      <w:lang w:val="en-US" w:eastAsia="zh-CN" w:bidi="ar"/>
                    </w:rPr>
                    <w:t>5</w:t>
                  </w:r>
                  <w:r>
                    <w:rPr>
                      <w:rFonts w:hint="eastAsia" w:ascii="Times New Roman" w:hAnsi="Times New Roman" w:eastAsia="宋体" w:cs="Times New Roman"/>
                      <w:color w:val="auto"/>
                      <w:sz w:val="21"/>
                      <w:szCs w:val="21"/>
                      <w:highlight w:val="none"/>
                      <w:lang w:bidi="ar"/>
                    </w:rPr>
                    <w:t>.</w:t>
                  </w:r>
                  <w:r>
                    <w:rPr>
                      <w:rFonts w:hint="eastAsia" w:ascii="Times New Roman" w:hAnsi="Times New Roman" w:eastAsia="宋体" w:cs="Times New Roman"/>
                      <w:color w:val="auto"/>
                      <w:sz w:val="21"/>
                      <w:szCs w:val="21"/>
                      <w:highlight w:val="none"/>
                      <w:lang w:val="en-US" w:eastAsia="zh-CN" w:bidi="ar"/>
                    </w:rPr>
                    <w:t>5</w:t>
                  </w:r>
                </w:p>
              </w:tc>
              <w:tc>
                <w:tcPr>
                  <w:tcW w:w="1225" w:type="dxa"/>
                  <w:noWrap w:val="0"/>
                  <w:vAlign w:val="center"/>
                </w:tcPr>
                <w:p w14:paraId="43C010AE">
                  <w:pPr>
                    <w:spacing w:line="340" w:lineRule="exact"/>
                    <w:ind w:firstLine="0" w:firstLineChars="0"/>
                    <w:jc w:val="center"/>
                    <w:rPr>
                      <w:rFonts w:hint="eastAsia"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sz w:val="21"/>
                      <w:szCs w:val="21"/>
                      <w:highlight w:val="none"/>
                      <w:lang w:bidi="ar"/>
                    </w:rPr>
                    <w:t>4</w:t>
                  </w:r>
                  <w:r>
                    <w:rPr>
                      <w:rFonts w:hint="eastAsia" w:ascii="Times New Roman" w:hAnsi="Times New Roman" w:eastAsia="宋体" w:cs="Times New Roman"/>
                      <w:color w:val="auto"/>
                      <w:sz w:val="21"/>
                      <w:szCs w:val="21"/>
                      <w:highlight w:val="none"/>
                      <w:lang w:val="en-US" w:eastAsia="zh-CN" w:bidi="ar"/>
                    </w:rPr>
                    <w:t>5</w:t>
                  </w:r>
                  <w:r>
                    <w:rPr>
                      <w:rFonts w:hint="eastAsia" w:ascii="Times New Roman" w:hAnsi="Times New Roman" w:eastAsia="宋体" w:cs="Times New Roman"/>
                      <w:color w:val="auto"/>
                      <w:sz w:val="21"/>
                      <w:szCs w:val="21"/>
                      <w:highlight w:val="none"/>
                      <w:lang w:bidi="ar"/>
                    </w:rPr>
                    <w:t>.</w:t>
                  </w:r>
                  <w:r>
                    <w:rPr>
                      <w:rFonts w:hint="eastAsia" w:ascii="Times New Roman" w:hAnsi="Times New Roman" w:eastAsia="宋体" w:cs="Times New Roman"/>
                      <w:color w:val="auto"/>
                      <w:sz w:val="21"/>
                      <w:szCs w:val="21"/>
                      <w:highlight w:val="none"/>
                      <w:lang w:val="en-US" w:eastAsia="zh-CN" w:bidi="ar"/>
                    </w:rPr>
                    <w:t>5</w:t>
                  </w:r>
                </w:p>
              </w:tc>
              <w:tc>
                <w:tcPr>
                  <w:tcW w:w="1225" w:type="dxa"/>
                  <w:noWrap w:val="0"/>
                  <w:vAlign w:val="center"/>
                </w:tcPr>
                <w:p w14:paraId="6F273438">
                  <w:pPr>
                    <w:spacing w:line="340" w:lineRule="exact"/>
                    <w:ind w:firstLine="0" w:firstLineChars="0"/>
                    <w:jc w:val="center"/>
                    <w:rPr>
                      <w:color w:val="auto"/>
                      <w:sz w:val="21"/>
                      <w:szCs w:val="21"/>
                      <w:highlight w:val="none"/>
                      <w:lang w:bidi="ar"/>
                    </w:rPr>
                  </w:pPr>
                  <w:r>
                    <w:rPr>
                      <w:rFonts w:hint="eastAsia"/>
                      <w:color w:val="auto"/>
                      <w:sz w:val="21"/>
                      <w:szCs w:val="21"/>
                      <w:highlight w:val="none"/>
                      <w:lang w:bidi="ar"/>
                    </w:rPr>
                    <w:t>65</w:t>
                  </w:r>
                </w:p>
              </w:tc>
              <w:tc>
                <w:tcPr>
                  <w:tcW w:w="1225" w:type="dxa"/>
                  <w:noWrap w:val="0"/>
                  <w:vAlign w:val="center"/>
                </w:tcPr>
                <w:p w14:paraId="6A3ACCBF">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55</w:t>
                  </w:r>
                </w:p>
              </w:tc>
              <w:tc>
                <w:tcPr>
                  <w:tcW w:w="922" w:type="dxa"/>
                  <w:vMerge w:val="continue"/>
                  <w:noWrap w:val="0"/>
                  <w:vAlign w:val="center"/>
                </w:tcPr>
                <w:p w14:paraId="3A101809">
                  <w:pPr>
                    <w:spacing w:line="340" w:lineRule="exact"/>
                    <w:ind w:firstLine="0" w:firstLineChars="0"/>
                    <w:jc w:val="center"/>
                    <w:rPr>
                      <w:color w:val="auto"/>
                      <w:sz w:val="21"/>
                      <w:szCs w:val="21"/>
                      <w:highlight w:val="none"/>
                      <w:lang w:bidi="ar"/>
                    </w:rPr>
                  </w:pPr>
                </w:p>
              </w:tc>
            </w:tr>
          </w:tbl>
          <w:p w14:paraId="1AC9DD0F">
            <w:pPr>
              <w:pStyle w:val="59"/>
              <w:ind w:left="0" w:firstLine="0" w:firstLineChars="0"/>
              <w:rPr>
                <w:color w:val="auto"/>
                <w:highlight w:val="none"/>
              </w:rPr>
            </w:pPr>
          </w:p>
          <w:p w14:paraId="3F8DE2C8">
            <w:pPr>
              <w:pStyle w:val="59"/>
              <w:ind w:left="0" w:firstLine="0" w:firstLineChars="0"/>
              <w:rPr>
                <w:color w:val="auto"/>
                <w:highlight w:val="none"/>
              </w:rPr>
            </w:pPr>
          </w:p>
          <w:p w14:paraId="5C931C14">
            <w:pPr>
              <w:pStyle w:val="59"/>
              <w:ind w:left="0" w:firstLine="0" w:firstLineChars="0"/>
              <w:rPr>
                <w:color w:val="auto"/>
                <w:highlight w:val="none"/>
              </w:rPr>
            </w:pPr>
          </w:p>
          <w:p w14:paraId="0042A923">
            <w:pPr>
              <w:pStyle w:val="59"/>
              <w:ind w:left="0" w:firstLine="0" w:firstLineChars="0"/>
              <w:rPr>
                <w:color w:val="auto"/>
                <w:highlight w:val="none"/>
              </w:rPr>
            </w:pPr>
            <w:r>
              <w:rPr>
                <w:color w:val="auto"/>
                <w:highlight w:val="none"/>
              </w:rPr>
              <w:t>表4.</w:t>
            </w:r>
            <w:r>
              <w:rPr>
                <w:rFonts w:hint="eastAsia"/>
                <w:color w:val="auto"/>
                <w:highlight w:val="none"/>
              </w:rPr>
              <w:t>2</w:t>
            </w:r>
            <w:r>
              <w:rPr>
                <w:color w:val="auto"/>
                <w:highlight w:val="none"/>
              </w:rPr>
              <w:t>-</w:t>
            </w:r>
            <w:r>
              <w:rPr>
                <w:rFonts w:hint="eastAsia"/>
                <w:color w:val="auto"/>
                <w:highlight w:val="none"/>
                <w:lang w:val="en-US" w:eastAsia="zh-CN"/>
              </w:rPr>
              <w:t>22</w:t>
            </w:r>
            <w:r>
              <w:rPr>
                <w:color w:val="auto"/>
                <w:highlight w:val="none"/>
              </w:rPr>
              <w:t xml:space="preserve">  厂界噪声预测结果</w:t>
            </w:r>
            <w:r>
              <w:rPr>
                <w:rFonts w:hint="eastAsia"/>
                <w:color w:val="auto"/>
                <w:highlight w:val="none"/>
                <w:lang w:eastAsia="zh-CN"/>
              </w:rPr>
              <w:t>（</w:t>
            </w:r>
            <w:r>
              <w:rPr>
                <w:rFonts w:hint="eastAsia"/>
                <w:color w:val="auto"/>
                <w:highlight w:val="none"/>
                <w:lang w:val="en-US" w:eastAsia="zh-CN"/>
              </w:rPr>
              <w:t>全厂</w:t>
            </w:r>
            <w:r>
              <w:rPr>
                <w:rFonts w:hint="eastAsia"/>
                <w:color w:val="auto"/>
                <w:highlight w:val="none"/>
                <w:lang w:eastAsia="zh-CN"/>
              </w:rPr>
              <w:t>）</w:t>
            </w:r>
            <w:r>
              <w:rPr>
                <w:color w:val="auto"/>
                <w:highlight w:val="none"/>
              </w:rPr>
              <w:t xml:space="preserve">   单位：dB</w:t>
            </w:r>
            <w:r>
              <w:rPr>
                <w:rFonts w:hint="eastAsia"/>
                <w:color w:val="auto"/>
                <w:highlight w:val="none"/>
              </w:rPr>
              <w:t>（A）</w:t>
            </w:r>
          </w:p>
          <w:tbl>
            <w:tblPr>
              <w:tblStyle w:val="27"/>
              <w:tblW w:w="851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120"/>
              <w:gridCol w:w="1575"/>
              <w:gridCol w:w="1225"/>
              <w:gridCol w:w="1225"/>
              <w:gridCol w:w="1225"/>
              <w:gridCol w:w="1225"/>
              <w:gridCol w:w="922"/>
            </w:tblGrid>
            <w:tr w14:paraId="3048ED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8" w:hRule="atLeast"/>
                <w:jc w:val="center"/>
              </w:trPr>
              <w:tc>
                <w:tcPr>
                  <w:tcW w:w="1120" w:type="dxa"/>
                  <w:vMerge w:val="restart"/>
                  <w:noWrap w:val="0"/>
                  <w:vAlign w:val="center"/>
                </w:tcPr>
                <w:p w14:paraId="411B4636">
                  <w:pPr>
                    <w:spacing w:line="340" w:lineRule="exact"/>
                    <w:ind w:firstLine="0" w:firstLineChars="0"/>
                    <w:jc w:val="center"/>
                    <w:rPr>
                      <w:b/>
                      <w:bCs/>
                      <w:color w:val="auto"/>
                      <w:sz w:val="21"/>
                      <w:szCs w:val="21"/>
                      <w:highlight w:val="none"/>
                      <w:lang w:bidi="ar"/>
                    </w:rPr>
                  </w:pPr>
                  <w:r>
                    <w:rPr>
                      <w:b/>
                      <w:bCs/>
                      <w:color w:val="auto"/>
                      <w:sz w:val="21"/>
                      <w:szCs w:val="21"/>
                      <w:highlight w:val="none"/>
                      <w:lang w:bidi="ar"/>
                    </w:rPr>
                    <w:t>编号</w:t>
                  </w:r>
                </w:p>
              </w:tc>
              <w:tc>
                <w:tcPr>
                  <w:tcW w:w="1575" w:type="dxa"/>
                  <w:vMerge w:val="restart"/>
                  <w:noWrap w:val="0"/>
                  <w:vAlign w:val="center"/>
                </w:tcPr>
                <w:p w14:paraId="7C2BA24E">
                  <w:pPr>
                    <w:spacing w:line="340" w:lineRule="exact"/>
                    <w:ind w:firstLine="0" w:firstLineChars="0"/>
                    <w:jc w:val="center"/>
                    <w:rPr>
                      <w:b/>
                      <w:bCs/>
                      <w:color w:val="auto"/>
                      <w:sz w:val="21"/>
                      <w:szCs w:val="21"/>
                      <w:highlight w:val="none"/>
                      <w:lang w:bidi="ar"/>
                    </w:rPr>
                  </w:pPr>
                  <w:r>
                    <w:rPr>
                      <w:b/>
                      <w:bCs/>
                      <w:color w:val="auto"/>
                      <w:sz w:val="21"/>
                      <w:szCs w:val="21"/>
                      <w:highlight w:val="none"/>
                      <w:lang w:bidi="ar"/>
                    </w:rPr>
                    <w:t>测点位置</w:t>
                  </w:r>
                </w:p>
              </w:tc>
              <w:tc>
                <w:tcPr>
                  <w:tcW w:w="2450" w:type="dxa"/>
                  <w:gridSpan w:val="2"/>
                  <w:noWrap w:val="0"/>
                  <w:vAlign w:val="center"/>
                </w:tcPr>
                <w:p w14:paraId="0920031A">
                  <w:pPr>
                    <w:spacing w:line="340" w:lineRule="exact"/>
                    <w:ind w:firstLine="0" w:firstLineChars="0"/>
                    <w:jc w:val="center"/>
                    <w:rPr>
                      <w:rFonts w:hint="eastAsia"/>
                      <w:b/>
                      <w:bCs/>
                      <w:color w:val="auto"/>
                      <w:sz w:val="21"/>
                      <w:szCs w:val="21"/>
                      <w:highlight w:val="none"/>
                      <w:lang w:val="en-US" w:eastAsia="zh-CN" w:bidi="ar"/>
                    </w:rPr>
                  </w:pPr>
                  <w:r>
                    <w:rPr>
                      <w:rFonts w:hint="eastAsia"/>
                      <w:b/>
                      <w:bCs/>
                      <w:color w:val="auto"/>
                      <w:sz w:val="21"/>
                      <w:szCs w:val="21"/>
                      <w:highlight w:val="none"/>
                      <w:lang w:val="en-US" w:eastAsia="zh-CN" w:bidi="ar"/>
                    </w:rPr>
                    <w:t>噪声预测值</w:t>
                  </w:r>
                </w:p>
              </w:tc>
              <w:tc>
                <w:tcPr>
                  <w:tcW w:w="2450" w:type="dxa"/>
                  <w:gridSpan w:val="2"/>
                  <w:noWrap w:val="0"/>
                  <w:vAlign w:val="center"/>
                </w:tcPr>
                <w:p w14:paraId="17606387">
                  <w:pPr>
                    <w:spacing w:line="340" w:lineRule="exact"/>
                    <w:ind w:firstLine="0" w:firstLineChars="0"/>
                    <w:jc w:val="center"/>
                    <w:rPr>
                      <w:b/>
                      <w:bCs/>
                      <w:color w:val="auto"/>
                      <w:sz w:val="21"/>
                      <w:szCs w:val="21"/>
                      <w:highlight w:val="none"/>
                      <w:lang w:bidi="ar"/>
                    </w:rPr>
                  </w:pPr>
                  <w:r>
                    <w:rPr>
                      <w:b/>
                      <w:bCs/>
                      <w:color w:val="auto"/>
                      <w:sz w:val="21"/>
                      <w:szCs w:val="21"/>
                      <w:highlight w:val="none"/>
                      <w:lang w:bidi="ar"/>
                    </w:rPr>
                    <w:t>标准值</w:t>
                  </w:r>
                </w:p>
              </w:tc>
              <w:tc>
                <w:tcPr>
                  <w:tcW w:w="922" w:type="dxa"/>
                  <w:vMerge w:val="restart"/>
                  <w:noWrap w:val="0"/>
                  <w:vAlign w:val="center"/>
                </w:tcPr>
                <w:p w14:paraId="44EA532D">
                  <w:pPr>
                    <w:spacing w:line="340" w:lineRule="exact"/>
                    <w:ind w:firstLine="0" w:firstLineChars="0"/>
                    <w:jc w:val="center"/>
                    <w:rPr>
                      <w:b/>
                      <w:bCs/>
                      <w:color w:val="auto"/>
                      <w:sz w:val="21"/>
                      <w:szCs w:val="21"/>
                      <w:highlight w:val="none"/>
                      <w:lang w:bidi="ar"/>
                    </w:rPr>
                  </w:pPr>
                  <w:r>
                    <w:rPr>
                      <w:b/>
                      <w:bCs/>
                      <w:color w:val="auto"/>
                      <w:sz w:val="21"/>
                      <w:szCs w:val="21"/>
                      <w:highlight w:val="none"/>
                      <w:lang w:bidi="ar"/>
                    </w:rPr>
                    <w:t>达标情况</w:t>
                  </w:r>
                </w:p>
              </w:tc>
            </w:tr>
            <w:tr w14:paraId="5CBC7A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0" w:type="dxa"/>
                  <w:vMerge w:val="continue"/>
                  <w:noWrap w:val="0"/>
                  <w:vAlign w:val="center"/>
                </w:tcPr>
                <w:p w14:paraId="3B79DB24">
                  <w:pPr>
                    <w:spacing w:line="340" w:lineRule="exact"/>
                    <w:ind w:firstLine="0" w:firstLineChars="0"/>
                    <w:jc w:val="center"/>
                    <w:rPr>
                      <w:b/>
                      <w:bCs/>
                      <w:color w:val="auto"/>
                      <w:sz w:val="21"/>
                      <w:szCs w:val="21"/>
                      <w:highlight w:val="none"/>
                      <w:lang w:bidi="ar"/>
                    </w:rPr>
                  </w:pPr>
                </w:p>
              </w:tc>
              <w:tc>
                <w:tcPr>
                  <w:tcW w:w="1575" w:type="dxa"/>
                  <w:vMerge w:val="continue"/>
                  <w:noWrap w:val="0"/>
                  <w:vAlign w:val="center"/>
                </w:tcPr>
                <w:p w14:paraId="32234A59">
                  <w:pPr>
                    <w:spacing w:line="340" w:lineRule="exact"/>
                    <w:ind w:firstLine="0" w:firstLineChars="0"/>
                    <w:jc w:val="center"/>
                    <w:rPr>
                      <w:b/>
                      <w:bCs/>
                      <w:color w:val="auto"/>
                      <w:sz w:val="21"/>
                      <w:szCs w:val="21"/>
                      <w:highlight w:val="none"/>
                      <w:lang w:bidi="ar"/>
                    </w:rPr>
                  </w:pPr>
                </w:p>
              </w:tc>
              <w:tc>
                <w:tcPr>
                  <w:tcW w:w="1225" w:type="dxa"/>
                  <w:noWrap w:val="0"/>
                  <w:vAlign w:val="center"/>
                </w:tcPr>
                <w:p w14:paraId="23C4D72C">
                  <w:pPr>
                    <w:spacing w:line="340" w:lineRule="exact"/>
                    <w:ind w:firstLine="0" w:firstLineChars="0"/>
                    <w:jc w:val="center"/>
                    <w:rPr>
                      <w:b/>
                      <w:bCs/>
                      <w:color w:val="auto"/>
                      <w:sz w:val="21"/>
                      <w:szCs w:val="21"/>
                      <w:highlight w:val="none"/>
                      <w:lang w:bidi="ar"/>
                    </w:rPr>
                  </w:pPr>
                  <w:r>
                    <w:rPr>
                      <w:b/>
                      <w:bCs/>
                      <w:color w:val="auto"/>
                      <w:sz w:val="21"/>
                      <w:szCs w:val="21"/>
                      <w:highlight w:val="none"/>
                      <w:lang w:bidi="ar"/>
                    </w:rPr>
                    <w:t>昼间</w:t>
                  </w:r>
                </w:p>
              </w:tc>
              <w:tc>
                <w:tcPr>
                  <w:tcW w:w="1225" w:type="dxa"/>
                  <w:noWrap w:val="0"/>
                  <w:vAlign w:val="center"/>
                </w:tcPr>
                <w:p w14:paraId="45D6CB62">
                  <w:pPr>
                    <w:spacing w:line="340" w:lineRule="exact"/>
                    <w:ind w:firstLine="0" w:firstLineChars="0"/>
                    <w:jc w:val="center"/>
                    <w:rPr>
                      <w:b/>
                      <w:bCs/>
                      <w:color w:val="auto"/>
                      <w:sz w:val="21"/>
                      <w:szCs w:val="21"/>
                      <w:highlight w:val="none"/>
                      <w:lang w:bidi="ar"/>
                    </w:rPr>
                  </w:pPr>
                  <w:r>
                    <w:rPr>
                      <w:rFonts w:hint="eastAsia"/>
                      <w:b/>
                      <w:bCs/>
                      <w:color w:val="auto"/>
                      <w:sz w:val="21"/>
                      <w:szCs w:val="21"/>
                      <w:highlight w:val="none"/>
                      <w:lang w:bidi="ar"/>
                    </w:rPr>
                    <w:t>夜间</w:t>
                  </w:r>
                </w:p>
              </w:tc>
              <w:tc>
                <w:tcPr>
                  <w:tcW w:w="1225" w:type="dxa"/>
                  <w:noWrap w:val="0"/>
                  <w:vAlign w:val="center"/>
                </w:tcPr>
                <w:p w14:paraId="3CB47B5A">
                  <w:pPr>
                    <w:spacing w:line="340" w:lineRule="exact"/>
                    <w:ind w:firstLine="0" w:firstLineChars="0"/>
                    <w:jc w:val="center"/>
                    <w:rPr>
                      <w:b/>
                      <w:bCs/>
                      <w:color w:val="auto"/>
                      <w:sz w:val="21"/>
                      <w:szCs w:val="21"/>
                      <w:highlight w:val="none"/>
                      <w:lang w:bidi="ar"/>
                    </w:rPr>
                  </w:pPr>
                  <w:r>
                    <w:rPr>
                      <w:b/>
                      <w:bCs/>
                      <w:color w:val="auto"/>
                      <w:sz w:val="21"/>
                      <w:szCs w:val="21"/>
                      <w:highlight w:val="none"/>
                      <w:lang w:bidi="ar"/>
                    </w:rPr>
                    <w:t>昼间</w:t>
                  </w:r>
                </w:p>
              </w:tc>
              <w:tc>
                <w:tcPr>
                  <w:tcW w:w="1225" w:type="dxa"/>
                  <w:noWrap w:val="0"/>
                  <w:vAlign w:val="center"/>
                </w:tcPr>
                <w:p w14:paraId="320A0B70">
                  <w:pPr>
                    <w:spacing w:line="340" w:lineRule="exact"/>
                    <w:ind w:firstLine="0" w:firstLineChars="0"/>
                    <w:jc w:val="center"/>
                    <w:rPr>
                      <w:b/>
                      <w:bCs/>
                      <w:color w:val="auto"/>
                      <w:sz w:val="21"/>
                      <w:szCs w:val="21"/>
                      <w:highlight w:val="none"/>
                      <w:lang w:bidi="ar"/>
                    </w:rPr>
                  </w:pPr>
                  <w:r>
                    <w:rPr>
                      <w:rFonts w:hint="eastAsia"/>
                      <w:b/>
                      <w:bCs/>
                      <w:color w:val="auto"/>
                      <w:sz w:val="21"/>
                      <w:szCs w:val="21"/>
                      <w:highlight w:val="none"/>
                      <w:lang w:bidi="ar"/>
                    </w:rPr>
                    <w:t>夜间</w:t>
                  </w:r>
                </w:p>
              </w:tc>
              <w:tc>
                <w:tcPr>
                  <w:tcW w:w="922" w:type="dxa"/>
                  <w:vMerge w:val="continue"/>
                  <w:noWrap w:val="0"/>
                  <w:vAlign w:val="center"/>
                </w:tcPr>
                <w:p w14:paraId="5F8CEF89">
                  <w:pPr>
                    <w:spacing w:line="340" w:lineRule="exact"/>
                    <w:ind w:firstLine="0" w:firstLineChars="0"/>
                    <w:jc w:val="center"/>
                    <w:rPr>
                      <w:b/>
                      <w:bCs/>
                      <w:color w:val="auto"/>
                      <w:sz w:val="21"/>
                      <w:szCs w:val="21"/>
                      <w:highlight w:val="none"/>
                      <w:lang w:bidi="ar"/>
                    </w:rPr>
                  </w:pPr>
                </w:p>
              </w:tc>
            </w:tr>
            <w:tr w14:paraId="45CA6E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1120" w:type="dxa"/>
                  <w:noWrap w:val="0"/>
                  <w:vAlign w:val="center"/>
                </w:tcPr>
                <w:p w14:paraId="48F7F49D">
                  <w:pPr>
                    <w:spacing w:line="340" w:lineRule="exact"/>
                    <w:ind w:firstLine="0" w:firstLineChars="0"/>
                    <w:jc w:val="center"/>
                    <w:rPr>
                      <w:color w:val="auto"/>
                      <w:sz w:val="21"/>
                      <w:szCs w:val="21"/>
                      <w:highlight w:val="none"/>
                      <w:lang w:bidi="ar"/>
                    </w:rPr>
                  </w:pPr>
                  <w:r>
                    <w:rPr>
                      <w:color w:val="auto"/>
                      <w:sz w:val="21"/>
                      <w:szCs w:val="21"/>
                      <w:highlight w:val="none"/>
                      <w:lang w:bidi="ar"/>
                    </w:rPr>
                    <w:t>1</w:t>
                  </w:r>
                </w:p>
              </w:tc>
              <w:tc>
                <w:tcPr>
                  <w:tcW w:w="1575" w:type="dxa"/>
                  <w:noWrap w:val="0"/>
                  <w:vAlign w:val="center"/>
                </w:tcPr>
                <w:p w14:paraId="22479244">
                  <w:pPr>
                    <w:spacing w:line="340" w:lineRule="exact"/>
                    <w:ind w:firstLine="0" w:firstLineChars="0"/>
                    <w:jc w:val="center"/>
                    <w:rPr>
                      <w:color w:val="auto"/>
                      <w:sz w:val="21"/>
                      <w:szCs w:val="21"/>
                      <w:highlight w:val="none"/>
                      <w:lang w:bidi="ar"/>
                    </w:rPr>
                  </w:pPr>
                  <w:r>
                    <w:rPr>
                      <w:color w:val="auto"/>
                      <w:sz w:val="21"/>
                      <w:szCs w:val="21"/>
                      <w:highlight w:val="none"/>
                      <w:lang w:bidi="ar"/>
                    </w:rPr>
                    <w:t>东侧厂界</w:t>
                  </w:r>
                </w:p>
              </w:tc>
              <w:tc>
                <w:tcPr>
                  <w:tcW w:w="1225" w:type="dxa"/>
                  <w:noWrap w:val="0"/>
                  <w:vAlign w:val="center"/>
                </w:tcPr>
                <w:p w14:paraId="5ECF2A36">
                  <w:pPr>
                    <w:spacing w:line="340" w:lineRule="exact"/>
                    <w:ind w:firstLine="0" w:firstLineChars="0"/>
                    <w:jc w:val="center"/>
                    <w:rPr>
                      <w:rFonts w:hint="default" w:ascii="Times New Roman" w:hAnsi="Times New Roman" w:eastAsia="宋体" w:cs="Times New Roman"/>
                      <w:color w:val="auto"/>
                      <w:sz w:val="21"/>
                      <w:szCs w:val="21"/>
                      <w:highlight w:val="none"/>
                      <w:lang w:val="en-US" w:bidi="ar"/>
                    </w:rPr>
                  </w:pPr>
                  <w:r>
                    <w:rPr>
                      <w:rFonts w:hint="eastAsia" w:cs="Times New Roman"/>
                      <w:color w:val="auto"/>
                      <w:sz w:val="21"/>
                      <w:szCs w:val="21"/>
                      <w:highlight w:val="none"/>
                      <w:lang w:val="en-US" w:eastAsia="zh-CN" w:bidi="ar"/>
                    </w:rPr>
                    <w:t>51.5</w:t>
                  </w:r>
                </w:p>
              </w:tc>
              <w:tc>
                <w:tcPr>
                  <w:tcW w:w="1225" w:type="dxa"/>
                  <w:noWrap w:val="0"/>
                  <w:vAlign w:val="center"/>
                </w:tcPr>
                <w:p w14:paraId="2FF798B3">
                  <w:pPr>
                    <w:spacing w:line="340" w:lineRule="exact"/>
                    <w:ind w:firstLine="0" w:firstLineChars="0"/>
                    <w:jc w:val="center"/>
                    <w:rPr>
                      <w:rFonts w:hint="default" w:ascii="Times New Roman" w:hAnsi="Times New Roman"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51.5</w:t>
                  </w:r>
                </w:p>
              </w:tc>
              <w:tc>
                <w:tcPr>
                  <w:tcW w:w="1225" w:type="dxa"/>
                  <w:noWrap w:val="0"/>
                  <w:vAlign w:val="center"/>
                </w:tcPr>
                <w:p w14:paraId="541F069F">
                  <w:pPr>
                    <w:spacing w:line="340" w:lineRule="exact"/>
                    <w:ind w:firstLine="0" w:firstLineChars="0"/>
                    <w:jc w:val="center"/>
                    <w:rPr>
                      <w:rFonts w:hint="default" w:eastAsia="宋体"/>
                      <w:color w:val="auto"/>
                      <w:sz w:val="21"/>
                      <w:szCs w:val="21"/>
                      <w:highlight w:val="none"/>
                      <w:lang w:val="en-US" w:eastAsia="zh-CN" w:bidi="ar"/>
                    </w:rPr>
                  </w:pPr>
                  <w:r>
                    <w:rPr>
                      <w:rFonts w:hint="eastAsia"/>
                      <w:color w:val="auto"/>
                      <w:sz w:val="21"/>
                      <w:szCs w:val="21"/>
                      <w:highlight w:val="none"/>
                      <w:lang w:val="en-US" w:eastAsia="zh-CN" w:bidi="ar"/>
                    </w:rPr>
                    <w:t>70</w:t>
                  </w:r>
                </w:p>
              </w:tc>
              <w:tc>
                <w:tcPr>
                  <w:tcW w:w="1225" w:type="dxa"/>
                  <w:noWrap w:val="0"/>
                  <w:vAlign w:val="center"/>
                </w:tcPr>
                <w:p w14:paraId="73BD93B7">
                  <w:pPr>
                    <w:spacing w:line="340" w:lineRule="exact"/>
                    <w:ind w:firstLine="0" w:firstLineChars="0"/>
                    <w:jc w:val="center"/>
                    <w:rPr>
                      <w:rFonts w:hint="default" w:eastAsia="宋体"/>
                      <w:color w:val="auto"/>
                      <w:sz w:val="21"/>
                      <w:szCs w:val="21"/>
                      <w:highlight w:val="none"/>
                      <w:lang w:val="en-US" w:eastAsia="zh-CN" w:bidi="ar"/>
                    </w:rPr>
                  </w:pPr>
                  <w:r>
                    <w:rPr>
                      <w:rFonts w:hint="eastAsia"/>
                      <w:color w:val="auto"/>
                      <w:sz w:val="21"/>
                      <w:szCs w:val="21"/>
                      <w:highlight w:val="none"/>
                      <w:lang w:val="en-US" w:eastAsia="zh-CN" w:bidi="ar"/>
                    </w:rPr>
                    <w:t>55</w:t>
                  </w:r>
                </w:p>
              </w:tc>
              <w:tc>
                <w:tcPr>
                  <w:tcW w:w="922" w:type="dxa"/>
                  <w:vMerge w:val="restart"/>
                  <w:noWrap w:val="0"/>
                  <w:vAlign w:val="center"/>
                </w:tcPr>
                <w:p w14:paraId="5091F4CE">
                  <w:pPr>
                    <w:spacing w:line="340" w:lineRule="exact"/>
                    <w:ind w:firstLine="0" w:firstLineChars="0"/>
                    <w:jc w:val="center"/>
                    <w:rPr>
                      <w:color w:val="auto"/>
                      <w:sz w:val="21"/>
                      <w:szCs w:val="21"/>
                      <w:highlight w:val="none"/>
                      <w:lang w:bidi="ar"/>
                    </w:rPr>
                  </w:pPr>
                  <w:r>
                    <w:rPr>
                      <w:color w:val="auto"/>
                      <w:sz w:val="21"/>
                      <w:szCs w:val="21"/>
                      <w:highlight w:val="none"/>
                      <w:lang w:bidi="ar"/>
                    </w:rPr>
                    <w:t>达标</w:t>
                  </w:r>
                </w:p>
              </w:tc>
            </w:tr>
            <w:tr w14:paraId="26A4D2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1120" w:type="dxa"/>
                  <w:noWrap w:val="0"/>
                  <w:vAlign w:val="center"/>
                </w:tcPr>
                <w:p w14:paraId="5DF7E4C2">
                  <w:pPr>
                    <w:spacing w:line="340" w:lineRule="exact"/>
                    <w:ind w:firstLine="0" w:firstLineChars="0"/>
                    <w:jc w:val="center"/>
                    <w:rPr>
                      <w:color w:val="auto"/>
                      <w:sz w:val="21"/>
                      <w:szCs w:val="21"/>
                      <w:highlight w:val="none"/>
                      <w:lang w:bidi="ar"/>
                    </w:rPr>
                  </w:pPr>
                  <w:r>
                    <w:rPr>
                      <w:color w:val="auto"/>
                      <w:sz w:val="21"/>
                      <w:szCs w:val="21"/>
                      <w:highlight w:val="none"/>
                      <w:lang w:bidi="ar"/>
                    </w:rPr>
                    <w:t>2</w:t>
                  </w:r>
                </w:p>
              </w:tc>
              <w:tc>
                <w:tcPr>
                  <w:tcW w:w="1575" w:type="dxa"/>
                  <w:noWrap w:val="0"/>
                  <w:vAlign w:val="center"/>
                </w:tcPr>
                <w:p w14:paraId="4B900F00">
                  <w:pPr>
                    <w:spacing w:line="340" w:lineRule="exact"/>
                    <w:ind w:firstLine="0" w:firstLineChars="0"/>
                    <w:jc w:val="center"/>
                    <w:rPr>
                      <w:color w:val="auto"/>
                      <w:sz w:val="21"/>
                      <w:szCs w:val="21"/>
                      <w:highlight w:val="none"/>
                      <w:lang w:bidi="ar"/>
                    </w:rPr>
                  </w:pPr>
                  <w:r>
                    <w:rPr>
                      <w:rFonts w:hint="eastAsia"/>
                      <w:color w:val="auto"/>
                      <w:sz w:val="21"/>
                      <w:szCs w:val="21"/>
                      <w:highlight w:val="none"/>
                      <w:lang w:bidi="ar"/>
                    </w:rPr>
                    <w:t>北</w:t>
                  </w:r>
                  <w:r>
                    <w:rPr>
                      <w:color w:val="auto"/>
                      <w:sz w:val="21"/>
                      <w:szCs w:val="21"/>
                      <w:highlight w:val="none"/>
                      <w:lang w:bidi="ar"/>
                    </w:rPr>
                    <w:t>侧厂界</w:t>
                  </w:r>
                </w:p>
              </w:tc>
              <w:tc>
                <w:tcPr>
                  <w:tcW w:w="1225" w:type="dxa"/>
                  <w:noWrap w:val="0"/>
                  <w:vAlign w:val="center"/>
                </w:tcPr>
                <w:p w14:paraId="76BF57CE">
                  <w:pPr>
                    <w:spacing w:line="340" w:lineRule="exact"/>
                    <w:ind w:firstLine="0" w:firstLineChars="0"/>
                    <w:jc w:val="center"/>
                    <w:rPr>
                      <w:rFonts w:hint="default" w:ascii="Times New Roman" w:hAnsi="Times New Roman"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49.2</w:t>
                  </w:r>
                </w:p>
              </w:tc>
              <w:tc>
                <w:tcPr>
                  <w:tcW w:w="1225" w:type="dxa"/>
                  <w:noWrap w:val="0"/>
                  <w:vAlign w:val="center"/>
                </w:tcPr>
                <w:p w14:paraId="04D40443">
                  <w:pPr>
                    <w:spacing w:line="340" w:lineRule="exact"/>
                    <w:ind w:firstLine="0" w:firstLineChars="0"/>
                    <w:jc w:val="center"/>
                    <w:rPr>
                      <w:rFonts w:hint="default" w:ascii="Times New Roman" w:hAnsi="Times New Roman"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49.2</w:t>
                  </w:r>
                </w:p>
              </w:tc>
              <w:tc>
                <w:tcPr>
                  <w:tcW w:w="1225" w:type="dxa"/>
                  <w:noWrap w:val="0"/>
                  <w:vAlign w:val="center"/>
                </w:tcPr>
                <w:p w14:paraId="576C031C">
                  <w:pPr>
                    <w:spacing w:line="340" w:lineRule="exact"/>
                    <w:ind w:firstLine="0" w:firstLineChars="0"/>
                    <w:jc w:val="center"/>
                    <w:rPr>
                      <w:color w:val="auto"/>
                      <w:sz w:val="21"/>
                      <w:szCs w:val="21"/>
                      <w:highlight w:val="none"/>
                      <w:lang w:bidi="ar"/>
                    </w:rPr>
                  </w:pPr>
                  <w:r>
                    <w:rPr>
                      <w:rFonts w:hint="eastAsia"/>
                      <w:color w:val="auto"/>
                      <w:sz w:val="21"/>
                      <w:szCs w:val="21"/>
                      <w:highlight w:val="none"/>
                      <w:lang w:bidi="ar"/>
                    </w:rPr>
                    <w:t>65</w:t>
                  </w:r>
                </w:p>
              </w:tc>
              <w:tc>
                <w:tcPr>
                  <w:tcW w:w="1225" w:type="dxa"/>
                  <w:noWrap w:val="0"/>
                  <w:vAlign w:val="center"/>
                </w:tcPr>
                <w:p w14:paraId="6351EAAB">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55</w:t>
                  </w:r>
                </w:p>
              </w:tc>
              <w:tc>
                <w:tcPr>
                  <w:tcW w:w="922" w:type="dxa"/>
                  <w:vMerge w:val="continue"/>
                  <w:noWrap w:val="0"/>
                  <w:vAlign w:val="center"/>
                </w:tcPr>
                <w:p w14:paraId="5D932D77">
                  <w:pPr>
                    <w:spacing w:line="340" w:lineRule="exact"/>
                    <w:ind w:firstLine="0" w:firstLineChars="0"/>
                    <w:jc w:val="center"/>
                    <w:rPr>
                      <w:color w:val="auto"/>
                      <w:sz w:val="21"/>
                      <w:szCs w:val="21"/>
                      <w:highlight w:val="none"/>
                      <w:lang w:bidi="ar"/>
                    </w:rPr>
                  </w:pPr>
                </w:p>
              </w:tc>
            </w:tr>
            <w:tr w14:paraId="7AD90B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1120" w:type="dxa"/>
                  <w:noWrap w:val="0"/>
                  <w:vAlign w:val="center"/>
                </w:tcPr>
                <w:p w14:paraId="0E74C1F5">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3</w:t>
                  </w:r>
                </w:p>
              </w:tc>
              <w:tc>
                <w:tcPr>
                  <w:tcW w:w="1575" w:type="dxa"/>
                  <w:noWrap w:val="0"/>
                  <w:vAlign w:val="center"/>
                </w:tcPr>
                <w:p w14:paraId="2D99774D">
                  <w:pPr>
                    <w:spacing w:line="340" w:lineRule="exact"/>
                    <w:ind w:firstLine="0" w:firstLineChars="0"/>
                    <w:jc w:val="center"/>
                    <w:rPr>
                      <w:color w:val="auto"/>
                      <w:sz w:val="21"/>
                      <w:szCs w:val="21"/>
                      <w:highlight w:val="none"/>
                      <w:lang w:bidi="ar"/>
                    </w:rPr>
                  </w:pPr>
                  <w:r>
                    <w:rPr>
                      <w:rFonts w:hint="eastAsia"/>
                      <w:color w:val="auto"/>
                      <w:sz w:val="21"/>
                      <w:szCs w:val="21"/>
                      <w:highlight w:val="none"/>
                      <w:lang w:bidi="ar"/>
                    </w:rPr>
                    <w:t>南侧厂界</w:t>
                  </w:r>
                </w:p>
              </w:tc>
              <w:tc>
                <w:tcPr>
                  <w:tcW w:w="1225" w:type="dxa"/>
                  <w:noWrap w:val="0"/>
                  <w:vAlign w:val="center"/>
                </w:tcPr>
                <w:p w14:paraId="1F1A3EE1">
                  <w:pPr>
                    <w:spacing w:line="340" w:lineRule="exact"/>
                    <w:ind w:firstLine="0" w:firstLineChars="0"/>
                    <w:jc w:val="center"/>
                    <w:rPr>
                      <w:rFonts w:hint="default" w:ascii="Times New Roman" w:hAnsi="Times New Roman"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51.0</w:t>
                  </w:r>
                </w:p>
              </w:tc>
              <w:tc>
                <w:tcPr>
                  <w:tcW w:w="1225" w:type="dxa"/>
                  <w:noWrap w:val="0"/>
                  <w:vAlign w:val="center"/>
                </w:tcPr>
                <w:p w14:paraId="71194ABE">
                  <w:pPr>
                    <w:spacing w:line="340" w:lineRule="exact"/>
                    <w:ind w:firstLine="0" w:firstLineChars="0"/>
                    <w:jc w:val="center"/>
                    <w:rPr>
                      <w:rFonts w:hint="default" w:ascii="Times New Roman" w:hAnsi="Times New Roman"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51.0</w:t>
                  </w:r>
                </w:p>
              </w:tc>
              <w:tc>
                <w:tcPr>
                  <w:tcW w:w="1225" w:type="dxa"/>
                  <w:noWrap w:val="0"/>
                  <w:vAlign w:val="center"/>
                </w:tcPr>
                <w:p w14:paraId="6153DAB8">
                  <w:pPr>
                    <w:spacing w:line="340" w:lineRule="exact"/>
                    <w:ind w:firstLine="0" w:firstLineChars="0"/>
                    <w:jc w:val="center"/>
                    <w:rPr>
                      <w:color w:val="auto"/>
                      <w:sz w:val="21"/>
                      <w:szCs w:val="21"/>
                      <w:highlight w:val="none"/>
                      <w:lang w:bidi="ar"/>
                    </w:rPr>
                  </w:pPr>
                  <w:r>
                    <w:rPr>
                      <w:rFonts w:hint="eastAsia"/>
                      <w:color w:val="auto"/>
                      <w:sz w:val="21"/>
                      <w:szCs w:val="21"/>
                      <w:highlight w:val="none"/>
                      <w:lang w:bidi="ar"/>
                    </w:rPr>
                    <w:t>65</w:t>
                  </w:r>
                </w:p>
              </w:tc>
              <w:tc>
                <w:tcPr>
                  <w:tcW w:w="1225" w:type="dxa"/>
                  <w:noWrap w:val="0"/>
                  <w:vAlign w:val="center"/>
                </w:tcPr>
                <w:p w14:paraId="659017F9">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55</w:t>
                  </w:r>
                </w:p>
              </w:tc>
              <w:tc>
                <w:tcPr>
                  <w:tcW w:w="922" w:type="dxa"/>
                  <w:vMerge w:val="continue"/>
                  <w:noWrap w:val="0"/>
                  <w:vAlign w:val="center"/>
                </w:tcPr>
                <w:p w14:paraId="0809D3BD">
                  <w:pPr>
                    <w:spacing w:line="340" w:lineRule="exact"/>
                    <w:ind w:firstLine="0" w:firstLineChars="0"/>
                    <w:jc w:val="center"/>
                    <w:rPr>
                      <w:color w:val="auto"/>
                      <w:sz w:val="21"/>
                      <w:szCs w:val="21"/>
                      <w:highlight w:val="none"/>
                      <w:lang w:bidi="ar"/>
                    </w:rPr>
                  </w:pPr>
                </w:p>
              </w:tc>
            </w:tr>
            <w:tr w14:paraId="60B309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120" w:type="dxa"/>
                  <w:noWrap w:val="0"/>
                  <w:vAlign w:val="center"/>
                </w:tcPr>
                <w:p w14:paraId="7B4B5ECC">
                  <w:pPr>
                    <w:spacing w:line="340" w:lineRule="exact"/>
                    <w:ind w:firstLine="0" w:firstLineChars="0"/>
                    <w:jc w:val="center"/>
                    <w:rPr>
                      <w:color w:val="auto"/>
                      <w:sz w:val="21"/>
                      <w:szCs w:val="21"/>
                      <w:highlight w:val="none"/>
                      <w:lang w:bidi="ar"/>
                    </w:rPr>
                  </w:pPr>
                  <w:r>
                    <w:rPr>
                      <w:rFonts w:hint="eastAsia"/>
                      <w:color w:val="auto"/>
                      <w:sz w:val="21"/>
                      <w:szCs w:val="21"/>
                      <w:highlight w:val="none"/>
                      <w:lang w:bidi="ar"/>
                    </w:rPr>
                    <w:t>4</w:t>
                  </w:r>
                </w:p>
              </w:tc>
              <w:tc>
                <w:tcPr>
                  <w:tcW w:w="1575" w:type="dxa"/>
                  <w:noWrap w:val="0"/>
                  <w:vAlign w:val="center"/>
                </w:tcPr>
                <w:p w14:paraId="16BA38C8">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西侧厂界</w:t>
                  </w:r>
                </w:p>
              </w:tc>
              <w:tc>
                <w:tcPr>
                  <w:tcW w:w="1225" w:type="dxa"/>
                  <w:noWrap w:val="0"/>
                  <w:vAlign w:val="center"/>
                </w:tcPr>
                <w:p w14:paraId="72F825D1">
                  <w:pPr>
                    <w:spacing w:line="340" w:lineRule="exact"/>
                    <w:ind w:firstLine="0" w:firstLineChars="0"/>
                    <w:jc w:val="center"/>
                    <w:rPr>
                      <w:rFonts w:hint="default" w:ascii="Times New Roman" w:hAnsi="Times New Roman"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46.3</w:t>
                  </w:r>
                </w:p>
              </w:tc>
              <w:tc>
                <w:tcPr>
                  <w:tcW w:w="1225" w:type="dxa"/>
                  <w:noWrap w:val="0"/>
                  <w:vAlign w:val="center"/>
                </w:tcPr>
                <w:p w14:paraId="3936A674">
                  <w:pPr>
                    <w:spacing w:line="340" w:lineRule="exact"/>
                    <w:ind w:firstLine="0" w:firstLineChars="0"/>
                    <w:jc w:val="center"/>
                    <w:rPr>
                      <w:rFonts w:hint="eastAsia"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sz w:val="21"/>
                      <w:szCs w:val="21"/>
                      <w:highlight w:val="none"/>
                      <w:lang w:bidi="ar"/>
                    </w:rPr>
                    <w:t>4</w:t>
                  </w:r>
                  <w:r>
                    <w:rPr>
                      <w:rFonts w:hint="eastAsia" w:cs="Times New Roman"/>
                      <w:color w:val="auto"/>
                      <w:sz w:val="21"/>
                      <w:szCs w:val="21"/>
                      <w:highlight w:val="none"/>
                      <w:lang w:val="en-US" w:eastAsia="zh-CN" w:bidi="ar"/>
                    </w:rPr>
                    <w:t>6</w:t>
                  </w:r>
                  <w:r>
                    <w:rPr>
                      <w:rFonts w:hint="eastAsia" w:ascii="Times New Roman" w:hAnsi="Times New Roman" w:eastAsia="宋体" w:cs="Times New Roman"/>
                      <w:color w:val="auto"/>
                      <w:sz w:val="21"/>
                      <w:szCs w:val="21"/>
                      <w:highlight w:val="none"/>
                      <w:lang w:bidi="ar"/>
                    </w:rPr>
                    <w:t>.</w:t>
                  </w:r>
                  <w:r>
                    <w:rPr>
                      <w:rFonts w:hint="eastAsia" w:cs="Times New Roman"/>
                      <w:color w:val="auto"/>
                      <w:sz w:val="21"/>
                      <w:szCs w:val="21"/>
                      <w:highlight w:val="none"/>
                      <w:lang w:val="en-US" w:eastAsia="zh-CN" w:bidi="ar"/>
                    </w:rPr>
                    <w:t>3</w:t>
                  </w:r>
                </w:p>
              </w:tc>
              <w:tc>
                <w:tcPr>
                  <w:tcW w:w="1225" w:type="dxa"/>
                  <w:noWrap w:val="0"/>
                  <w:vAlign w:val="center"/>
                </w:tcPr>
                <w:p w14:paraId="02B4C693">
                  <w:pPr>
                    <w:spacing w:line="340" w:lineRule="exact"/>
                    <w:ind w:firstLine="0" w:firstLineChars="0"/>
                    <w:jc w:val="center"/>
                    <w:rPr>
                      <w:color w:val="auto"/>
                      <w:sz w:val="21"/>
                      <w:szCs w:val="21"/>
                      <w:highlight w:val="none"/>
                      <w:lang w:bidi="ar"/>
                    </w:rPr>
                  </w:pPr>
                  <w:r>
                    <w:rPr>
                      <w:rFonts w:hint="eastAsia"/>
                      <w:color w:val="auto"/>
                      <w:sz w:val="21"/>
                      <w:szCs w:val="21"/>
                      <w:highlight w:val="none"/>
                      <w:lang w:bidi="ar"/>
                    </w:rPr>
                    <w:t>65</w:t>
                  </w:r>
                </w:p>
              </w:tc>
              <w:tc>
                <w:tcPr>
                  <w:tcW w:w="1225" w:type="dxa"/>
                  <w:noWrap w:val="0"/>
                  <w:vAlign w:val="center"/>
                </w:tcPr>
                <w:p w14:paraId="1AB09C89">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55</w:t>
                  </w:r>
                </w:p>
              </w:tc>
              <w:tc>
                <w:tcPr>
                  <w:tcW w:w="922" w:type="dxa"/>
                  <w:vMerge w:val="continue"/>
                  <w:noWrap w:val="0"/>
                  <w:vAlign w:val="center"/>
                </w:tcPr>
                <w:p w14:paraId="6F64C653">
                  <w:pPr>
                    <w:spacing w:line="340" w:lineRule="exact"/>
                    <w:ind w:firstLine="0" w:firstLineChars="0"/>
                    <w:jc w:val="center"/>
                    <w:rPr>
                      <w:color w:val="auto"/>
                      <w:sz w:val="21"/>
                      <w:szCs w:val="21"/>
                      <w:highlight w:val="none"/>
                      <w:lang w:bidi="ar"/>
                    </w:rPr>
                  </w:pPr>
                </w:p>
              </w:tc>
            </w:tr>
          </w:tbl>
          <w:p w14:paraId="2548DF1F">
            <w:pPr>
              <w:bidi w:val="0"/>
              <w:rPr>
                <w:rFonts w:hint="eastAsia"/>
              </w:rPr>
            </w:pPr>
            <w:r>
              <w:t>根据表</w:t>
            </w:r>
            <w:r>
              <w:rPr>
                <w:rFonts w:hint="eastAsia"/>
              </w:rPr>
              <w:t>4.2-</w:t>
            </w:r>
            <w:r>
              <w:rPr>
                <w:rFonts w:hint="eastAsia"/>
                <w:lang w:val="en-US" w:eastAsia="zh-CN"/>
              </w:rPr>
              <w:t>21和表4.2-22</w:t>
            </w:r>
            <w:r>
              <w:t>预测结果表明，项目主要噪声源在采取有效的降噪措施前提下，项目</w:t>
            </w:r>
            <w:r>
              <w:rPr>
                <w:rFonts w:hint="eastAsia"/>
                <w:lang w:val="en-US" w:eastAsia="zh-CN"/>
              </w:rPr>
              <w:t>靠近104国道一侧</w:t>
            </w:r>
            <w:r>
              <w:t>厂界噪声</w:t>
            </w:r>
            <w:r>
              <w:rPr>
                <w:rFonts w:hint="eastAsia"/>
                <w:lang w:val="en-US" w:eastAsia="zh-CN"/>
              </w:rPr>
              <w:t>可</w:t>
            </w:r>
            <w:r>
              <w:t>满足《工业企业厂界环境噪声排放标准》</w:t>
            </w:r>
            <w:r>
              <w:rPr>
                <w:rFonts w:hint="eastAsia"/>
              </w:rPr>
              <w:t>（</w:t>
            </w:r>
            <w:r>
              <w:t>GB12348-2008</w:t>
            </w:r>
            <w:r>
              <w:rPr>
                <w:rFonts w:hint="eastAsia"/>
              </w:rPr>
              <w:t>）</w:t>
            </w:r>
            <w:r>
              <w:t>中</w:t>
            </w:r>
            <w:r>
              <w:rPr>
                <w:rFonts w:hint="eastAsia"/>
                <w:lang w:val="en-US" w:eastAsia="zh-CN"/>
              </w:rPr>
              <w:t>4</w:t>
            </w:r>
            <w:r>
              <w:t>类标准</w:t>
            </w:r>
            <w:r>
              <w:rPr>
                <w:rFonts w:hint="eastAsia"/>
                <w:lang w:eastAsia="zh-CN"/>
              </w:rPr>
              <w:t>，</w:t>
            </w:r>
            <w:r>
              <w:rPr>
                <w:rFonts w:hint="eastAsia"/>
                <w:lang w:val="en-US" w:eastAsia="zh-CN"/>
              </w:rPr>
              <w:t>其他厂界可</w:t>
            </w:r>
            <w:r>
              <w:t>满足</w:t>
            </w:r>
            <w:r>
              <w:rPr>
                <w:rFonts w:hint="default"/>
                <w:lang w:val="en-US" w:eastAsia="zh-CN"/>
              </w:rPr>
              <w:t>《工业企业厂界环境噪声排放标准》（GB12348-2008）</w:t>
            </w:r>
            <w:r>
              <w:rPr>
                <w:rFonts w:hint="eastAsia"/>
                <w:lang w:val="en-US" w:eastAsia="zh-CN"/>
              </w:rPr>
              <w:t>3</w:t>
            </w:r>
            <w:r>
              <w:rPr>
                <w:rFonts w:hint="default"/>
                <w:lang w:val="en-US" w:eastAsia="zh-CN"/>
              </w:rPr>
              <w:t>类标准</w:t>
            </w:r>
            <w:r>
              <w:rPr>
                <w:rFonts w:hint="eastAsia"/>
              </w:rPr>
              <w:t>。</w:t>
            </w:r>
          </w:p>
          <w:p w14:paraId="34B38D0F">
            <w:pPr>
              <w:pStyle w:val="5"/>
              <w:rPr>
                <w:color w:val="auto"/>
                <w:highlight w:val="none"/>
              </w:rPr>
            </w:pPr>
            <w:r>
              <w:rPr>
                <w:color w:val="auto"/>
                <w:highlight w:val="none"/>
              </w:rPr>
              <w:t>4.</w:t>
            </w:r>
            <w:r>
              <w:rPr>
                <w:rFonts w:hint="eastAsia"/>
                <w:color w:val="auto"/>
                <w:highlight w:val="none"/>
              </w:rPr>
              <w:t>2.3.3</w:t>
            </w:r>
            <w:r>
              <w:rPr>
                <w:color w:val="auto"/>
                <w:highlight w:val="none"/>
              </w:rPr>
              <w:t xml:space="preserve"> 运营期噪声</w:t>
            </w:r>
            <w:r>
              <w:rPr>
                <w:rFonts w:hint="eastAsia"/>
                <w:color w:val="auto"/>
                <w:highlight w:val="none"/>
              </w:rPr>
              <w:t>控制</w:t>
            </w:r>
            <w:r>
              <w:rPr>
                <w:color w:val="auto"/>
                <w:highlight w:val="none"/>
              </w:rPr>
              <w:t>措施</w:t>
            </w:r>
          </w:p>
          <w:p w14:paraId="230CCD9D">
            <w:pPr>
              <w:ind w:firstLine="480"/>
              <w:rPr>
                <w:color w:val="auto"/>
                <w:highlight w:val="none"/>
              </w:rPr>
            </w:pPr>
            <w:r>
              <w:rPr>
                <w:rFonts w:hint="eastAsia"/>
                <w:color w:val="auto"/>
                <w:highlight w:val="none"/>
              </w:rPr>
              <w:t>①</w:t>
            </w:r>
            <w:r>
              <w:rPr>
                <w:color w:val="auto"/>
                <w:highlight w:val="none"/>
              </w:rPr>
              <w:t>项目选用低噪声生产设备，</w:t>
            </w:r>
            <w:r>
              <w:rPr>
                <w:rFonts w:hint="eastAsia"/>
                <w:color w:val="auto"/>
                <w:highlight w:val="none"/>
              </w:rPr>
              <w:t>采用</w:t>
            </w:r>
            <w:r>
              <w:rPr>
                <w:color w:val="auto"/>
                <w:highlight w:val="none"/>
              </w:rPr>
              <w:t>低噪声</w:t>
            </w:r>
            <w:r>
              <w:rPr>
                <w:rFonts w:hint="eastAsia"/>
                <w:color w:val="auto"/>
                <w:highlight w:val="none"/>
              </w:rPr>
              <w:t>生产</w:t>
            </w:r>
            <w:r>
              <w:rPr>
                <w:color w:val="auto"/>
                <w:highlight w:val="none"/>
              </w:rPr>
              <w:t>工艺；</w:t>
            </w:r>
          </w:p>
          <w:p w14:paraId="2928BAD2">
            <w:pPr>
              <w:ind w:firstLine="480"/>
              <w:rPr>
                <w:rFonts w:hint="eastAsia"/>
                <w:color w:val="auto"/>
                <w:highlight w:val="none"/>
              </w:rPr>
            </w:pPr>
            <w:r>
              <w:rPr>
                <w:rFonts w:hint="eastAsia"/>
                <w:color w:val="auto"/>
                <w:highlight w:val="none"/>
              </w:rPr>
              <w:t>②</w:t>
            </w:r>
            <w:r>
              <w:rPr>
                <w:color w:val="auto"/>
                <w:highlight w:val="none"/>
              </w:rPr>
              <w:t>采取声学控制措施，对</w:t>
            </w:r>
            <w:r>
              <w:rPr>
                <w:rFonts w:hint="eastAsia"/>
                <w:color w:val="auto"/>
                <w:highlight w:val="none"/>
              </w:rPr>
              <w:t>项目</w:t>
            </w:r>
            <w:r>
              <w:rPr>
                <w:color w:val="auto"/>
                <w:highlight w:val="none"/>
              </w:rPr>
              <w:t>高噪声设备</w:t>
            </w:r>
            <w:r>
              <w:rPr>
                <w:rFonts w:hint="eastAsia"/>
                <w:color w:val="auto"/>
                <w:highlight w:val="none"/>
              </w:rPr>
              <w:t>基础设置减振垫；</w:t>
            </w:r>
          </w:p>
          <w:p w14:paraId="7F6F979B">
            <w:pPr>
              <w:ind w:firstLine="480"/>
              <w:rPr>
                <w:color w:val="auto"/>
                <w:highlight w:val="none"/>
              </w:rPr>
            </w:pPr>
            <w:r>
              <w:rPr>
                <w:rFonts w:hint="eastAsia"/>
                <w:color w:val="auto"/>
                <w:highlight w:val="none"/>
              </w:rPr>
              <w:t>③</w:t>
            </w:r>
            <w:r>
              <w:rPr>
                <w:color w:val="auto"/>
                <w:highlight w:val="none"/>
              </w:rPr>
              <w:t>加强对设备的管理和维护，</w:t>
            </w:r>
            <w:r>
              <w:rPr>
                <w:rFonts w:hint="eastAsia"/>
                <w:color w:val="auto"/>
                <w:highlight w:val="none"/>
              </w:rPr>
              <w:t>避免设备在异常情况运行；</w:t>
            </w:r>
          </w:p>
          <w:p w14:paraId="22B4645E">
            <w:pPr>
              <w:ind w:firstLine="480"/>
              <w:rPr>
                <w:color w:val="auto"/>
                <w:highlight w:val="none"/>
              </w:rPr>
            </w:pPr>
            <w:r>
              <w:rPr>
                <w:rFonts w:hint="eastAsia"/>
                <w:color w:val="auto"/>
                <w:highlight w:val="none"/>
              </w:rPr>
              <w:t>④</w:t>
            </w:r>
            <w:r>
              <w:rPr>
                <w:color w:val="auto"/>
                <w:highlight w:val="none"/>
              </w:rPr>
              <w:t>优先选用低噪声车辆</w:t>
            </w:r>
            <w:r>
              <w:rPr>
                <w:rFonts w:hint="eastAsia"/>
                <w:color w:val="auto"/>
                <w:highlight w:val="none"/>
              </w:rPr>
              <w:t>，</w:t>
            </w:r>
            <w:r>
              <w:rPr>
                <w:color w:val="auto"/>
                <w:highlight w:val="none"/>
              </w:rPr>
              <w:t>车辆运输物料</w:t>
            </w:r>
            <w:r>
              <w:rPr>
                <w:rFonts w:hint="eastAsia"/>
                <w:color w:val="auto"/>
                <w:highlight w:val="none"/>
              </w:rPr>
              <w:t>时</w:t>
            </w:r>
            <w:r>
              <w:rPr>
                <w:color w:val="auto"/>
                <w:highlight w:val="none"/>
              </w:rPr>
              <w:t>，在靠近居民点等对声环境质量要求较高的地方，应减小车速，禁止或少鸣喇叭。</w:t>
            </w:r>
          </w:p>
          <w:p w14:paraId="39CB4D02">
            <w:pPr>
              <w:ind w:firstLine="480"/>
              <w:rPr>
                <w:color w:val="auto"/>
                <w:highlight w:val="none"/>
              </w:rPr>
            </w:pPr>
            <w:r>
              <w:rPr>
                <w:rFonts w:hint="eastAsia"/>
                <w:color w:val="auto"/>
                <w:highlight w:val="none"/>
              </w:rPr>
              <w:t>⑤合理规划平面布置，将高噪声设备设置于厂区中间，设备运转期间，关闭车间门窗，通过车间墙体等进行阻隔，降低噪声源强。</w:t>
            </w:r>
          </w:p>
          <w:p w14:paraId="5B97B701">
            <w:pPr>
              <w:ind w:firstLine="480"/>
              <w:rPr>
                <w:rFonts w:eastAsia="黑体"/>
                <w:b/>
                <w:bCs/>
                <w:color w:val="auto"/>
                <w:kern w:val="0"/>
                <w:highlight w:val="none"/>
              </w:rPr>
            </w:pPr>
            <w:r>
              <w:rPr>
                <w:color w:val="auto"/>
                <w:highlight w:val="none"/>
              </w:rPr>
              <w:t>通过以上降噪措施，有效降低设备噪声对厂界的影响程度，确保</w:t>
            </w:r>
            <w:r>
              <w:rPr>
                <w:rFonts w:hint="eastAsia"/>
                <w:color w:val="auto"/>
                <w:highlight w:val="none"/>
              </w:rPr>
              <w:t>厂</w:t>
            </w:r>
            <w:r>
              <w:rPr>
                <w:color w:val="auto"/>
                <w:highlight w:val="none"/>
              </w:rPr>
              <w:t>界噪声符合《工业企业厂界环境噪声排放标准》</w:t>
            </w:r>
            <w:r>
              <w:rPr>
                <w:rFonts w:hint="eastAsia"/>
                <w:color w:val="auto"/>
                <w:highlight w:val="none"/>
              </w:rPr>
              <w:t>（</w:t>
            </w:r>
            <w:r>
              <w:rPr>
                <w:color w:val="auto"/>
                <w:highlight w:val="none"/>
              </w:rPr>
              <w:t>GB12348-2008</w:t>
            </w:r>
            <w:r>
              <w:rPr>
                <w:rFonts w:hint="eastAsia"/>
                <w:color w:val="auto"/>
                <w:highlight w:val="none"/>
              </w:rPr>
              <w:t>）</w:t>
            </w:r>
            <w:r>
              <w:rPr>
                <w:color w:val="auto"/>
                <w:highlight w:val="none"/>
              </w:rPr>
              <w:t>中的</w:t>
            </w:r>
            <w:r>
              <w:rPr>
                <w:rFonts w:hint="eastAsia"/>
                <w:color w:val="auto"/>
                <w:highlight w:val="none"/>
                <w:lang w:val="en-US" w:eastAsia="zh-CN"/>
              </w:rPr>
              <w:t>3</w:t>
            </w:r>
            <w:r>
              <w:rPr>
                <w:rFonts w:hint="eastAsia"/>
                <w:color w:val="auto"/>
                <w:highlight w:val="none"/>
              </w:rPr>
              <w:t>类</w:t>
            </w:r>
            <w:r>
              <w:rPr>
                <w:color w:val="auto"/>
                <w:highlight w:val="none"/>
              </w:rPr>
              <w:t>标准要求，措施可行。</w:t>
            </w:r>
          </w:p>
          <w:p w14:paraId="740EF441">
            <w:pPr>
              <w:pStyle w:val="5"/>
              <w:rPr>
                <w:color w:val="auto"/>
                <w:highlight w:val="none"/>
              </w:rPr>
            </w:pPr>
            <w:r>
              <w:rPr>
                <w:color w:val="auto"/>
                <w:highlight w:val="none"/>
              </w:rPr>
              <w:t>4.</w:t>
            </w:r>
            <w:r>
              <w:rPr>
                <w:rFonts w:hint="eastAsia"/>
                <w:color w:val="auto"/>
                <w:highlight w:val="none"/>
              </w:rPr>
              <w:t>2.3.4</w:t>
            </w:r>
            <w:r>
              <w:rPr>
                <w:color w:val="auto"/>
                <w:highlight w:val="none"/>
              </w:rPr>
              <w:t xml:space="preserve"> 自行监测计划</w:t>
            </w:r>
          </w:p>
          <w:p w14:paraId="2BCFA164">
            <w:pPr>
              <w:ind w:firstLine="480"/>
              <w:rPr>
                <w:b/>
                <w:color w:val="auto"/>
                <w:kern w:val="0"/>
                <w:szCs w:val="24"/>
                <w:highlight w:val="none"/>
              </w:rPr>
            </w:pPr>
            <w:r>
              <w:rPr>
                <w:rFonts w:hint="eastAsia"/>
                <w:color w:val="auto"/>
                <w:highlight w:val="none"/>
              </w:rPr>
              <w:t>本评价根据</w:t>
            </w:r>
            <w:r>
              <w:rPr>
                <w:rFonts w:hint="eastAsia"/>
                <w:bCs/>
                <w:color w:val="auto"/>
                <w:highlight w:val="none"/>
              </w:rPr>
              <w:t>《排污许可证申请与核发技术规范 石墨及其他非金属矿物制品制造》（HJ1119-2020）</w:t>
            </w:r>
            <w:r>
              <w:rPr>
                <w:rFonts w:hint="eastAsia"/>
                <w:color w:val="auto"/>
                <w:highlight w:val="none"/>
              </w:rPr>
              <w:t>、《排污单位自行监测技术指南 总则》（HJ 819-2017）和《排污许可证申请与核发技术规范 工业噪声》</w:t>
            </w:r>
            <w:r>
              <w:rPr>
                <w:rFonts w:hint="eastAsia"/>
                <w:color w:val="auto"/>
                <w:highlight w:val="none"/>
              </w:rPr>
              <w:fldChar w:fldCharType="begin"/>
            </w:r>
            <w:r>
              <w:rPr>
                <w:rFonts w:hint="eastAsia"/>
                <w:color w:val="auto"/>
                <w:highlight w:val="none"/>
              </w:rPr>
              <w:instrText xml:space="preserve"> HYPERLINK "http://wzq1.mee.gov.cn/ywgz/fgbz/bz/bzwb/pwxk/202308/W020230919349861394526.pdf" </w:instrText>
            </w:r>
            <w:r>
              <w:rPr>
                <w:rFonts w:hint="eastAsia"/>
                <w:color w:val="auto"/>
                <w:highlight w:val="none"/>
              </w:rPr>
              <w:fldChar w:fldCharType="separate"/>
            </w:r>
            <w:r>
              <w:rPr>
                <w:rFonts w:hint="eastAsia"/>
                <w:color w:val="auto"/>
                <w:highlight w:val="none"/>
              </w:rPr>
              <w:t>（HJ 1301—2023）</w:t>
            </w:r>
            <w:r>
              <w:rPr>
                <w:rFonts w:hint="eastAsia"/>
                <w:color w:val="auto"/>
                <w:highlight w:val="none"/>
              </w:rPr>
              <w:fldChar w:fldCharType="end"/>
            </w:r>
            <w:r>
              <w:rPr>
                <w:rFonts w:hint="eastAsia"/>
                <w:color w:val="auto"/>
                <w:highlight w:val="none"/>
              </w:rPr>
              <w:t>等文件要求，提出项目运营期噪声自行监测计划，具体详见表4.2-</w:t>
            </w:r>
            <w:r>
              <w:rPr>
                <w:rFonts w:hint="eastAsia"/>
                <w:color w:val="auto"/>
                <w:highlight w:val="none"/>
                <w:lang w:val="en-US" w:eastAsia="zh-CN"/>
              </w:rPr>
              <w:t>23</w:t>
            </w:r>
            <w:r>
              <w:rPr>
                <w:rFonts w:hint="eastAsia"/>
                <w:color w:val="auto"/>
                <w:highlight w:val="none"/>
              </w:rPr>
              <w:t>。</w:t>
            </w:r>
          </w:p>
          <w:p w14:paraId="1FC737B8">
            <w:pPr>
              <w:pStyle w:val="123"/>
              <w:adjustRightInd w:val="0"/>
              <w:snapToGrid w:val="0"/>
              <w:spacing w:line="240" w:lineRule="auto"/>
              <w:ind w:firstLine="0" w:firstLineChars="0"/>
              <w:jc w:val="center"/>
              <w:rPr>
                <w:b/>
                <w:color w:val="auto"/>
                <w:kern w:val="0"/>
                <w:szCs w:val="24"/>
                <w:highlight w:val="none"/>
              </w:rPr>
            </w:pPr>
            <w:r>
              <w:rPr>
                <w:b/>
                <w:color w:val="auto"/>
                <w:kern w:val="0"/>
                <w:szCs w:val="24"/>
                <w:highlight w:val="none"/>
              </w:rPr>
              <w:t>表4.</w:t>
            </w:r>
            <w:r>
              <w:rPr>
                <w:rFonts w:hint="eastAsia"/>
                <w:b/>
                <w:color w:val="auto"/>
                <w:kern w:val="0"/>
                <w:szCs w:val="24"/>
                <w:highlight w:val="none"/>
              </w:rPr>
              <w:t>2-</w:t>
            </w:r>
            <w:r>
              <w:rPr>
                <w:rFonts w:hint="eastAsia"/>
                <w:b/>
                <w:color w:val="auto"/>
                <w:kern w:val="0"/>
                <w:szCs w:val="24"/>
                <w:highlight w:val="none"/>
                <w:lang w:val="en-US" w:eastAsia="zh-CN"/>
              </w:rPr>
              <w:t>23</w:t>
            </w:r>
            <w:r>
              <w:rPr>
                <w:rFonts w:hint="eastAsia"/>
                <w:b/>
                <w:color w:val="auto"/>
                <w:kern w:val="0"/>
                <w:szCs w:val="24"/>
                <w:highlight w:val="none"/>
              </w:rPr>
              <w:t xml:space="preserve"> </w:t>
            </w:r>
            <w:r>
              <w:rPr>
                <w:b/>
                <w:color w:val="auto"/>
                <w:kern w:val="0"/>
                <w:szCs w:val="24"/>
                <w:highlight w:val="none"/>
              </w:rPr>
              <w:t xml:space="preserve"> 项目</w:t>
            </w:r>
            <w:r>
              <w:rPr>
                <w:rFonts w:hint="eastAsia"/>
                <w:b/>
                <w:color w:val="auto"/>
                <w:kern w:val="0"/>
                <w:szCs w:val="24"/>
                <w:highlight w:val="none"/>
              </w:rPr>
              <w:t>噪声</w:t>
            </w:r>
            <w:r>
              <w:rPr>
                <w:b/>
                <w:color w:val="auto"/>
                <w:kern w:val="0"/>
                <w:szCs w:val="24"/>
                <w:highlight w:val="none"/>
              </w:rPr>
              <w:t>自行监测计划</w:t>
            </w:r>
          </w:p>
          <w:tbl>
            <w:tblPr>
              <w:tblStyle w:val="27"/>
              <w:tblW w:w="835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41"/>
              <w:gridCol w:w="1449"/>
              <w:gridCol w:w="1246"/>
              <w:gridCol w:w="4222"/>
            </w:tblGrid>
            <w:tr w14:paraId="76322B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11" w:hRule="atLeast"/>
                <w:jc w:val="center"/>
              </w:trPr>
              <w:tc>
                <w:tcPr>
                  <w:tcW w:w="1441" w:type="dxa"/>
                  <w:noWrap w:val="0"/>
                  <w:vAlign w:val="center"/>
                </w:tcPr>
                <w:p w14:paraId="103CE082">
                  <w:pPr>
                    <w:spacing w:line="340" w:lineRule="exact"/>
                    <w:ind w:firstLine="0" w:firstLineChars="0"/>
                    <w:jc w:val="center"/>
                    <w:rPr>
                      <w:b/>
                      <w:bCs/>
                      <w:color w:val="auto"/>
                      <w:sz w:val="21"/>
                      <w:szCs w:val="21"/>
                      <w:highlight w:val="none"/>
                      <w:lang w:bidi="ar"/>
                    </w:rPr>
                  </w:pPr>
                  <w:r>
                    <w:rPr>
                      <w:b/>
                      <w:bCs/>
                      <w:color w:val="auto"/>
                      <w:sz w:val="21"/>
                      <w:szCs w:val="21"/>
                      <w:highlight w:val="none"/>
                      <w:lang w:bidi="ar"/>
                    </w:rPr>
                    <w:t>监测点位</w:t>
                  </w:r>
                </w:p>
              </w:tc>
              <w:tc>
                <w:tcPr>
                  <w:tcW w:w="1449" w:type="dxa"/>
                  <w:noWrap w:val="0"/>
                  <w:vAlign w:val="center"/>
                </w:tcPr>
                <w:p w14:paraId="4C472BC3">
                  <w:pPr>
                    <w:spacing w:line="340" w:lineRule="exact"/>
                    <w:ind w:firstLine="0" w:firstLineChars="0"/>
                    <w:jc w:val="center"/>
                    <w:rPr>
                      <w:b/>
                      <w:bCs/>
                      <w:color w:val="auto"/>
                      <w:sz w:val="21"/>
                      <w:szCs w:val="21"/>
                      <w:highlight w:val="none"/>
                      <w:lang w:bidi="ar"/>
                    </w:rPr>
                  </w:pPr>
                  <w:r>
                    <w:rPr>
                      <w:b/>
                      <w:bCs/>
                      <w:color w:val="auto"/>
                      <w:sz w:val="21"/>
                      <w:szCs w:val="21"/>
                      <w:highlight w:val="none"/>
                      <w:lang w:bidi="ar"/>
                    </w:rPr>
                    <w:t>监测因子</w:t>
                  </w:r>
                </w:p>
              </w:tc>
              <w:tc>
                <w:tcPr>
                  <w:tcW w:w="1246" w:type="dxa"/>
                  <w:noWrap w:val="0"/>
                  <w:vAlign w:val="center"/>
                </w:tcPr>
                <w:p w14:paraId="5CDB314B">
                  <w:pPr>
                    <w:spacing w:line="340" w:lineRule="exact"/>
                    <w:ind w:firstLine="0" w:firstLineChars="0"/>
                    <w:jc w:val="center"/>
                    <w:rPr>
                      <w:b/>
                      <w:bCs/>
                      <w:color w:val="auto"/>
                      <w:sz w:val="21"/>
                      <w:szCs w:val="21"/>
                      <w:highlight w:val="none"/>
                      <w:lang w:bidi="ar"/>
                    </w:rPr>
                  </w:pPr>
                  <w:r>
                    <w:rPr>
                      <w:rFonts w:hint="eastAsia"/>
                      <w:b/>
                      <w:bCs/>
                      <w:color w:val="auto"/>
                      <w:sz w:val="21"/>
                      <w:szCs w:val="21"/>
                      <w:highlight w:val="none"/>
                      <w:lang w:bidi="ar"/>
                    </w:rPr>
                    <w:t>监测</w:t>
                  </w:r>
                  <w:r>
                    <w:rPr>
                      <w:b/>
                      <w:bCs/>
                      <w:color w:val="auto"/>
                      <w:sz w:val="21"/>
                      <w:szCs w:val="21"/>
                      <w:highlight w:val="none"/>
                      <w:lang w:bidi="ar"/>
                    </w:rPr>
                    <w:t>频次</w:t>
                  </w:r>
                </w:p>
              </w:tc>
              <w:tc>
                <w:tcPr>
                  <w:tcW w:w="4222" w:type="dxa"/>
                  <w:noWrap w:val="0"/>
                  <w:vAlign w:val="center"/>
                </w:tcPr>
                <w:p w14:paraId="3F1F893E">
                  <w:pPr>
                    <w:spacing w:line="340" w:lineRule="exact"/>
                    <w:ind w:firstLine="0" w:firstLineChars="0"/>
                    <w:jc w:val="center"/>
                    <w:rPr>
                      <w:b/>
                      <w:bCs/>
                      <w:color w:val="auto"/>
                      <w:sz w:val="21"/>
                      <w:szCs w:val="21"/>
                      <w:highlight w:val="none"/>
                      <w:lang w:bidi="ar"/>
                    </w:rPr>
                  </w:pPr>
                  <w:r>
                    <w:rPr>
                      <w:rFonts w:hint="eastAsia"/>
                      <w:b/>
                      <w:bCs/>
                      <w:color w:val="auto"/>
                      <w:sz w:val="21"/>
                      <w:szCs w:val="21"/>
                      <w:highlight w:val="none"/>
                      <w:lang w:bidi="ar"/>
                    </w:rPr>
                    <w:t>执行标准</w:t>
                  </w:r>
                </w:p>
              </w:tc>
            </w:tr>
            <w:tr w14:paraId="7CA0F9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75" w:hRule="atLeast"/>
                <w:jc w:val="center"/>
              </w:trPr>
              <w:tc>
                <w:tcPr>
                  <w:tcW w:w="1441" w:type="dxa"/>
                  <w:noWrap w:val="0"/>
                  <w:vAlign w:val="center"/>
                </w:tcPr>
                <w:p w14:paraId="4B548CE8">
                  <w:pPr>
                    <w:spacing w:line="340" w:lineRule="exact"/>
                    <w:ind w:firstLine="0" w:firstLineChars="0"/>
                    <w:jc w:val="center"/>
                    <w:rPr>
                      <w:color w:val="auto"/>
                      <w:sz w:val="21"/>
                      <w:szCs w:val="21"/>
                      <w:highlight w:val="none"/>
                      <w:lang w:bidi="ar"/>
                    </w:rPr>
                  </w:pPr>
                  <w:r>
                    <w:rPr>
                      <w:rFonts w:hint="eastAsia"/>
                      <w:color w:val="auto"/>
                      <w:sz w:val="21"/>
                      <w:szCs w:val="21"/>
                      <w:highlight w:val="none"/>
                      <w:lang w:bidi="ar"/>
                    </w:rPr>
                    <w:t>厂界四周</w:t>
                  </w:r>
                </w:p>
              </w:tc>
              <w:tc>
                <w:tcPr>
                  <w:tcW w:w="1449" w:type="dxa"/>
                  <w:noWrap w:val="0"/>
                  <w:vAlign w:val="center"/>
                </w:tcPr>
                <w:p w14:paraId="61486023">
                  <w:pPr>
                    <w:spacing w:line="340" w:lineRule="exact"/>
                    <w:ind w:firstLine="0" w:firstLineChars="0"/>
                    <w:jc w:val="center"/>
                    <w:rPr>
                      <w:color w:val="auto"/>
                      <w:sz w:val="21"/>
                      <w:szCs w:val="21"/>
                      <w:highlight w:val="none"/>
                      <w:lang w:bidi="ar"/>
                    </w:rPr>
                  </w:pPr>
                  <w:r>
                    <w:rPr>
                      <w:rFonts w:hint="eastAsia"/>
                      <w:color w:val="auto"/>
                      <w:sz w:val="21"/>
                      <w:szCs w:val="21"/>
                      <w:highlight w:val="none"/>
                      <w:lang w:bidi="ar"/>
                    </w:rPr>
                    <w:t>等效A声级</w:t>
                  </w:r>
                </w:p>
              </w:tc>
              <w:tc>
                <w:tcPr>
                  <w:tcW w:w="1246" w:type="dxa"/>
                  <w:noWrap w:val="0"/>
                  <w:vAlign w:val="center"/>
                </w:tcPr>
                <w:p w14:paraId="2FF6E855">
                  <w:pPr>
                    <w:spacing w:line="340" w:lineRule="exact"/>
                    <w:ind w:firstLine="0" w:firstLineChars="0"/>
                    <w:jc w:val="center"/>
                    <w:rPr>
                      <w:color w:val="auto"/>
                      <w:sz w:val="21"/>
                      <w:szCs w:val="21"/>
                      <w:highlight w:val="none"/>
                      <w:lang w:bidi="ar"/>
                    </w:rPr>
                  </w:pPr>
                  <w:r>
                    <w:rPr>
                      <w:rFonts w:hint="eastAsia"/>
                      <w:color w:val="auto"/>
                      <w:sz w:val="21"/>
                      <w:szCs w:val="21"/>
                      <w:highlight w:val="none"/>
                      <w:lang w:bidi="ar"/>
                    </w:rPr>
                    <w:t>1次</w:t>
                  </w:r>
                  <w:r>
                    <w:rPr>
                      <w:color w:val="auto"/>
                      <w:sz w:val="21"/>
                      <w:szCs w:val="21"/>
                      <w:highlight w:val="none"/>
                      <w:lang w:bidi="ar"/>
                    </w:rPr>
                    <w:t>/</w:t>
                  </w:r>
                  <w:r>
                    <w:rPr>
                      <w:rFonts w:hint="eastAsia"/>
                      <w:color w:val="auto"/>
                      <w:sz w:val="21"/>
                      <w:szCs w:val="21"/>
                      <w:highlight w:val="none"/>
                      <w:lang w:bidi="ar"/>
                    </w:rPr>
                    <w:t>季度</w:t>
                  </w:r>
                </w:p>
              </w:tc>
              <w:tc>
                <w:tcPr>
                  <w:tcW w:w="4222" w:type="dxa"/>
                  <w:noWrap w:val="0"/>
                  <w:vAlign w:val="center"/>
                </w:tcPr>
                <w:p w14:paraId="71F9804C">
                  <w:pPr>
                    <w:spacing w:line="340" w:lineRule="exact"/>
                    <w:ind w:firstLine="0" w:firstLineChars="0"/>
                    <w:jc w:val="center"/>
                    <w:rPr>
                      <w:color w:val="auto"/>
                      <w:highlight w:val="none"/>
                    </w:rPr>
                  </w:pPr>
                  <w:r>
                    <w:rPr>
                      <w:rFonts w:hint="eastAsia"/>
                      <w:color w:val="auto"/>
                      <w:sz w:val="21"/>
                      <w:szCs w:val="21"/>
                      <w:highlight w:val="none"/>
                      <w:lang w:bidi="ar"/>
                    </w:rPr>
                    <w:t>符合《工业企业厂界环境噪声排放标准》（GB12348-2008）中的3类</w:t>
                  </w:r>
                  <w:r>
                    <w:rPr>
                      <w:rFonts w:hint="eastAsia"/>
                      <w:color w:val="auto"/>
                      <w:sz w:val="21"/>
                      <w:szCs w:val="21"/>
                      <w:highlight w:val="none"/>
                      <w:lang w:val="en-US" w:eastAsia="zh-CN" w:bidi="ar"/>
                    </w:rPr>
                    <w:t>和4</w:t>
                  </w:r>
                  <w:r>
                    <w:rPr>
                      <w:rFonts w:hint="eastAsia"/>
                      <w:color w:val="auto"/>
                      <w:sz w:val="21"/>
                      <w:szCs w:val="21"/>
                      <w:highlight w:val="none"/>
                      <w:lang w:bidi="ar"/>
                    </w:rPr>
                    <w:t>类标准要求</w:t>
                  </w:r>
                </w:p>
              </w:tc>
            </w:tr>
          </w:tbl>
          <w:p w14:paraId="20A6D3D3">
            <w:pPr>
              <w:pStyle w:val="4"/>
              <w:rPr>
                <w:color w:val="auto"/>
                <w:highlight w:val="none"/>
              </w:rPr>
            </w:pPr>
            <w:r>
              <w:rPr>
                <w:color w:val="auto"/>
                <w:highlight w:val="none"/>
              </w:rPr>
              <w:t>4.</w:t>
            </w:r>
            <w:r>
              <w:rPr>
                <w:rFonts w:hint="eastAsia"/>
                <w:color w:val="auto"/>
                <w:highlight w:val="none"/>
              </w:rPr>
              <w:t>2.4</w:t>
            </w:r>
            <w:r>
              <w:rPr>
                <w:color w:val="auto"/>
                <w:highlight w:val="none"/>
              </w:rPr>
              <w:t>运营期固体废物影响分析和污染防治措施</w:t>
            </w:r>
          </w:p>
          <w:p w14:paraId="0B743186">
            <w:pPr>
              <w:pStyle w:val="5"/>
              <w:rPr>
                <w:color w:val="auto"/>
                <w:highlight w:val="none"/>
              </w:rPr>
            </w:pPr>
            <w:r>
              <w:rPr>
                <w:color w:val="auto"/>
                <w:highlight w:val="none"/>
              </w:rPr>
              <w:t>4.</w:t>
            </w:r>
            <w:r>
              <w:rPr>
                <w:rFonts w:hint="eastAsia"/>
                <w:color w:val="auto"/>
                <w:highlight w:val="none"/>
              </w:rPr>
              <w:t>2.4.1</w:t>
            </w:r>
            <w:r>
              <w:rPr>
                <w:color w:val="auto"/>
                <w:highlight w:val="none"/>
              </w:rPr>
              <w:t xml:space="preserve"> 运营期固废物源强核算</w:t>
            </w:r>
          </w:p>
          <w:p w14:paraId="5A364F51">
            <w:pPr>
              <w:ind w:firstLine="482"/>
              <w:rPr>
                <w:b/>
                <w:bCs/>
                <w:color w:val="auto"/>
                <w:highlight w:val="none"/>
              </w:rPr>
            </w:pPr>
            <w:r>
              <w:rPr>
                <w:rFonts w:hint="eastAsia"/>
                <w:b/>
                <w:bCs/>
                <w:color w:val="auto"/>
                <w:highlight w:val="none"/>
              </w:rPr>
              <w:t>（1）一般工业固废</w:t>
            </w:r>
          </w:p>
          <w:p w14:paraId="23A8C99F">
            <w:pPr>
              <w:bidi w:val="0"/>
              <w:rPr>
                <w:color w:val="auto"/>
                <w:highlight w:val="none"/>
              </w:rPr>
            </w:pPr>
            <w:r>
              <w:rPr>
                <w:rFonts w:hint="eastAsia"/>
                <w:color w:val="auto"/>
                <w:highlight w:val="none"/>
                <w:lang w:val="en-US" w:eastAsia="zh-CN"/>
              </w:rPr>
              <w:t xml:space="preserve">①废石料 </w:t>
            </w:r>
          </w:p>
          <w:p w14:paraId="4D937DCA">
            <w:pPr>
              <w:bidi w:val="0"/>
              <w:rPr>
                <w:color w:val="auto"/>
                <w:highlight w:val="none"/>
              </w:rPr>
            </w:pPr>
            <w:r>
              <w:rPr>
                <w:rFonts w:hint="eastAsia"/>
                <w:color w:val="auto"/>
                <w:highlight w:val="none"/>
                <w:lang w:val="en-US" w:eastAsia="zh-CN"/>
              </w:rPr>
              <w:t>骨料经干燥后通过提升机进入振动筛，筛分后符合产品要求的骨料进入拌缸内搅拌，不符合产品要求的的废石料经专门出口排出。根据类比调查，振动筛筛选出来的废石料约占石料原料用量的</w:t>
            </w:r>
            <w:r>
              <w:rPr>
                <w:rFonts w:hint="default"/>
                <w:color w:val="auto"/>
                <w:highlight w:val="none"/>
                <w:lang w:val="en-US" w:eastAsia="zh-CN"/>
              </w:rPr>
              <w:t>0.1%</w:t>
            </w:r>
            <w:r>
              <w:rPr>
                <w:rFonts w:hint="eastAsia"/>
                <w:color w:val="auto"/>
                <w:highlight w:val="none"/>
                <w:lang w:val="en-US" w:eastAsia="zh-CN"/>
              </w:rPr>
              <w:t>，本项目一期碎石原料用量为86440</w:t>
            </w:r>
            <w:r>
              <w:rPr>
                <w:rFonts w:hint="default"/>
                <w:color w:val="auto"/>
                <w:highlight w:val="none"/>
                <w:lang w:val="en-US" w:eastAsia="zh-CN"/>
              </w:rPr>
              <w:t>t/a</w:t>
            </w:r>
            <w:r>
              <w:rPr>
                <w:rFonts w:hint="eastAsia"/>
                <w:color w:val="auto"/>
                <w:highlight w:val="none"/>
                <w:lang w:val="en-US" w:eastAsia="zh-CN"/>
              </w:rPr>
              <w:t>，二期碎石原料用量为172880</w:t>
            </w:r>
            <w:r>
              <w:rPr>
                <w:rFonts w:hint="default"/>
                <w:color w:val="auto"/>
                <w:highlight w:val="none"/>
                <w:lang w:val="en-US" w:eastAsia="zh-CN"/>
              </w:rPr>
              <w:t>t/a</w:t>
            </w:r>
            <w:r>
              <w:rPr>
                <w:rFonts w:hint="eastAsia"/>
                <w:color w:val="auto"/>
                <w:highlight w:val="none"/>
                <w:lang w:val="en-US" w:eastAsia="zh-CN"/>
              </w:rPr>
              <w:t>，则废石料产生量约259.32</w:t>
            </w:r>
            <w:r>
              <w:rPr>
                <w:rFonts w:hint="default"/>
                <w:color w:val="auto"/>
                <w:highlight w:val="none"/>
                <w:lang w:val="en-US" w:eastAsia="zh-CN"/>
              </w:rPr>
              <w:t>t/a</w:t>
            </w:r>
            <w:r>
              <w:rPr>
                <w:rFonts w:hint="eastAsia"/>
                <w:color w:val="auto"/>
                <w:highlight w:val="none"/>
                <w:lang w:val="en-US" w:eastAsia="zh-CN"/>
              </w:rPr>
              <w:t>（一期86.44</w:t>
            </w:r>
            <w:r>
              <w:rPr>
                <w:rFonts w:hint="default"/>
                <w:color w:val="auto"/>
                <w:highlight w:val="none"/>
                <w:lang w:val="en-US" w:eastAsia="zh-CN"/>
              </w:rPr>
              <w:t>t/a</w:t>
            </w:r>
            <w:r>
              <w:rPr>
                <w:rFonts w:hint="eastAsia"/>
                <w:color w:val="auto"/>
                <w:highlight w:val="none"/>
                <w:lang w:val="en-US" w:eastAsia="zh-CN"/>
              </w:rPr>
              <w:t>，二期172.88</w:t>
            </w:r>
            <w:r>
              <w:rPr>
                <w:rFonts w:hint="default"/>
                <w:color w:val="auto"/>
                <w:highlight w:val="none"/>
                <w:lang w:val="en-US" w:eastAsia="zh-CN"/>
              </w:rPr>
              <w:t>t/a</w:t>
            </w:r>
            <w:r>
              <w:rPr>
                <w:rFonts w:hint="eastAsia"/>
                <w:color w:val="auto"/>
                <w:highlight w:val="none"/>
                <w:lang w:val="en-US" w:eastAsia="zh-CN"/>
              </w:rPr>
              <w:t xml:space="preserve">），集中收集后作为产品骨料原料使用，不排放。 </w:t>
            </w:r>
          </w:p>
          <w:p w14:paraId="01EEF9F6">
            <w:pPr>
              <w:bidi w:val="0"/>
              <w:rPr>
                <w:color w:val="auto"/>
                <w:highlight w:val="none"/>
              </w:rPr>
            </w:pPr>
            <w:r>
              <w:rPr>
                <w:rFonts w:hint="eastAsia"/>
                <w:color w:val="auto"/>
                <w:highlight w:val="none"/>
                <w:lang w:val="en-US" w:eastAsia="zh-CN"/>
              </w:rPr>
              <w:t xml:space="preserve">②除尘器收集粉尘 </w:t>
            </w:r>
          </w:p>
          <w:p w14:paraId="796EC5D7">
            <w:pPr>
              <w:bidi w:val="0"/>
              <w:rPr>
                <w:color w:val="auto"/>
                <w:highlight w:val="none"/>
              </w:rPr>
            </w:pPr>
            <w:r>
              <w:rPr>
                <w:rFonts w:hint="eastAsia"/>
                <w:color w:val="auto"/>
                <w:highlight w:val="none"/>
                <w:lang w:val="en-US" w:eastAsia="zh-CN"/>
              </w:rPr>
              <w:t>根据表4.5-13可知，本项目布袋除尘器收集的粉尘量约为13.1</w:t>
            </w:r>
            <w:r>
              <w:rPr>
                <w:rFonts w:hint="default"/>
                <w:color w:val="auto"/>
                <w:highlight w:val="none"/>
                <w:lang w:val="en-US" w:eastAsia="zh-CN"/>
              </w:rPr>
              <w:t>t/a</w:t>
            </w:r>
            <w:r>
              <w:rPr>
                <w:rFonts w:hint="eastAsia"/>
                <w:color w:val="auto"/>
                <w:highlight w:val="none"/>
                <w:lang w:val="en-US" w:eastAsia="zh-CN"/>
              </w:rPr>
              <w:t>（一期4.36</w:t>
            </w:r>
            <w:r>
              <w:rPr>
                <w:rFonts w:hint="default"/>
                <w:color w:val="auto"/>
                <w:highlight w:val="none"/>
                <w:lang w:val="en-US" w:eastAsia="zh-CN"/>
              </w:rPr>
              <w:t>t/a</w:t>
            </w:r>
            <w:r>
              <w:rPr>
                <w:rFonts w:hint="eastAsia"/>
                <w:color w:val="auto"/>
                <w:highlight w:val="none"/>
                <w:lang w:val="en-US" w:eastAsia="zh-CN"/>
              </w:rPr>
              <w:t>，二期8.74</w:t>
            </w:r>
            <w:r>
              <w:rPr>
                <w:rFonts w:hint="default"/>
                <w:color w:val="auto"/>
                <w:highlight w:val="none"/>
                <w:lang w:val="en-US" w:eastAsia="zh-CN"/>
              </w:rPr>
              <w:t>t/a</w:t>
            </w:r>
            <w:r>
              <w:rPr>
                <w:rFonts w:hint="eastAsia"/>
                <w:color w:val="auto"/>
                <w:highlight w:val="none"/>
                <w:lang w:val="en-US" w:eastAsia="zh-CN"/>
              </w:rPr>
              <w:t xml:space="preserve">），作为原料回用于生产。 </w:t>
            </w:r>
          </w:p>
          <w:p w14:paraId="536F03FD">
            <w:pPr>
              <w:bidi w:val="0"/>
              <w:rPr>
                <w:color w:val="auto"/>
                <w:highlight w:val="none"/>
              </w:rPr>
            </w:pPr>
            <w:r>
              <w:rPr>
                <w:rFonts w:hint="eastAsia"/>
                <w:color w:val="auto"/>
                <w:highlight w:val="none"/>
                <w:lang w:val="en-US" w:eastAsia="zh-CN"/>
              </w:rPr>
              <w:t xml:space="preserve">③滴漏沥青及拌和残渣 </w:t>
            </w:r>
          </w:p>
          <w:p w14:paraId="483EAC08">
            <w:pPr>
              <w:bidi w:val="0"/>
              <w:rPr>
                <w:color w:val="auto"/>
                <w:highlight w:val="none"/>
              </w:rPr>
            </w:pPr>
            <w:r>
              <w:rPr>
                <w:rFonts w:hint="eastAsia"/>
                <w:color w:val="auto"/>
                <w:highlight w:val="none"/>
                <w:lang w:val="en-US" w:eastAsia="zh-CN"/>
              </w:rPr>
              <w:t>当散装石油沥青运输车将石油沥青输入厂区内石油沥青储罐以及沥青泵将石油沥青从储罐打入拌缸时，由于接口的密闭性问题，会滴漏少量沥青，同时拌缸也会产生少量的拌和残渣，根据业主提供资料，滴漏沥青及拌和残渣年产生量约为6</w:t>
            </w:r>
            <w:r>
              <w:rPr>
                <w:rFonts w:hint="default"/>
                <w:color w:val="auto"/>
                <w:highlight w:val="none"/>
                <w:lang w:val="en-US" w:eastAsia="zh-CN"/>
              </w:rPr>
              <w:t>t/a</w:t>
            </w:r>
            <w:r>
              <w:rPr>
                <w:rFonts w:hint="eastAsia"/>
                <w:color w:val="auto"/>
                <w:highlight w:val="none"/>
                <w:lang w:val="en-US" w:eastAsia="zh-CN"/>
              </w:rPr>
              <w:t>，作为原料回用于生产。</w:t>
            </w:r>
          </w:p>
          <w:p w14:paraId="7FC42B6B">
            <w:pPr>
              <w:ind w:firstLine="480"/>
              <w:rPr>
                <w:color w:val="auto"/>
                <w:highlight w:val="none"/>
              </w:rPr>
            </w:pPr>
            <w:r>
              <w:rPr>
                <w:rFonts w:hint="eastAsia"/>
                <w:color w:val="auto"/>
                <w:highlight w:val="none"/>
                <w:lang w:val="en-US" w:eastAsia="zh-CN"/>
              </w:rPr>
              <w:t>④</w:t>
            </w:r>
            <w:r>
              <w:rPr>
                <w:rFonts w:hint="eastAsia"/>
                <w:color w:val="auto"/>
                <w:highlight w:val="none"/>
              </w:rPr>
              <w:t xml:space="preserve">食堂厨余垃圾 </w:t>
            </w:r>
          </w:p>
          <w:p w14:paraId="5346A17D">
            <w:pPr>
              <w:ind w:firstLine="480"/>
              <w:rPr>
                <w:color w:val="auto"/>
                <w:highlight w:val="none"/>
              </w:rPr>
            </w:pPr>
            <w:r>
              <w:rPr>
                <w:rFonts w:hint="eastAsia"/>
                <w:color w:val="auto"/>
                <w:highlight w:val="none"/>
              </w:rPr>
              <w:t>参考《第一次全国污染源普查城镇生活源产排污系数手册》，食堂厨余垃圾产生量按</w:t>
            </w:r>
            <w:r>
              <w:rPr>
                <w:color w:val="auto"/>
                <w:highlight w:val="none"/>
              </w:rPr>
              <w:t>0.2kg/</w:t>
            </w:r>
            <w:r>
              <w:rPr>
                <w:rFonts w:hint="eastAsia"/>
                <w:color w:val="auto"/>
                <w:highlight w:val="none"/>
              </w:rPr>
              <w:t>人</w:t>
            </w:r>
            <w:r>
              <w:rPr>
                <w:color w:val="auto"/>
                <w:highlight w:val="none"/>
              </w:rPr>
              <w:t xml:space="preserve">∙d </w:t>
            </w:r>
            <w:r>
              <w:rPr>
                <w:rFonts w:hint="eastAsia"/>
                <w:color w:val="auto"/>
                <w:highlight w:val="none"/>
              </w:rPr>
              <w:t>计，预计用餐人员</w:t>
            </w:r>
            <w:r>
              <w:rPr>
                <w:rFonts w:hint="eastAsia"/>
                <w:color w:val="auto"/>
                <w:highlight w:val="none"/>
                <w:lang w:val="en-US" w:eastAsia="zh-CN"/>
              </w:rPr>
              <w:t>10</w:t>
            </w:r>
            <w:r>
              <w:rPr>
                <w:rFonts w:hint="eastAsia"/>
                <w:color w:val="auto"/>
                <w:highlight w:val="none"/>
              </w:rPr>
              <w:t>人</w:t>
            </w:r>
            <w:r>
              <w:rPr>
                <w:color w:val="auto"/>
                <w:highlight w:val="none"/>
              </w:rPr>
              <w:t>/d</w:t>
            </w:r>
            <w:r>
              <w:rPr>
                <w:rFonts w:hint="eastAsia"/>
                <w:color w:val="auto"/>
                <w:highlight w:val="none"/>
              </w:rPr>
              <w:t>，食堂厨余垃圾新增产生量约为</w:t>
            </w:r>
            <w:r>
              <w:rPr>
                <w:rFonts w:hint="eastAsia"/>
                <w:color w:val="auto"/>
                <w:highlight w:val="none"/>
                <w:lang w:val="en-US" w:eastAsia="zh-CN"/>
              </w:rPr>
              <w:t>2kg</w:t>
            </w:r>
            <w:r>
              <w:rPr>
                <w:color w:val="auto"/>
                <w:highlight w:val="none"/>
              </w:rPr>
              <w:t>/d</w:t>
            </w:r>
            <w:r>
              <w:rPr>
                <w:rFonts w:hint="eastAsia"/>
                <w:color w:val="auto"/>
                <w:highlight w:val="none"/>
              </w:rPr>
              <w:t>（</w:t>
            </w:r>
            <w:r>
              <w:rPr>
                <w:rFonts w:hint="eastAsia"/>
                <w:color w:val="auto"/>
                <w:highlight w:val="none"/>
                <w:lang w:val="en-US" w:eastAsia="zh-CN"/>
              </w:rPr>
              <w:t>0.48</w:t>
            </w:r>
            <w:r>
              <w:rPr>
                <w:color w:val="auto"/>
                <w:highlight w:val="none"/>
              </w:rPr>
              <w:t>t/a</w:t>
            </w:r>
            <w:r>
              <w:rPr>
                <w:rFonts w:hint="eastAsia"/>
                <w:color w:val="auto"/>
                <w:highlight w:val="none"/>
              </w:rPr>
              <w:t>），收集后的固体餐厨废弃物委托外单位处置。</w:t>
            </w:r>
          </w:p>
          <w:p w14:paraId="0BF2676C">
            <w:pPr>
              <w:ind w:firstLine="480"/>
              <w:rPr>
                <w:rFonts w:hint="eastAsia"/>
                <w:color w:val="auto"/>
                <w:highlight w:val="none"/>
              </w:rPr>
            </w:pPr>
            <w:r>
              <w:rPr>
                <w:rFonts w:hint="eastAsia"/>
                <w:color w:val="auto"/>
                <w:highlight w:val="none"/>
                <w:lang w:val="en-US" w:eastAsia="zh-CN"/>
              </w:rPr>
              <w:t>⑤</w:t>
            </w:r>
            <w:r>
              <w:rPr>
                <w:rFonts w:hint="eastAsia"/>
                <w:color w:val="auto"/>
                <w:highlight w:val="none"/>
              </w:rPr>
              <w:t>隔油池废油</w:t>
            </w:r>
          </w:p>
          <w:p w14:paraId="0AAA6A06">
            <w:pPr>
              <w:bidi w:val="0"/>
              <w:rPr>
                <w:rFonts w:hint="eastAsia"/>
                <w:color w:val="auto"/>
                <w:highlight w:val="none"/>
              </w:rPr>
            </w:pPr>
            <w:r>
              <w:rPr>
                <w:rFonts w:hint="eastAsia"/>
                <w:color w:val="auto"/>
                <w:highlight w:val="none"/>
              </w:rPr>
              <w:t>项目食堂含油废水经隔油池预处理，此过程中会产生废油，</w:t>
            </w:r>
            <w:r>
              <w:rPr>
                <w:rFonts w:hint="eastAsia"/>
                <w:color w:val="auto"/>
                <w:highlight w:val="none"/>
                <w:lang w:val="en-US" w:eastAsia="zh-CN"/>
              </w:rPr>
              <w:t>根据表4.2-10可知废油</w:t>
            </w:r>
            <w:r>
              <w:rPr>
                <w:rFonts w:hint="eastAsia"/>
                <w:color w:val="auto"/>
                <w:highlight w:val="none"/>
              </w:rPr>
              <w:t>产生量约</w:t>
            </w:r>
            <w:r>
              <w:rPr>
                <w:rFonts w:hint="eastAsia"/>
                <w:color w:val="auto"/>
                <w:highlight w:val="none"/>
                <w:lang w:val="en-US" w:eastAsia="zh-CN"/>
              </w:rPr>
              <w:t>0.0019</w:t>
            </w:r>
            <w:r>
              <w:rPr>
                <w:rFonts w:hint="eastAsia"/>
                <w:color w:val="auto"/>
                <w:highlight w:val="none"/>
              </w:rPr>
              <w:t>t/a。定期清理隔油池，废油委托外单位处置。</w:t>
            </w:r>
          </w:p>
          <w:p w14:paraId="218B6251">
            <w:pPr>
              <w:spacing w:line="360" w:lineRule="auto"/>
              <w:ind w:firstLine="480" w:firstLineChars="200"/>
              <w:rPr>
                <w:rFonts w:hint="eastAsia" w:eastAsia="宋体"/>
                <w:bCs/>
                <w:color w:val="auto"/>
                <w:sz w:val="24"/>
                <w:highlight w:val="none"/>
                <w:lang w:val="en-US" w:eastAsia="zh-CN"/>
              </w:rPr>
            </w:pPr>
            <w:r>
              <w:rPr>
                <w:rFonts w:hint="eastAsia"/>
                <w:color w:val="auto"/>
                <w:highlight w:val="none"/>
                <w:lang w:val="en-US" w:eastAsia="zh-CN"/>
              </w:rPr>
              <w:t>⑥</w:t>
            </w:r>
            <w:r>
              <w:rPr>
                <w:rFonts w:hint="eastAsia"/>
                <w:bCs/>
                <w:color w:val="auto"/>
                <w:sz w:val="24"/>
                <w:highlight w:val="none"/>
              </w:rPr>
              <w:t>沉淀池</w:t>
            </w:r>
            <w:r>
              <w:rPr>
                <w:rFonts w:hint="eastAsia"/>
                <w:bCs/>
                <w:color w:val="auto"/>
                <w:sz w:val="24"/>
                <w:highlight w:val="none"/>
                <w:lang w:val="en-US" w:eastAsia="zh-CN"/>
              </w:rPr>
              <w:t>污泥</w:t>
            </w:r>
          </w:p>
          <w:p w14:paraId="3A5F9BAB">
            <w:pPr>
              <w:bidi w:val="0"/>
              <w:rPr>
                <w:rFonts w:hint="eastAsia"/>
                <w:color w:val="auto"/>
                <w:highlight w:val="none"/>
                <w:lang w:val="en-US" w:eastAsia="zh-CN"/>
              </w:rPr>
            </w:pPr>
            <w:r>
              <w:rPr>
                <w:rFonts w:hint="eastAsia"/>
                <w:color w:val="auto"/>
                <w:highlight w:val="none"/>
                <w:lang w:val="en-US" w:eastAsia="zh-CN"/>
              </w:rPr>
              <w:t>根据业主提供资料，</w:t>
            </w:r>
            <w:r>
              <w:rPr>
                <w:rFonts w:hint="eastAsia"/>
                <w:color w:val="auto"/>
                <w:highlight w:val="none"/>
              </w:rPr>
              <w:t>车辆冲洗水经沉淀池收集沉淀处理后</w:t>
            </w:r>
            <w:r>
              <w:rPr>
                <w:rFonts w:hint="eastAsia"/>
                <w:color w:val="auto"/>
                <w:highlight w:val="none"/>
                <w:lang w:val="en-US" w:eastAsia="zh-CN"/>
              </w:rPr>
              <w:t>以及初期雨水经初期雨水池</w:t>
            </w:r>
            <w:r>
              <w:rPr>
                <w:rFonts w:hint="eastAsia"/>
                <w:color w:val="auto"/>
                <w:highlight w:val="none"/>
              </w:rPr>
              <w:t>收集沉淀处理后</w:t>
            </w:r>
            <w:r>
              <w:rPr>
                <w:rFonts w:hint="eastAsia"/>
                <w:color w:val="auto"/>
                <w:highlight w:val="none"/>
                <w:lang w:val="en-US" w:eastAsia="zh-CN"/>
              </w:rPr>
              <w:t>产生的污泥量约</w:t>
            </w:r>
            <w:r>
              <w:rPr>
                <w:rFonts w:hint="eastAsia"/>
                <w:color w:val="auto"/>
                <w:highlight w:val="none"/>
              </w:rPr>
              <w:t>为</w:t>
            </w:r>
            <w:r>
              <w:rPr>
                <w:rFonts w:hint="eastAsia"/>
                <w:color w:val="auto"/>
                <w:highlight w:val="none"/>
                <w:lang w:val="en-US" w:eastAsia="zh-CN"/>
              </w:rPr>
              <w:t>9</w:t>
            </w:r>
            <w:r>
              <w:rPr>
                <w:rFonts w:hint="eastAsia"/>
                <w:color w:val="auto"/>
                <w:highlight w:val="none"/>
              </w:rPr>
              <w:t>t/a，</w:t>
            </w:r>
            <w:r>
              <w:rPr>
                <w:rFonts w:hint="eastAsia"/>
                <w:color w:val="auto"/>
                <w:highlight w:val="none"/>
                <w:lang w:val="en-US" w:eastAsia="zh-CN"/>
              </w:rPr>
              <w:t>收集后外售给</w:t>
            </w:r>
            <w:r>
              <w:rPr>
                <w:rFonts w:hint="eastAsia"/>
                <w:color w:val="auto"/>
                <w:highlight w:val="none"/>
              </w:rPr>
              <w:t>建筑材料</w:t>
            </w:r>
            <w:r>
              <w:rPr>
                <w:color w:val="auto"/>
                <w:highlight w:val="none"/>
              </w:rPr>
              <w:t>加工厂作为原料综合利用</w:t>
            </w:r>
            <w:r>
              <w:rPr>
                <w:rFonts w:hint="eastAsia"/>
                <w:color w:val="auto"/>
                <w:highlight w:val="none"/>
              </w:rPr>
              <w:t>。</w:t>
            </w:r>
          </w:p>
          <w:p w14:paraId="64E3D142">
            <w:pPr>
              <w:ind w:firstLine="482"/>
              <w:rPr>
                <w:b/>
                <w:bCs/>
                <w:color w:val="auto"/>
                <w:highlight w:val="none"/>
              </w:rPr>
            </w:pPr>
            <w:r>
              <w:rPr>
                <w:rFonts w:hint="eastAsia"/>
                <w:b/>
                <w:bCs/>
                <w:color w:val="auto"/>
                <w:highlight w:val="none"/>
              </w:rPr>
              <w:t>（2）危险废物</w:t>
            </w:r>
          </w:p>
          <w:p w14:paraId="5E0A90E0">
            <w:pPr>
              <w:ind w:firstLine="480"/>
              <w:rPr>
                <w:rFonts w:hint="eastAsia"/>
                <w:color w:val="auto"/>
                <w:highlight w:val="none"/>
              </w:rPr>
            </w:pPr>
            <w:r>
              <w:rPr>
                <w:rFonts w:hint="eastAsia"/>
                <w:color w:val="auto"/>
                <w:highlight w:val="none"/>
              </w:rPr>
              <w:t>①废</w:t>
            </w:r>
            <w:r>
              <w:rPr>
                <w:rFonts w:hint="eastAsia"/>
                <w:color w:val="auto"/>
                <w:highlight w:val="none"/>
                <w:lang w:val="en-US" w:eastAsia="zh-CN"/>
              </w:rPr>
              <w:t>导热油</w:t>
            </w:r>
            <w:r>
              <w:rPr>
                <w:rFonts w:hint="eastAsia"/>
                <w:color w:val="auto"/>
                <w:highlight w:val="none"/>
              </w:rPr>
              <w:t xml:space="preserve"> </w:t>
            </w:r>
          </w:p>
          <w:p w14:paraId="07A84AAF">
            <w:pPr>
              <w:bidi w:val="0"/>
              <w:rPr>
                <w:color w:val="auto"/>
                <w:highlight w:val="none"/>
              </w:rPr>
            </w:pPr>
            <w:r>
              <w:rPr>
                <w:rFonts w:hint="eastAsia"/>
                <w:color w:val="auto"/>
                <w:highlight w:val="none"/>
                <w:lang w:val="en-US" w:eastAsia="zh-CN"/>
              </w:rPr>
              <w:t>正常情况下，导热油循环使用，无需更换。为保证导热油炉安全运行，需定期对导热油品质进行检测，分析其残碳、酸值、粘度、闪点、熔点等理化指标是否符合要求，当超过标准要求则需进行更换。根据经验数据，导热油预计</w:t>
            </w:r>
            <w:r>
              <w:rPr>
                <w:rFonts w:hint="default"/>
                <w:color w:val="auto"/>
                <w:highlight w:val="none"/>
                <w:lang w:val="en-US" w:eastAsia="zh-CN"/>
              </w:rPr>
              <w:t>3-5</w:t>
            </w:r>
            <w:r>
              <w:rPr>
                <w:rFonts w:hint="eastAsia"/>
                <w:color w:val="auto"/>
                <w:highlight w:val="none"/>
                <w:lang w:val="en-US" w:eastAsia="zh-CN"/>
              </w:rPr>
              <w:t>年更换一次，每次更换量为6</w:t>
            </w:r>
            <w:r>
              <w:rPr>
                <w:rFonts w:hint="default"/>
                <w:color w:val="auto"/>
                <w:highlight w:val="none"/>
                <w:lang w:val="en-US" w:eastAsia="zh-CN"/>
              </w:rPr>
              <w:t>t</w:t>
            </w:r>
            <w:r>
              <w:rPr>
                <w:rFonts w:hint="eastAsia"/>
                <w:color w:val="auto"/>
                <w:highlight w:val="none"/>
                <w:lang w:val="en-US" w:eastAsia="zh-CN"/>
              </w:rPr>
              <w:t>。废代码为</w:t>
            </w:r>
            <w:r>
              <w:rPr>
                <w:rFonts w:hint="default"/>
                <w:color w:val="auto"/>
                <w:highlight w:val="none"/>
                <w:lang w:val="en-US" w:eastAsia="zh-CN"/>
              </w:rPr>
              <w:t>HW08</w:t>
            </w:r>
            <w:r>
              <w:rPr>
                <w:rFonts w:hint="eastAsia"/>
                <w:color w:val="auto"/>
                <w:highlight w:val="none"/>
                <w:lang w:val="en-US" w:eastAsia="zh-CN"/>
              </w:rPr>
              <w:t>（</w:t>
            </w:r>
            <w:r>
              <w:rPr>
                <w:rFonts w:hint="default"/>
                <w:color w:val="auto"/>
                <w:highlight w:val="none"/>
                <w:lang w:val="en-US" w:eastAsia="zh-CN"/>
              </w:rPr>
              <w:t>900-249-08</w:t>
            </w:r>
            <w:r>
              <w:rPr>
                <w:rFonts w:hint="eastAsia"/>
                <w:color w:val="auto"/>
                <w:highlight w:val="none"/>
                <w:lang w:val="en-US" w:eastAsia="zh-CN"/>
              </w:rPr>
              <w:t>），暂存于危废贮存间，由有资质的单位回收处置。</w:t>
            </w:r>
          </w:p>
          <w:p w14:paraId="7C5F4CE8">
            <w:pPr>
              <w:ind w:firstLine="480"/>
              <w:rPr>
                <w:color w:val="auto"/>
                <w:highlight w:val="none"/>
              </w:rPr>
            </w:pPr>
            <w:r>
              <w:rPr>
                <w:rFonts w:hint="eastAsia"/>
                <w:color w:val="auto"/>
                <w:highlight w:val="none"/>
              </w:rPr>
              <w:t>②</w:t>
            </w:r>
            <w:r>
              <w:rPr>
                <w:rFonts w:hint="eastAsia"/>
                <w:color w:val="auto"/>
                <w:highlight w:val="none"/>
                <w:lang w:val="en-US" w:eastAsia="zh-CN"/>
              </w:rPr>
              <w:t>废机油</w:t>
            </w:r>
          </w:p>
          <w:p w14:paraId="2A4A3948">
            <w:pPr>
              <w:bidi w:val="0"/>
              <w:rPr>
                <w:rFonts w:hint="eastAsia"/>
                <w:color w:val="auto"/>
                <w:highlight w:val="none"/>
                <w:lang w:val="en-US" w:eastAsia="zh-CN"/>
              </w:rPr>
            </w:pPr>
            <w:r>
              <w:rPr>
                <w:rFonts w:hint="eastAsia"/>
                <w:color w:val="auto"/>
                <w:highlight w:val="none"/>
                <w:lang w:val="en-US" w:eastAsia="zh-CN"/>
              </w:rPr>
              <w:t>本项目各种设备在使用过程中需要进行维护，维护时将会产生少量的废机油，产生废机油的量为</w:t>
            </w:r>
            <w:r>
              <w:rPr>
                <w:rFonts w:hint="default"/>
                <w:color w:val="auto"/>
                <w:highlight w:val="none"/>
                <w:lang w:val="en-US" w:eastAsia="zh-CN"/>
              </w:rPr>
              <w:t>0.</w:t>
            </w:r>
            <w:r>
              <w:rPr>
                <w:rFonts w:hint="eastAsia"/>
                <w:color w:val="auto"/>
                <w:highlight w:val="none"/>
                <w:lang w:val="en-US" w:eastAsia="zh-CN"/>
              </w:rPr>
              <w:t>6</w:t>
            </w:r>
            <w:r>
              <w:rPr>
                <w:rFonts w:hint="default"/>
                <w:color w:val="auto"/>
                <w:highlight w:val="none"/>
                <w:lang w:val="en-US" w:eastAsia="zh-CN"/>
              </w:rPr>
              <w:t>t/a</w:t>
            </w:r>
            <w:r>
              <w:rPr>
                <w:rFonts w:hint="eastAsia"/>
                <w:color w:val="auto"/>
                <w:highlight w:val="none"/>
                <w:lang w:val="en-US" w:eastAsia="zh-CN"/>
              </w:rPr>
              <w:t>，废代码为</w:t>
            </w:r>
            <w:r>
              <w:rPr>
                <w:rFonts w:hint="default"/>
                <w:color w:val="auto"/>
                <w:highlight w:val="none"/>
                <w:lang w:val="en-US" w:eastAsia="zh-CN"/>
              </w:rPr>
              <w:t>HW08</w:t>
            </w:r>
            <w:r>
              <w:rPr>
                <w:rFonts w:hint="eastAsia"/>
                <w:color w:val="auto"/>
                <w:highlight w:val="none"/>
                <w:lang w:val="en-US" w:eastAsia="zh-CN"/>
              </w:rPr>
              <w:t>（</w:t>
            </w:r>
            <w:r>
              <w:rPr>
                <w:rFonts w:hint="default"/>
                <w:color w:val="auto"/>
                <w:highlight w:val="none"/>
                <w:lang w:val="en-US" w:eastAsia="zh-CN"/>
              </w:rPr>
              <w:t>900-214-08</w:t>
            </w:r>
            <w:r>
              <w:rPr>
                <w:rFonts w:hint="eastAsia"/>
                <w:color w:val="auto"/>
                <w:highlight w:val="none"/>
                <w:lang w:val="en-US" w:eastAsia="zh-CN"/>
              </w:rPr>
              <w:t>），暂存于危废贮存间，由有资质的单位回收处置。</w:t>
            </w:r>
          </w:p>
          <w:p w14:paraId="2D8938E8">
            <w:pPr>
              <w:keepNext w:val="0"/>
              <w:keepLines w:val="0"/>
              <w:widowControl/>
              <w:suppressLineNumbers w:val="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③废油桶</w:t>
            </w:r>
          </w:p>
          <w:p w14:paraId="75A498CE">
            <w:pPr>
              <w:keepNext w:val="0"/>
              <w:keepLines w:val="0"/>
              <w:widowControl/>
              <w:suppressLineNumbers w:val="0"/>
              <w:jc w:val="left"/>
              <w:rPr>
                <w:rFonts w:hint="eastAsia"/>
                <w:color w:val="auto"/>
                <w:highlight w:val="none"/>
                <w:lang w:val="en-US" w:eastAsia="zh-CN"/>
              </w:rPr>
            </w:pPr>
            <w:r>
              <w:rPr>
                <w:rFonts w:hint="eastAsia" w:ascii="宋体" w:hAnsi="宋体" w:eastAsia="宋体" w:cs="宋体"/>
                <w:color w:val="auto"/>
                <w:kern w:val="0"/>
                <w:sz w:val="24"/>
                <w:szCs w:val="24"/>
                <w:highlight w:val="none"/>
                <w:lang w:val="en-US" w:eastAsia="zh-CN" w:bidi="ar"/>
              </w:rPr>
              <w:t>本项目机油使用完毕后会产生沾染少量机油的废油桶，根据建设单位提供的资料，废油桶产生量约为</w:t>
            </w:r>
            <w:r>
              <w:rPr>
                <w:rFonts w:hint="default" w:ascii="Times New Roman" w:hAnsi="Times New Roman" w:eastAsia="宋体" w:cs="Times New Roman"/>
                <w:color w:val="auto"/>
                <w:kern w:val="0"/>
                <w:sz w:val="24"/>
                <w:szCs w:val="24"/>
                <w:highlight w:val="none"/>
                <w:lang w:val="en-US" w:eastAsia="zh-CN" w:bidi="ar"/>
              </w:rPr>
              <w:t>0.0</w:t>
            </w:r>
            <w:r>
              <w:rPr>
                <w:rFonts w:hint="eastAsia" w:ascii="Times New Roman" w:hAnsi="Times New Roman" w:eastAsia="宋体" w:cs="Times New Roman"/>
                <w:color w:val="auto"/>
                <w:kern w:val="0"/>
                <w:sz w:val="24"/>
                <w:szCs w:val="24"/>
                <w:highlight w:val="none"/>
                <w:lang w:val="en-US" w:eastAsia="zh-CN" w:bidi="ar"/>
              </w:rPr>
              <w:t>3</w:t>
            </w:r>
            <w:r>
              <w:rPr>
                <w:rFonts w:hint="default" w:ascii="Times New Roman" w:hAnsi="Times New Roman" w:eastAsia="宋体" w:cs="Times New Roman"/>
                <w:color w:val="auto"/>
                <w:kern w:val="0"/>
                <w:sz w:val="24"/>
                <w:szCs w:val="24"/>
                <w:highlight w:val="none"/>
                <w:lang w:val="en-US" w:eastAsia="zh-CN" w:bidi="ar"/>
              </w:rPr>
              <w:t>t/a</w:t>
            </w:r>
            <w:r>
              <w:rPr>
                <w:rFonts w:hint="eastAsia" w:ascii="宋体" w:hAnsi="宋体" w:eastAsia="宋体" w:cs="宋体"/>
                <w:color w:val="auto"/>
                <w:kern w:val="0"/>
                <w:sz w:val="24"/>
                <w:szCs w:val="24"/>
                <w:highlight w:val="none"/>
                <w:lang w:val="en-US" w:eastAsia="zh-CN" w:bidi="ar"/>
              </w:rPr>
              <w:t>，根据《国家危险废物名录》（</w:t>
            </w:r>
            <w:r>
              <w:rPr>
                <w:rFonts w:hint="default" w:ascii="Times New Roman" w:hAnsi="Times New Roman" w:eastAsia="宋体" w:cs="Times New Roman"/>
                <w:color w:val="auto"/>
                <w:kern w:val="0"/>
                <w:sz w:val="24"/>
                <w:szCs w:val="24"/>
                <w:highlight w:val="none"/>
                <w:lang w:val="en-US" w:eastAsia="zh-CN" w:bidi="ar"/>
              </w:rPr>
              <w:t xml:space="preserve">2025 </w:t>
            </w:r>
            <w:r>
              <w:rPr>
                <w:rFonts w:hint="eastAsia" w:ascii="宋体" w:hAnsi="宋体" w:eastAsia="宋体" w:cs="宋体"/>
                <w:color w:val="auto"/>
                <w:kern w:val="0"/>
                <w:sz w:val="24"/>
                <w:szCs w:val="24"/>
                <w:highlight w:val="none"/>
                <w:lang w:val="en-US" w:eastAsia="zh-CN" w:bidi="ar"/>
              </w:rPr>
              <w:t>版），危险废物类别为：</w:t>
            </w:r>
            <w:r>
              <w:rPr>
                <w:rFonts w:hint="default" w:ascii="Times New Roman" w:hAnsi="Times New Roman" w:eastAsia="宋体" w:cs="Times New Roman"/>
                <w:color w:val="auto"/>
                <w:kern w:val="0"/>
                <w:sz w:val="24"/>
                <w:szCs w:val="24"/>
                <w:highlight w:val="none"/>
                <w:lang w:val="en-US" w:eastAsia="zh-CN" w:bidi="ar"/>
              </w:rPr>
              <w:t>HW08</w:t>
            </w:r>
            <w:r>
              <w:rPr>
                <w:rFonts w:hint="eastAsia" w:ascii="宋体" w:hAnsi="宋体" w:eastAsia="宋体" w:cs="宋体"/>
                <w:color w:val="auto"/>
                <w:kern w:val="0"/>
                <w:sz w:val="24"/>
                <w:szCs w:val="24"/>
                <w:highlight w:val="none"/>
                <w:lang w:val="en-US" w:eastAsia="zh-CN" w:bidi="ar"/>
              </w:rPr>
              <w:t>，废物代码为</w:t>
            </w:r>
            <w:r>
              <w:rPr>
                <w:rFonts w:hint="default" w:ascii="Times New Roman" w:hAnsi="Times New Roman" w:eastAsia="宋体" w:cs="Times New Roman"/>
                <w:color w:val="auto"/>
                <w:kern w:val="0"/>
                <w:sz w:val="24"/>
                <w:szCs w:val="24"/>
                <w:highlight w:val="none"/>
                <w:lang w:val="en-US" w:eastAsia="zh-CN" w:bidi="ar"/>
              </w:rPr>
              <w:t>900-249-08</w:t>
            </w:r>
            <w:r>
              <w:rPr>
                <w:rFonts w:hint="eastAsia" w:ascii="宋体" w:hAnsi="宋体" w:eastAsia="宋体" w:cs="宋体"/>
                <w:color w:val="auto"/>
                <w:kern w:val="0"/>
                <w:sz w:val="24"/>
                <w:szCs w:val="24"/>
                <w:highlight w:val="none"/>
                <w:lang w:val="en-US" w:eastAsia="zh-CN" w:bidi="ar"/>
              </w:rPr>
              <w:t>，暂存于危险废物暂存间后委托有危废资质的单位处理。</w:t>
            </w:r>
          </w:p>
          <w:p w14:paraId="1771EDAA">
            <w:pPr>
              <w:keepNext w:val="0"/>
              <w:keepLines w:val="0"/>
              <w:widowControl/>
              <w:suppressLineNumbers w:val="0"/>
              <w:jc w:val="left"/>
              <w:rPr>
                <w:rFonts w:hint="eastAsia"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④</w:t>
            </w:r>
            <w:r>
              <w:rPr>
                <w:rFonts w:hint="eastAsia" w:ascii="宋体" w:hAnsi="宋体" w:eastAsia="宋体" w:cs="宋体"/>
                <w:color w:val="auto"/>
                <w:kern w:val="0"/>
                <w:sz w:val="24"/>
                <w:szCs w:val="24"/>
                <w:highlight w:val="none"/>
                <w:lang w:val="en-US" w:eastAsia="zh-CN" w:bidi="ar"/>
              </w:rPr>
              <w:t>废含油抹布手套</w:t>
            </w:r>
          </w:p>
          <w:p w14:paraId="56FE5400">
            <w:pPr>
              <w:keepNext w:val="0"/>
              <w:keepLines w:val="0"/>
              <w:widowControl/>
              <w:suppressLineNumbers w:val="0"/>
              <w:jc w:val="left"/>
              <w:rPr>
                <w:rFonts w:hint="default"/>
                <w:color w:val="auto"/>
                <w:highlight w:val="none"/>
                <w:lang w:val="en-US" w:eastAsia="zh-CN"/>
              </w:rPr>
            </w:pPr>
            <w:r>
              <w:rPr>
                <w:rFonts w:hint="eastAsia" w:ascii="宋体" w:hAnsi="宋体" w:eastAsia="宋体" w:cs="宋体"/>
                <w:color w:val="auto"/>
                <w:kern w:val="0"/>
                <w:sz w:val="24"/>
                <w:szCs w:val="24"/>
                <w:highlight w:val="none"/>
                <w:lang w:val="en-US" w:eastAsia="zh-CN" w:bidi="ar"/>
              </w:rPr>
              <w:t xml:space="preserve">本项目机械设备维修和生产过程需要戴手套或用抹布擦拭设备，根据建设单位提供的资料，废含油抹布手套产生量约为 </w:t>
            </w:r>
            <w:r>
              <w:rPr>
                <w:rFonts w:hint="default" w:ascii="Times New Roman" w:hAnsi="Times New Roman" w:eastAsia="宋体" w:cs="Times New Roman"/>
                <w:color w:val="auto"/>
                <w:kern w:val="0"/>
                <w:sz w:val="24"/>
                <w:szCs w:val="24"/>
                <w:highlight w:val="none"/>
                <w:lang w:val="en-US" w:eastAsia="zh-CN" w:bidi="ar"/>
              </w:rPr>
              <w:t>0.0</w:t>
            </w:r>
            <w:r>
              <w:rPr>
                <w:rFonts w:hint="eastAsia" w:ascii="Times New Roman" w:hAnsi="Times New Roman" w:eastAsia="宋体" w:cs="Times New Roman"/>
                <w:color w:val="auto"/>
                <w:kern w:val="0"/>
                <w:sz w:val="24"/>
                <w:szCs w:val="24"/>
                <w:highlight w:val="none"/>
                <w:lang w:val="en-US" w:eastAsia="zh-CN" w:bidi="ar"/>
              </w:rPr>
              <w:t>1</w:t>
            </w:r>
            <w:r>
              <w:rPr>
                <w:rFonts w:hint="default" w:ascii="Times New Roman" w:hAnsi="Times New Roman" w:eastAsia="宋体" w:cs="Times New Roman"/>
                <w:color w:val="auto"/>
                <w:kern w:val="0"/>
                <w:sz w:val="24"/>
                <w:szCs w:val="24"/>
                <w:highlight w:val="none"/>
                <w:lang w:val="en-US" w:eastAsia="zh-CN" w:bidi="ar"/>
              </w:rPr>
              <w:t>t/a</w:t>
            </w:r>
            <w:r>
              <w:rPr>
                <w:rFonts w:hint="eastAsia" w:ascii="宋体" w:hAnsi="宋体" w:eastAsia="宋体" w:cs="宋体"/>
                <w:color w:val="auto"/>
                <w:kern w:val="0"/>
                <w:sz w:val="24"/>
                <w:szCs w:val="24"/>
                <w:highlight w:val="none"/>
                <w:lang w:val="en-US" w:eastAsia="zh-CN" w:bidi="ar"/>
              </w:rPr>
              <w:t>，根据《国家危险废物名录》（</w:t>
            </w:r>
            <w:r>
              <w:rPr>
                <w:rFonts w:hint="default" w:ascii="Times New Roman" w:hAnsi="Times New Roman" w:eastAsia="宋体" w:cs="Times New Roman"/>
                <w:color w:val="auto"/>
                <w:kern w:val="0"/>
                <w:sz w:val="24"/>
                <w:szCs w:val="24"/>
                <w:highlight w:val="none"/>
                <w:lang w:val="en-US" w:eastAsia="zh-CN" w:bidi="ar"/>
              </w:rPr>
              <w:t>2025</w:t>
            </w:r>
            <w:r>
              <w:rPr>
                <w:rFonts w:hint="eastAsia" w:ascii="宋体" w:hAnsi="宋体" w:eastAsia="宋体" w:cs="宋体"/>
                <w:color w:val="auto"/>
                <w:kern w:val="0"/>
                <w:sz w:val="24"/>
                <w:szCs w:val="24"/>
                <w:highlight w:val="none"/>
                <w:lang w:val="en-US" w:eastAsia="zh-CN" w:bidi="ar"/>
              </w:rPr>
              <w:t>版），危险废物类别为：</w:t>
            </w:r>
            <w:r>
              <w:rPr>
                <w:rFonts w:hint="default" w:ascii="Times New Roman" w:hAnsi="Times New Roman" w:eastAsia="宋体" w:cs="Times New Roman"/>
                <w:color w:val="auto"/>
                <w:kern w:val="0"/>
                <w:sz w:val="24"/>
                <w:szCs w:val="24"/>
                <w:highlight w:val="none"/>
                <w:lang w:val="en-US" w:eastAsia="zh-CN" w:bidi="ar"/>
              </w:rPr>
              <w:t>HW49</w:t>
            </w:r>
            <w:r>
              <w:rPr>
                <w:rFonts w:hint="eastAsia" w:ascii="宋体" w:hAnsi="宋体" w:eastAsia="宋体" w:cs="宋体"/>
                <w:color w:val="auto"/>
                <w:kern w:val="0"/>
                <w:sz w:val="24"/>
                <w:szCs w:val="24"/>
                <w:highlight w:val="none"/>
                <w:lang w:val="en-US" w:eastAsia="zh-CN" w:bidi="ar"/>
              </w:rPr>
              <w:t xml:space="preserve">，废物代码为 </w:t>
            </w:r>
            <w:r>
              <w:rPr>
                <w:rFonts w:hint="default" w:ascii="Times New Roman" w:hAnsi="Times New Roman" w:eastAsia="宋体" w:cs="Times New Roman"/>
                <w:color w:val="auto"/>
                <w:kern w:val="0"/>
                <w:sz w:val="24"/>
                <w:szCs w:val="24"/>
                <w:highlight w:val="none"/>
                <w:lang w:val="en-US" w:eastAsia="zh-CN" w:bidi="ar"/>
              </w:rPr>
              <w:t>900-041-49</w:t>
            </w:r>
            <w:r>
              <w:rPr>
                <w:rFonts w:hint="eastAsia" w:ascii="宋体" w:hAnsi="宋体" w:eastAsia="宋体" w:cs="宋体"/>
                <w:color w:val="auto"/>
                <w:kern w:val="0"/>
                <w:sz w:val="24"/>
                <w:szCs w:val="24"/>
                <w:highlight w:val="none"/>
                <w:lang w:val="en-US" w:eastAsia="zh-CN" w:bidi="ar"/>
              </w:rPr>
              <w:t>，暂存于危险废物</w:t>
            </w:r>
            <w:r>
              <w:rPr>
                <w:rFonts w:hint="eastAsia" w:ascii="宋体" w:hAnsi="宋体" w:cs="宋体"/>
                <w:color w:val="auto"/>
                <w:kern w:val="0"/>
                <w:sz w:val="24"/>
                <w:szCs w:val="24"/>
                <w:highlight w:val="none"/>
                <w:lang w:val="en-US" w:eastAsia="zh-CN" w:bidi="ar"/>
              </w:rPr>
              <w:t>贮存间</w:t>
            </w:r>
            <w:r>
              <w:rPr>
                <w:rFonts w:hint="eastAsia" w:ascii="宋体" w:hAnsi="宋体" w:eastAsia="宋体" w:cs="宋体"/>
                <w:color w:val="auto"/>
                <w:kern w:val="0"/>
                <w:sz w:val="24"/>
                <w:szCs w:val="24"/>
                <w:highlight w:val="none"/>
                <w:lang w:val="en-US" w:eastAsia="zh-CN" w:bidi="ar"/>
              </w:rPr>
              <w:t>后委托有危废资质的单位处理。</w:t>
            </w:r>
          </w:p>
          <w:p w14:paraId="242C6738">
            <w:pPr>
              <w:ind w:firstLine="480"/>
              <w:rPr>
                <w:color w:val="auto"/>
                <w:highlight w:val="none"/>
              </w:rPr>
            </w:pPr>
            <w:r>
              <w:rPr>
                <w:rFonts w:hint="eastAsia"/>
                <w:color w:val="auto"/>
                <w:highlight w:val="none"/>
                <w:lang w:val="en-US" w:eastAsia="zh-CN"/>
              </w:rPr>
              <w:t>⑤</w:t>
            </w:r>
            <w:r>
              <w:rPr>
                <w:rFonts w:hint="eastAsia"/>
                <w:color w:val="auto"/>
                <w:highlight w:val="none"/>
              </w:rPr>
              <w:t xml:space="preserve">废活性炭 </w:t>
            </w:r>
          </w:p>
          <w:p w14:paraId="2BD22D13">
            <w:pPr>
              <w:bidi w:val="0"/>
              <w:rPr>
                <w:color w:val="auto"/>
                <w:highlight w:val="none"/>
              </w:rPr>
            </w:pPr>
            <w:r>
              <w:rPr>
                <w:rFonts w:hint="eastAsia"/>
                <w:color w:val="auto"/>
                <w:highlight w:val="none"/>
                <w:lang w:val="en-US" w:eastAsia="zh-CN"/>
              </w:rPr>
              <w:t>根据中国建筑出版社（</w:t>
            </w:r>
            <w:r>
              <w:rPr>
                <w:rFonts w:hint="default"/>
                <w:color w:val="auto"/>
                <w:highlight w:val="none"/>
                <w:lang w:val="en-US" w:eastAsia="zh-CN"/>
              </w:rPr>
              <w:t>1997</w:t>
            </w:r>
            <w:r>
              <w:rPr>
                <w:rFonts w:hint="eastAsia"/>
                <w:color w:val="auto"/>
                <w:highlight w:val="none"/>
                <w:lang w:val="en-US" w:eastAsia="zh-CN"/>
              </w:rPr>
              <w:t>）出版的《简明通风设计手册》第十章中关于活性吸附处理治理废气的方法中提供的数据：每</w:t>
            </w:r>
            <w:r>
              <w:rPr>
                <w:rFonts w:hint="default"/>
                <w:color w:val="auto"/>
                <w:highlight w:val="none"/>
                <w:lang w:val="en-US" w:eastAsia="zh-CN"/>
              </w:rPr>
              <w:t>1.0kg</w:t>
            </w:r>
            <w:r>
              <w:rPr>
                <w:rFonts w:hint="eastAsia"/>
                <w:color w:val="auto"/>
                <w:highlight w:val="none"/>
                <w:lang w:val="en-US" w:eastAsia="zh-CN"/>
              </w:rPr>
              <w:t>活性炭吸附有机废气的平衡量为</w:t>
            </w:r>
            <w:r>
              <w:rPr>
                <w:rFonts w:hint="default"/>
                <w:color w:val="auto"/>
                <w:highlight w:val="none"/>
                <w:lang w:val="en-US" w:eastAsia="zh-CN"/>
              </w:rPr>
              <w:t>0.43</w:t>
            </w:r>
            <w:r>
              <w:rPr>
                <w:rFonts w:hint="eastAsia"/>
                <w:color w:val="auto"/>
                <w:highlight w:val="none"/>
                <w:lang w:val="en-US" w:eastAsia="zh-CN"/>
              </w:rPr>
              <w:t>～</w:t>
            </w:r>
            <w:r>
              <w:rPr>
                <w:rFonts w:hint="default"/>
                <w:color w:val="auto"/>
                <w:highlight w:val="none"/>
                <w:lang w:val="en-US" w:eastAsia="zh-CN"/>
              </w:rPr>
              <w:t>0.61kg</w:t>
            </w:r>
            <w:r>
              <w:rPr>
                <w:rFonts w:hint="eastAsia"/>
                <w:color w:val="auto"/>
                <w:highlight w:val="none"/>
                <w:lang w:val="en-US" w:eastAsia="zh-CN"/>
              </w:rPr>
              <w:t>，本项目按</w:t>
            </w:r>
            <w:r>
              <w:rPr>
                <w:rFonts w:hint="default"/>
                <w:color w:val="auto"/>
                <w:highlight w:val="none"/>
                <w:lang w:val="en-US" w:eastAsia="zh-CN"/>
              </w:rPr>
              <w:t>1t</w:t>
            </w:r>
            <w:r>
              <w:rPr>
                <w:rFonts w:hint="eastAsia"/>
                <w:color w:val="auto"/>
                <w:highlight w:val="none"/>
                <w:lang w:val="en-US" w:eastAsia="zh-CN"/>
              </w:rPr>
              <w:t>活性炭吸附</w:t>
            </w:r>
            <w:r>
              <w:rPr>
                <w:rFonts w:hint="default"/>
                <w:color w:val="auto"/>
                <w:highlight w:val="none"/>
                <w:lang w:val="en-US" w:eastAsia="zh-CN"/>
              </w:rPr>
              <w:t>0.5t</w:t>
            </w:r>
            <w:r>
              <w:rPr>
                <w:rFonts w:hint="eastAsia"/>
                <w:color w:val="auto"/>
                <w:highlight w:val="none"/>
                <w:lang w:val="en-US" w:eastAsia="zh-CN"/>
              </w:rPr>
              <w:t>有机废气计算，根据前文表4.2-13有组织废气产排污分析可知，本项目有组织有机废气（包括沥青烟、</w:t>
            </w:r>
            <w:r>
              <w:rPr>
                <w:rFonts w:hint="eastAsia" w:ascii="Times New Roman" w:hAnsi="Times New Roman" w:eastAsia="宋体" w:cs="Times New Roman"/>
                <w:color w:val="auto"/>
                <w:highlight w:val="none"/>
                <w:lang w:val="en-US" w:eastAsia="zh-CN"/>
              </w:rPr>
              <w:t>苯并[a]芘</w:t>
            </w:r>
            <w:r>
              <w:rPr>
                <w:rFonts w:hint="eastAsia" w:cs="Times New Roman"/>
                <w:color w:val="auto"/>
                <w:highlight w:val="none"/>
                <w:lang w:val="en-US" w:eastAsia="zh-CN"/>
              </w:rPr>
              <w:t>、</w:t>
            </w:r>
            <w:r>
              <w:rPr>
                <w:rFonts w:hint="eastAsia"/>
                <w:color w:val="auto"/>
                <w:highlight w:val="none"/>
                <w:lang w:val="en-US" w:eastAsia="zh-CN"/>
              </w:rPr>
              <w:t>非甲烷总烃）处理量为</w:t>
            </w:r>
            <w:r>
              <w:rPr>
                <w:rFonts w:hint="default" w:ascii="Times New Roman" w:hAnsi="Times New Roman" w:eastAsia="宋体" w:cs="Times New Roman"/>
                <w:color w:val="auto"/>
                <w:highlight w:val="none"/>
                <w:lang w:val="en-US" w:eastAsia="zh-CN"/>
              </w:rPr>
              <w:t>（0.3386+0.00045+0.0112+0.6772+0.0009+0.0224）×0.8</w:t>
            </w:r>
            <w:r>
              <w:rPr>
                <w:rFonts w:hint="eastAsia"/>
                <w:color w:val="auto"/>
                <w:highlight w:val="none"/>
                <w:lang w:val="en-US" w:eastAsia="zh-CN"/>
              </w:rPr>
              <w:t>=</w:t>
            </w:r>
            <w:r>
              <w:rPr>
                <w:rFonts w:hint="default"/>
                <w:color w:val="auto"/>
                <w:highlight w:val="none"/>
                <w:lang w:val="en-US" w:eastAsia="zh-CN"/>
              </w:rPr>
              <w:t>0.</w:t>
            </w:r>
            <w:r>
              <w:rPr>
                <w:rFonts w:hint="eastAsia"/>
                <w:color w:val="auto"/>
                <w:highlight w:val="none"/>
                <w:lang w:val="en-US" w:eastAsia="zh-CN"/>
              </w:rPr>
              <w:t>8406</w:t>
            </w:r>
            <w:r>
              <w:rPr>
                <w:rFonts w:hint="default"/>
                <w:color w:val="auto"/>
                <w:highlight w:val="none"/>
                <w:lang w:val="en-US" w:eastAsia="zh-CN"/>
              </w:rPr>
              <w:t>t/a</w:t>
            </w:r>
            <w:r>
              <w:rPr>
                <w:rFonts w:hint="eastAsia"/>
                <w:color w:val="auto"/>
                <w:highlight w:val="none"/>
                <w:lang w:val="en-US" w:eastAsia="zh-CN"/>
              </w:rPr>
              <w:t>（其中项目一期为0.2802</w:t>
            </w:r>
            <w:r>
              <w:rPr>
                <w:rFonts w:hint="default"/>
                <w:color w:val="auto"/>
                <w:highlight w:val="none"/>
                <w:lang w:val="en-US" w:eastAsia="zh-CN"/>
              </w:rPr>
              <w:t>t/a</w:t>
            </w:r>
            <w:r>
              <w:rPr>
                <w:rFonts w:hint="eastAsia"/>
                <w:color w:val="auto"/>
                <w:highlight w:val="none"/>
                <w:lang w:val="en-US" w:eastAsia="zh-CN"/>
              </w:rPr>
              <w:t>，二期为0.5604</w:t>
            </w:r>
            <w:r>
              <w:rPr>
                <w:rFonts w:hint="default"/>
                <w:color w:val="auto"/>
                <w:highlight w:val="none"/>
                <w:lang w:val="en-US" w:eastAsia="zh-CN"/>
              </w:rPr>
              <w:t>t/a</w:t>
            </w:r>
            <w:r>
              <w:rPr>
                <w:rFonts w:hint="eastAsia"/>
                <w:color w:val="auto"/>
                <w:highlight w:val="none"/>
                <w:lang w:val="en-US" w:eastAsia="zh-CN"/>
              </w:rPr>
              <w:t>），则本项目活性炭使用量为0.8406</w:t>
            </w:r>
            <w:r>
              <w:rPr>
                <w:rFonts w:hint="default" w:ascii="Arial" w:hAnsi="Arial" w:cs="Arial"/>
                <w:color w:val="auto"/>
                <w:highlight w:val="none"/>
                <w:lang w:val="en-US" w:eastAsia="zh-CN"/>
              </w:rPr>
              <w:t>÷</w:t>
            </w:r>
            <w:r>
              <w:rPr>
                <w:rFonts w:hint="eastAsia"/>
                <w:color w:val="auto"/>
                <w:highlight w:val="none"/>
                <w:lang w:val="en-US" w:eastAsia="zh-CN"/>
              </w:rPr>
              <w:t>0.5=1.6812</w:t>
            </w:r>
            <w:r>
              <w:rPr>
                <w:rFonts w:hint="default"/>
                <w:color w:val="auto"/>
                <w:highlight w:val="none"/>
                <w:lang w:val="en-US" w:eastAsia="zh-CN"/>
              </w:rPr>
              <w:t>t/a</w:t>
            </w:r>
            <w:r>
              <w:rPr>
                <w:rFonts w:hint="eastAsia"/>
                <w:color w:val="auto"/>
                <w:highlight w:val="none"/>
                <w:lang w:val="en-US" w:eastAsia="zh-CN"/>
              </w:rPr>
              <w:t>，因此本项目产生废活性炭约1.6812</w:t>
            </w:r>
            <w:r>
              <w:rPr>
                <w:rFonts w:hint="default"/>
                <w:color w:val="auto"/>
                <w:highlight w:val="none"/>
                <w:lang w:val="en-US" w:eastAsia="zh-CN"/>
              </w:rPr>
              <w:t>t/a</w:t>
            </w:r>
            <w:r>
              <w:rPr>
                <w:rFonts w:hint="eastAsia"/>
                <w:color w:val="auto"/>
                <w:highlight w:val="none"/>
                <w:lang w:val="en-US" w:eastAsia="zh-CN"/>
              </w:rPr>
              <w:t>（其中项目一期为0.5604</w:t>
            </w:r>
            <w:r>
              <w:rPr>
                <w:rFonts w:hint="default"/>
                <w:color w:val="auto"/>
                <w:highlight w:val="none"/>
                <w:lang w:val="en-US" w:eastAsia="zh-CN"/>
              </w:rPr>
              <w:t>t/a</w:t>
            </w:r>
            <w:r>
              <w:rPr>
                <w:rFonts w:hint="eastAsia"/>
                <w:color w:val="auto"/>
                <w:highlight w:val="none"/>
                <w:lang w:val="en-US" w:eastAsia="zh-CN"/>
              </w:rPr>
              <w:t>，二期为1.1208</w:t>
            </w:r>
            <w:r>
              <w:rPr>
                <w:rFonts w:hint="default"/>
                <w:color w:val="auto"/>
                <w:highlight w:val="none"/>
                <w:lang w:val="en-US" w:eastAsia="zh-CN"/>
              </w:rPr>
              <w:t>t/a</w:t>
            </w:r>
            <w:r>
              <w:rPr>
                <w:rFonts w:hint="eastAsia"/>
                <w:color w:val="auto"/>
                <w:highlight w:val="none"/>
                <w:lang w:val="en-US" w:eastAsia="zh-CN"/>
              </w:rPr>
              <w:t>）</w:t>
            </w:r>
            <w:r>
              <w:rPr>
                <w:rFonts w:hint="eastAsia"/>
                <w:color w:val="auto"/>
                <w:kern w:val="0"/>
                <w:highlight w:val="none"/>
                <w:lang w:eastAsia="zh-CN" w:bidi="ar"/>
              </w:rPr>
              <w:t>，</w:t>
            </w:r>
            <w:r>
              <w:rPr>
                <w:color w:val="auto"/>
                <w:highlight w:val="none"/>
              </w:rPr>
              <w:t>属于《国家危险废物名录》（</w:t>
            </w:r>
            <w:r>
              <w:rPr>
                <w:rFonts w:hint="eastAsia"/>
                <w:color w:val="auto"/>
                <w:highlight w:val="none"/>
              </w:rPr>
              <w:t>202</w:t>
            </w:r>
            <w:r>
              <w:rPr>
                <w:rFonts w:hint="eastAsia"/>
                <w:color w:val="auto"/>
                <w:highlight w:val="none"/>
                <w:lang w:val="en-US" w:eastAsia="zh-CN"/>
              </w:rPr>
              <w:t>5</w:t>
            </w:r>
            <w:r>
              <w:rPr>
                <w:color w:val="auto"/>
                <w:highlight w:val="none"/>
              </w:rPr>
              <w:t>版）中</w:t>
            </w:r>
            <w:r>
              <w:rPr>
                <w:rFonts w:hint="eastAsia"/>
                <w:color w:val="auto"/>
                <w:highlight w:val="none"/>
              </w:rPr>
              <w:t>“</w:t>
            </w:r>
            <w:r>
              <w:rPr>
                <w:color w:val="auto"/>
                <w:highlight w:val="none"/>
              </w:rPr>
              <w:t>HW</w:t>
            </w:r>
            <w:r>
              <w:rPr>
                <w:rFonts w:hint="eastAsia"/>
                <w:color w:val="auto"/>
                <w:highlight w:val="none"/>
                <w:lang w:val="en-US" w:eastAsia="zh-CN"/>
              </w:rPr>
              <w:t>49</w:t>
            </w:r>
            <w:r>
              <w:rPr>
                <w:color w:val="auto"/>
                <w:highlight w:val="none"/>
              </w:rPr>
              <w:t xml:space="preserve"> </w:t>
            </w:r>
            <w:r>
              <w:rPr>
                <w:rFonts w:hint="eastAsia"/>
                <w:color w:val="auto"/>
                <w:highlight w:val="none"/>
                <w:lang w:val="en-US" w:eastAsia="zh-CN"/>
              </w:rPr>
              <w:t>其他</w:t>
            </w:r>
            <w:r>
              <w:rPr>
                <w:color w:val="auto"/>
                <w:highlight w:val="none"/>
              </w:rPr>
              <w:t>废物，废物代码为</w:t>
            </w:r>
            <w:r>
              <w:rPr>
                <w:rFonts w:hint="eastAsia"/>
                <w:color w:val="auto"/>
                <w:highlight w:val="none"/>
                <w:lang w:val="en-US" w:eastAsia="zh-CN"/>
              </w:rPr>
              <w:t>900-039-49</w:t>
            </w:r>
            <w:r>
              <w:rPr>
                <w:rFonts w:hint="eastAsia"/>
                <w:color w:val="auto"/>
                <w:highlight w:val="none"/>
              </w:rPr>
              <w:t>”</w:t>
            </w:r>
            <w:r>
              <w:rPr>
                <w:color w:val="auto"/>
                <w:highlight w:val="none"/>
              </w:rPr>
              <w:t>，收集后委托有资质的单位处理处置。</w:t>
            </w:r>
          </w:p>
          <w:p w14:paraId="23B93D11">
            <w:pPr>
              <w:keepNext w:val="0"/>
              <w:keepLines w:val="0"/>
              <w:widowControl/>
              <w:suppressLineNumbers w:val="0"/>
              <w:jc w:val="left"/>
              <w:rPr>
                <w:rFonts w:hint="eastAsia" w:ascii="宋体" w:hAnsi="宋体" w:eastAsia="宋体" w:cs="宋体"/>
                <w:color w:val="auto"/>
                <w:kern w:val="0"/>
                <w:sz w:val="24"/>
                <w:szCs w:val="24"/>
                <w:highlight w:val="none"/>
                <w:lang w:val="en-US" w:eastAsia="zh-CN" w:bidi="ar"/>
              </w:rPr>
            </w:pPr>
            <w:r>
              <w:rPr>
                <w:rFonts w:hint="eastAsia"/>
                <w:color w:val="auto"/>
                <w:highlight w:val="none"/>
                <w:lang w:val="en-US" w:eastAsia="zh-CN"/>
              </w:rPr>
              <w:t>⑥</w:t>
            </w:r>
            <w:r>
              <w:rPr>
                <w:rFonts w:hint="eastAsia" w:ascii="宋体" w:hAnsi="宋体" w:eastAsia="宋体" w:cs="宋体"/>
                <w:color w:val="auto"/>
                <w:kern w:val="0"/>
                <w:sz w:val="24"/>
                <w:szCs w:val="24"/>
                <w:highlight w:val="none"/>
                <w:lang w:val="en-US" w:eastAsia="zh-CN" w:bidi="ar"/>
              </w:rPr>
              <w:t>喷淋废液</w:t>
            </w:r>
          </w:p>
          <w:p w14:paraId="6068B951">
            <w:pPr>
              <w:keepNext w:val="0"/>
              <w:keepLines w:val="0"/>
              <w:widowControl/>
              <w:suppressLineNumbers w:val="0"/>
              <w:jc w:val="left"/>
              <w:rPr>
                <w:rFonts w:hint="eastAsia"/>
                <w:color w:val="auto"/>
                <w:highlight w:val="none"/>
                <w:lang w:val="en-US" w:eastAsia="zh-CN"/>
              </w:rPr>
            </w:pPr>
            <w:r>
              <w:rPr>
                <w:rFonts w:hint="eastAsia"/>
                <w:color w:val="auto"/>
                <w:highlight w:val="none"/>
                <w:lang w:val="en-US" w:eastAsia="zh-CN"/>
              </w:rPr>
              <w:t>项目一期拟建喷淋塔循环液箱容积约为1</w:t>
            </w:r>
            <w:r>
              <w:rPr>
                <w:rFonts w:hint="default"/>
                <w:color w:val="auto"/>
                <w:highlight w:val="none"/>
                <w:lang w:val="en-US" w:eastAsia="zh-CN"/>
              </w:rPr>
              <w:t>m</w:t>
            </w:r>
            <w:r>
              <w:rPr>
                <w:rFonts w:hint="default"/>
                <w:color w:val="auto"/>
                <w:highlight w:val="none"/>
                <w:vertAlign w:val="superscript"/>
                <w:lang w:val="en-US" w:eastAsia="zh-CN"/>
              </w:rPr>
              <w:t>3</w:t>
            </w:r>
            <w:r>
              <w:rPr>
                <w:rFonts w:hint="eastAsia"/>
                <w:color w:val="auto"/>
                <w:highlight w:val="none"/>
                <w:lang w:val="en-US" w:eastAsia="zh-CN"/>
              </w:rPr>
              <w:t>，项目二期拟建喷淋塔循环液箱容积约为2</w:t>
            </w:r>
            <w:r>
              <w:rPr>
                <w:rFonts w:hint="default"/>
                <w:color w:val="auto"/>
                <w:highlight w:val="none"/>
                <w:lang w:val="en-US" w:eastAsia="zh-CN"/>
              </w:rPr>
              <w:t>m</w:t>
            </w:r>
            <w:r>
              <w:rPr>
                <w:rFonts w:hint="default"/>
                <w:color w:val="auto"/>
                <w:highlight w:val="none"/>
                <w:vertAlign w:val="superscript"/>
                <w:lang w:val="en-US" w:eastAsia="zh-CN"/>
              </w:rPr>
              <w:t>3</w:t>
            </w:r>
            <w:r>
              <w:rPr>
                <w:rFonts w:hint="eastAsia" w:ascii="宋体" w:hAnsi="宋体" w:eastAsia="宋体" w:cs="宋体"/>
                <w:color w:val="auto"/>
                <w:kern w:val="0"/>
                <w:sz w:val="24"/>
                <w:szCs w:val="24"/>
                <w:highlight w:val="none"/>
                <w:lang w:val="en-US" w:eastAsia="zh-CN" w:bidi="ar"/>
              </w:rPr>
              <w:t>，更换频率一般为</w:t>
            </w:r>
            <w:r>
              <w:rPr>
                <w:rFonts w:hint="default" w:ascii="Times New Roman" w:hAnsi="Times New Roman" w:eastAsia="宋体" w:cs="Times New Roman"/>
                <w:color w:val="auto"/>
                <w:kern w:val="0"/>
                <w:sz w:val="24"/>
                <w:szCs w:val="24"/>
                <w:highlight w:val="none"/>
                <w:lang w:val="en-US" w:eastAsia="zh-CN" w:bidi="ar"/>
              </w:rPr>
              <w:t>1</w:t>
            </w:r>
            <w:r>
              <w:rPr>
                <w:rFonts w:hint="eastAsia" w:ascii="宋体" w:hAnsi="宋体" w:eastAsia="宋体" w:cs="宋体"/>
                <w:color w:val="auto"/>
                <w:kern w:val="0"/>
                <w:sz w:val="24"/>
                <w:szCs w:val="24"/>
                <w:highlight w:val="none"/>
                <w:lang w:val="en-US" w:eastAsia="zh-CN" w:bidi="ar"/>
              </w:rPr>
              <w:t>个月，</w:t>
            </w:r>
            <w:r>
              <w:rPr>
                <w:rFonts w:hint="eastAsia" w:ascii="宋体" w:hAnsi="宋体" w:cs="宋体"/>
                <w:color w:val="auto"/>
                <w:kern w:val="0"/>
                <w:sz w:val="24"/>
                <w:szCs w:val="24"/>
                <w:highlight w:val="none"/>
                <w:lang w:val="en-US" w:eastAsia="zh-CN" w:bidi="ar"/>
              </w:rPr>
              <w:t>项目年工作天数</w:t>
            </w:r>
            <w:r>
              <w:rPr>
                <w:rFonts w:hint="default" w:ascii="Times New Roman" w:hAnsi="Times New Roman" w:cs="Times New Roman"/>
                <w:color w:val="auto"/>
                <w:kern w:val="0"/>
                <w:sz w:val="24"/>
                <w:szCs w:val="24"/>
                <w:highlight w:val="none"/>
                <w:lang w:val="en-US" w:eastAsia="zh-CN" w:bidi="ar"/>
              </w:rPr>
              <w:t>240</w:t>
            </w:r>
            <w:r>
              <w:rPr>
                <w:rFonts w:hint="eastAsia" w:ascii="Times New Roman" w:hAnsi="Times New Roman" w:cs="Times New Roman"/>
                <w:color w:val="auto"/>
                <w:kern w:val="0"/>
                <w:sz w:val="24"/>
                <w:szCs w:val="24"/>
                <w:highlight w:val="none"/>
                <w:lang w:val="en-US" w:eastAsia="zh-CN" w:bidi="ar"/>
              </w:rPr>
              <w:t>天</w:t>
            </w:r>
            <w:r>
              <w:rPr>
                <w:rFonts w:hint="default" w:ascii="Times New Roman" w:hAnsi="Times New Roman" w:cs="Times New Roman"/>
                <w:color w:val="auto"/>
                <w:kern w:val="0"/>
                <w:sz w:val="24"/>
                <w:szCs w:val="24"/>
                <w:highlight w:val="none"/>
                <w:lang w:val="en-US" w:eastAsia="zh-CN" w:bidi="ar"/>
              </w:rPr>
              <w:t>，</w:t>
            </w:r>
            <w:r>
              <w:rPr>
                <w:rFonts w:hint="eastAsia" w:ascii="Times New Roman" w:hAnsi="Times New Roman" w:cs="Times New Roman"/>
                <w:color w:val="auto"/>
                <w:kern w:val="0"/>
                <w:sz w:val="24"/>
                <w:szCs w:val="24"/>
                <w:highlight w:val="none"/>
                <w:lang w:val="en-US" w:eastAsia="zh-CN" w:bidi="ar"/>
              </w:rPr>
              <w:t>则本项目每年需更换8次喷淋塔循环液，因此项目</w:t>
            </w:r>
            <w:r>
              <w:rPr>
                <w:rFonts w:hint="eastAsia" w:ascii="宋体" w:hAnsi="宋体" w:eastAsia="宋体" w:cs="宋体"/>
                <w:color w:val="auto"/>
                <w:kern w:val="0"/>
                <w:sz w:val="24"/>
                <w:szCs w:val="24"/>
                <w:highlight w:val="none"/>
                <w:lang w:val="en-US" w:eastAsia="zh-CN" w:bidi="ar"/>
              </w:rPr>
              <w:t>喷淋塔废液</w:t>
            </w:r>
            <w:r>
              <w:rPr>
                <w:rFonts w:hint="eastAsia" w:ascii="宋体" w:hAnsi="宋体" w:cs="宋体"/>
                <w:color w:val="auto"/>
                <w:kern w:val="0"/>
                <w:sz w:val="24"/>
                <w:szCs w:val="24"/>
                <w:highlight w:val="none"/>
                <w:lang w:val="en-US" w:eastAsia="zh-CN" w:bidi="ar"/>
              </w:rPr>
              <w:t>产生量</w:t>
            </w:r>
            <w:r>
              <w:rPr>
                <w:rFonts w:hint="eastAsia" w:ascii="宋体" w:hAnsi="宋体" w:eastAsia="宋体" w:cs="宋体"/>
                <w:color w:val="auto"/>
                <w:kern w:val="0"/>
                <w:sz w:val="24"/>
                <w:szCs w:val="24"/>
                <w:highlight w:val="none"/>
                <w:lang w:val="en-US" w:eastAsia="zh-CN" w:bidi="ar"/>
              </w:rPr>
              <w:t>为</w:t>
            </w:r>
            <w:r>
              <w:rPr>
                <w:rFonts w:hint="eastAsia" w:ascii="Times New Roman" w:hAnsi="Times New Roman" w:eastAsia="宋体" w:cs="Times New Roman"/>
                <w:color w:val="auto"/>
                <w:kern w:val="0"/>
                <w:sz w:val="24"/>
                <w:szCs w:val="24"/>
                <w:highlight w:val="none"/>
                <w:lang w:val="en-US" w:eastAsia="zh-CN" w:bidi="ar"/>
              </w:rPr>
              <w:t>24</w:t>
            </w:r>
            <w:r>
              <w:rPr>
                <w:rFonts w:hint="default" w:ascii="Times New Roman" w:hAnsi="Times New Roman" w:eastAsia="宋体" w:cs="Times New Roman"/>
                <w:color w:val="auto"/>
                <w:kern w:val="0"/>
                <w:sz w:val="24"/>
                <w:szCs w:val="24"/>
                <w:highlight w:val="none"/>
                <w:lang w:val="en-US" w:eastAsia="zh-CN" w:bidi="ar"/>
              </w:rPr>
              <w:t>t/a</w:t>
            </w:r>
            <w:r>
              <w:rPr>
                <w:rFonts w:hint="eastAsia" w:ascii="宋体" w:hAnsi="宋体" w:eastAsia="宋体" w:cs="宋体"/>
                <w:color w:val="auto"/>
                <w:kern w:val="0"/>
                <w:sz w:val="24"/>
                <w:szCs w:val="24"/>
                <w:highlight w:val="none"/>
                <w:lang w:val="en-US" w:eastAsia="zh-CN" w:bidi="ar"/>
              </w:rPr>
              <w:t>，根据《国家危险废物名录》（</w:t>
            </w:r>
            <w:r>
              <w:rPr>
                <w:rFonts w:hint="default" w:ascii="Times New Roman" w:hAnsi="Times New Roman" w:eastAsia="宋体" w:cs="Times New Roman"/>
                <w:color w:val="auto"/>
                <w:kern w:val="0"/>
                <w:sz w:val="24"/>
                <w:szCs w:val="24"/>
                <w:highlight w:val="none"/>
                <w:lang w:val="en-US" w:eastAsia="zh-CN" w:bidi="ar"/>
              </w:rPr>
              <w:t>2025</w:t>
            </w:r>
            <w:r>
              <w:rPr>
                <w:rFonts w:hint="eastAsia" w:ascii="宋体" w:hAnsi="宋体" w:eastAsia="宋体" w:cs="宋体"/>
                <w:color w:val="auto"/>
                <w:kern w:val="0"/>
                <w:sz w:val="24"/>
                <w:szCs w:val="24"/>
                <w:highlight w:val="none"/>
                <w:lang w:val="en-US" w:eastAsia="zh-CN" w:bidi="ar"/>
              </w:rPr>
              <w:t>版），危险废物类别为：</w:t>
            </w:r>
            <w:r>
              <w:rPr>
                <w:rFonts w:hint="default" w:ascii="Times New Roman" w:hAnsi="Times New Roman" w:eastAsia="宋体" w:cs="Times New Roman"/>
                <w:color w:val="auto"/>
                <w:kern w:val="0"/>
                <w:sz w:val="24"/>
                <w:szCs w:val="24"/>
                <w:highlight w:val="none"/>
                <w:lang w:val="en-US" w:eastAsia="zh-CN" w:bidi="ar"/>
              </w:rPr>
              <w:t>HW49</w:t>
            </w:r>
            <w:r>
              <w:rPr>
                <w:rFonts w:hint="eastAsia" w:ascii="宋体" w:hAnsi="宋体" w:eastAsia="宋体" w:cs="宋体"/>
                <w:color w:val="auto"/>
                <w:kern w:val="0"/>
                <w:sz w:val="24"/>
                <w:szCs w:val="24"/>
                <w:highlight w:val="none"/>
                <w:lang w:val="en-US" w:eastAsia="zh-CN" w:bidi="ar"/>
              </w:rPr>
              <w:t>，废物代码为</w:t>
            </w:r>
            <w:r>
              <w:rPr>
                <w:rFonts w:hint="default" w:ascii="Times New Roman" w:hAnsi="Times New Roman" w:eastAsia="宋体" w:cs="Times New Roman"/>
                <w:color w:val="auto"/>
                <w:kern w:val="0"/>
                <w:sz w:val="24"/>
                <w:szCs w:val="24"/>
                <w:highlight w:val="none"/>
                <w:lang w:val="en-US" w:eastAsia="zh-CN" w:bidi="ar"/>
              </w:rPr>
              <w:t>900-0</w:t>
            </w:r>
            <w:r>
              <w:rPr>
                <w:rFonts w:hint="eastAsia" w:cs="Times New Roman"/>
                <w:color w:val="auto"/>
                <w:kern w:val="0"/>
                <w:sz w:val="24"/>
                <w:szCs w:val="24"/>
                <w:highlight w:val="none"/>
                <w:lang w:val="en-US" w:eastAsia="zh-CN" w:bidi="ar"/>
              </w:rPr>
              <w:t>41</w:t>
            </w:r>
            <w:r>
              <w:rPr>
                <w:rFonts w:hint="default" w:ascii="Times New Roman" w:hAnsi="Times New Roman" w:eastAsia="宋体" w:cs="Times New Roman"/>
                <w:color w:val="auto"/>
                <w:kern w:val="0"/>
                <w:sz w:val="24"/>
                <w:szCs w:val="24"/>
                <w:highlight w:val="none"/>
                <w:lang w:val="en-US" w:eastAsia="zh-CN" w:bidi="ar"/>
              </w:rPr>
              <w:t>-49</w:t>
            </w:r>
            <w:r>
              <w:rPr>
                <w:rFonts w:hint="eastAsia" w:ascii="宋体" w:hAnsi="宋体" w:eastAsia="宋体" w:cs="宋体"/>
                <w:color w:val="auto"/>
                <w:kern w:val="0"/>
                <w:sz w:val="24"/>
                <w:szCs w:val="24"/>
                <w:highlight w:val="none"/>
                <w:lang w:val="en-US" w:eastAsia="zh-CN" w:bidi="ar"/>
              </w:rPr>
              <w:t>，暂存于危险废物暂存间后委托有危废资质的单位处理。</w:t>
            </w:r>
          </w:p>
          <w:p w14:paraId="2F2F27EA">
            <w:pPr>
              <w:ind w:firstLine="482"/>
              <w:rPr>
                <w:b/>
                <w:bCs/>
                <w:color w:val="auto"/>
                <w:szCs w:val="28"/>
                <w:highlight w:val="none"/>
              </w:rPr>
            </w:pPr>
            <w:r>
              <w:rPr>
                <w:rFonts w:hint="eastAsia"/>
                <w:b/>
                <w:bCs/>
                <w:color w:val="auto"/>
                <w:highlight w:val="none"/>
                <w:lang w:bidi="ar"/>
              </w:rPr>
              <w:t>（3）</w:t>
            </w:r>
            <w:r>
              <w:rPr>
                <w:b/>
                <w:bCs/>
                <w:color w:val="auto"/>
                <w:highlight w:val="none"/>
                <w:lang w:bidi="ar"/>
              </w:rPr>
              <w:t>生活垃圾</w:t>
            </w:r>
          </w:p>
          <w:p w14:paraId="2DBDE9F7">
            <w:pPr>
              <w:ind w:firstLine="480"/>
              <w:rPr>
                <w:color w:val="auto"/>
                <w:kern w:val="0"/>
                <w:highlight w:val="none"/>
                <w:lang w:bidi="ar"/>
              </w:rPr>
            </w:pPr>
            <w:r>
              <w:rPr>
                <w:color w:val="auto"/>
                <w:kern w:val="0"/>
                <w:highlight w:val="none"/>
                <w:lang w:bidi="ar"/>
              </w:rPr>
              <w:t>生活垃圾主要来源于项目职工日常生活中产生的垃圾，项目职工人数共</w:t>
            </w:r>
            <w:r>
              <w:rPr>
                <w:rFonts w:hint="eastAsia"/>
                <w:color w:val="auto"/>
                <w:kern w:val="0"/>
                <w:highlight w:val="none"/>
                <w:lang w:val="en-US" w:eastAsia="zh-CN" w:bidi="ar"/>
              </w:rPr>
              <w:t>10</w:t>
            </w:r>
            <w:r>
              <w:rPr>
                <w:rFonts w:hint="eastAsia"/>
                <w:color w:val="auto"/>
                <w:kern w:val="0"/>
                <w:highlight w:val="none"/>
                <w:lang w:bidi="ar"/>
              </w:rPr>
              <w:t>人</w:t>
            </w:r>
            <w:r>
              <w:rPr>
                <w:color w:val="auto"/>
                <w:kern w:val="0"/>
                <w:highlight w:val="none"/>
                <w:lang w:bidi="ar"/>
              </w:rPr>
              <w:t>，</w:t>
            </w:r>
            <w:r>
              <w:rPr>
                <w:rFonts w:hint="eastAsia" w:ascii="Times New Roman" w:hAnsi="Times New Roman" w:cs="Times New Roman"/>
                <w:color w:val="auto"/>
                <w:kern w:val="0"/>
                <w:sz w:val="24"/>
                <w:szCs w:val="24"/>
                <w:highlight w:val="none"/>
                <w:shd w:val="clear" w:color="auto" w:fill="auto"/>
                <w:lang w:val="en-US" w:eastAsia="zh-CN" w:bidi="ar"/>
              </w:rPr>
              <w:t>住厂</w:t>
            </w:r>
            <w:r>
              <w:rPr>
                <w:rFonts w:hint="default" w:ascii="Times New Roman" w:hAnsi="Times New Roman" w:cs="Times New Roman"/>
                <w:color w:val="auto"/>
                <w:kern w:val="0"/>
                <w:sz w:val="24"/>
                <w:szCs w:val="24"/>
                <w:highlight w:val="none"/>
                <w:shd w:val="clear" w:color="auto" w:fill="auto"/>
                <w:lang w:bidi="ar"/>
              </w:rPr>
              <w:t>职工生活垃圾排放量按</w:t>
            </w:r>
            <w:r>
              <w:rPr>
                <w:rFonts w:hint="eastAsia" w:ascii="Times New Roman" w:hAnsi="Times New Roman" w:cs="Times New Roman"/>
                <w:color w:val="auto"/>
                <w:kern w:val="0"/>
                <w:sz w:val="24"/>
                <w:szCs w:val="24"/>
                <w:highlight w:val="none"/>
                <w:shd w:val="clear" w:color="auto" w:fill="auto"/>
                <w:lang w:val="en-US" w:eastAsia="zh-CN" w:bidi="ar"/>
              </w:rPr>
              <w:t>1</w:t>
            </w:r>
            <w:r>
              <w:rPr>
                <w:rFonts w:hint="default" w:ascii="Times New Roman" w:hAnsi="Times New Roman" w:cs="Times New Roman"/>
                <w:color w:val="auto"/>
                <w:kern w:val="0"/>
                <w:sz w:val="24"/>
                <w:szCs w:val="24"/>
                <w:highlight w:val="none"/>
                <w:shd w:val="clear" w:color="auto" w:fill="auto"/>
                <w:lang w:bidi="ar"/>
              </w:rPr>
              <w:t>kg/人·天计</w:t>
            </w:r>
            <w:r>
              <w:rPr>
                <w:rFonts w:hint="eastAsia"/>
                <w:color w:val="auto"/>
                <w:kern w:val="0"/>
                <w:highlight w:val="none"/>
                <w:lang w:bidi="ar"/>
              </w:rPr>
              <w:t>，</w:t>
            </w:r>
            <w:r>
              <w:rPr>
                <w:color w:val="auto"/>
                <w:kern w:val="0"/>
                <w:highlight w:val="none"/>
                <w:lang w:bidi="ar"/>
              </w:rPr>
              <w:t>则生活垃圾产生量为</w:t>
            </w:r>
            <w:r>
              <w:rPr>
                <w:rFonts w:hint="eastAsia"/>
                <w:color w:val="auto"/>
                <w:kern w:val="0"/>
                <w:highlight w:val="none"/>
                <w:lang w:val="en-US" w:eastAsia="zh-CN" w:bidi="ar"/>
              </w:rPr>
              <w:t>10kg</w:t>
            </w:r>
            <w:r>
              <w:rPr>
                <w:color w:val="auto"/>
                <w:kern w:val="0"/>
                <w:highlight w:val="none"/>
                <w:lang w:bidi="ar"/>
              </w:rPr>
              <w:t>/d，年产生量约为</w:t>
            </w:r>
            <w:r>
              <w:rPr>
                <w:rFonts w:hint="eastAsia"/>
                <w:color w:val="auto"/>
                <w:kern w:val="0"/>
                <w:highlight w:val="none"/>
                <w:lang w:val="en-US" w:eastAsia="zh-CN" w:bidi="ar"/>
              </w:rPr>
              <w:t>2.4</w:t>
            </w:r>
            <w:r>
              <w:rPr>
                <w:color w:val="auto"/>
                <w:kern w:val="0"/>
                <w:highlight w:val="none"/>
                <w:lang w:bidi="ar"/>
              </w:rPr>
              <w:t>t</w:t>
            </w:r>
            <w:r>
              <w:rPr>
                <w:rFonts w:hint="eastAsia"/>
                <w:color w:val="auto"/>
                <w:kern w:val="0"/>
                <w:highlight w:val="none"/>
                <w:lang w:bidi="ar"/>
              </w:rPr>
              <w:t>（</w:t>
            </w:r>
            <w:r>
              <w:rPr>
                <w:color w:val="auto"/>
                <w:kern w:val="0"/>
                <w:highlight w:val="none"/>
                <w:lang w:bidi="ar"/>
              </w:rPr>
              <w:t>按年工作</w:t>
            </w:r>
            <w:r>
              <w:rPr>
                <w:rFonts w:hint="eastAsia"/>
                <w:color w:val="auto"/>
                <w:kern w:val="0"/>
                <w:highlight w:val="none"/>
                <w:lang w:bidi="ar"/>
              </w:rPr>
              <w:t>2</w:t>
            </w:r>
            <w:r>
              <w:rPr>
                <w:rFonts w:hint="eastAsia"/>
                <w:color w:val="auto"/>
                <w:kern w:val="0"/>
                <w:highlight w:val="none"/>
                <w:lang w:val="en-US" w:eastAsia="zh-CN" w:bidi="ar"/>
              </w:rPr>
              <w:t>4</w:t>
            </w:r>
            <w:r>
              <w:rPr>
                <w:rFonts w:hint="eastAsia"/>
                <w:color w:val="auto"/>
                <w:kern w:val="0"/>
                <w:highlight w:val="none"/>
                <w:lang w:bidi="ar"/>
              </w:rPr>
              <w:t>0</w:t>
            </w:r>
            <w:r>
              <w:rPr>
                <w:color w:val="auto"/>
                <w:kern w:val="0"/>
                <w:highlight w:val="none"/>
                <w:lang w:bidi="ar"/>
              </w:rPr>
              <w:t>天计</w:t>
            </w:r>
            <w:r>
              <w:rPr>
                <w:rFonts w:hint="eastAsia"/>
                <w:color w:val="auto"/>
                <w:kern w:val="0"/>
                <w:highlight w:val="none"/>
                <w:lang w:bidi="ar"/>
              </w:rPr>
              <w:t>）</w:t>
            </w:r>
            <w:r>
              <w:rPr>
                <w:color w:val="auto"/>
                <w:kern w:val="0"/>
                <w:highlight w:val="none"/>
                <w:lang w:bidi="ar"/>
              </w:rPr>
              <w:t>，统一收集后，全部委托环卫部门定期外运统一处置。</w:t>
            </w:r>
          </w:p>
          <w:p w14:paraId="614B4D1C">
            <w:pPr>
              <w:ind w:firstLine="480"/>
              <w:rPr>
                <w:b/>
                <w:color w:val="auto"/>
                <w:kern w:val="0"/>
                <w:highlight w:val="none"/>
              </w:rPr>
            </w:pPr>
            <w:r>
              <w:rPr>
                <w:color w:val="auto"/>
                <w:highlight w:val="none"/>
              </w:rPr>
              <w:t>综上分析，工程固体废物的产生和处置情况详见表4.</w:t>
            </w:r>
            <w:r>
              <w:rPr>
                <w:rFonts w:hint="eastAsia"/>
                <w:color w:val="auto"/>
                <w:highlight w:val="none"/>
              </w:rPr>
              <w:t>2-</w:t>
            </w:r>
            <w:r>
              <w:rPr>
                <w:rFonts w:hint="eastAsia"/>
                <w:color w:val="auto"/>
                <w:highlight w:val="none"/>
                <w:lang w:val="en-US" w:eastAsia="zh-CN"/>
              </w:rPr>
              <w:t>24</w:t>
            </w:r>
            <w:r>
              <w:rPr>
                <w:color w:val="auto"/>
                <w:highlight w:val="none"/>
              </w:rPr>
              <w:t>。项目危险废物</w:t>
            </w:r>
            <w:r>
              <w:rPr>
                <w:rFonts w:hint="eastAsia"/>
                <w:color w:val="auto"/>
                <w:highlight w:val="none"/>
              </w:rPr>
              <w:t>危险废物汇总</w:t>
            </w:r>
            <w:r>
              <w:rPr>
                <w:color w:val="auto"/>
                <w:highlight w:val="none"/>
              </w:rPr>
              <w:t>情况表</w:t>
            </w:r>
            <w:r>
              <w:rPr>
                <w:rFonts w:hint="eastAsia"/>
                <w:color w:val="auto"/>
                <w:highlight w:val="none"/>
              </w:rPr>
              <w:t>详见表4.2-</w:t>
            </w:r>
            <w:r>
              <w:rPr>
                <w:rFonts w:hint="eastAsia"/>
                <w:color w:val="auto"/>
                <w:highlight w:val="none"/>
                <w:lang w:val="en-US" w:eastAsia="zh-CN"/>
              </w:rPr>
              <w:t>25</w:t>
            </w:r>
            <w:r>
              <w:rPr>
                <w:rFonts w:hint="eastAsia"/>
                <w:color w:val="auto"/>
                <w:highlight w:val="none"/>
              </w:rPr>
              <w:t>。</w:t>
            </w:r>
          </w:p>
          <w:p w14:paraId="39CC8D21">
            <w:pPr>
              <w:keepNext/>
              <w:overflowPunct w:val="0"/>
              <w:snapToGrid w:val="0"/>
              <w:spacing w:line="240" w:lineRule="auto"/>
              <w:ind w:firstLine="0" w:firstLineChars="0"/>
              <w:jc w:val="center"/>
              <w:rPr>
                <w:b/>
                <w:color w:val="auto"/>
                <w:kern w:val="0"/>
                <w:highlight w:val="none"/>
              </w:rPr>
            </w:pPr>
            <w:r>
              <w:rPr>
                <w:b/>
                <w:color w:val="auto"/>
                <w:kern w:val="0"/>
                <w:highlight w:val="none"/>
              </w:rPr>
              <w:t>表4.</w:t>
            </w:r>
            <w:r>
              <w:rPr>
                <w:rFonts w:hint="eastAsia"/>
                <w:b/>
                <w:color w:val="auto"/>
                <w:kern w:val="0"/>
                <w:highlight w:val="none"/>
              </w:rPr>
              <w:t>2</w:t>
            </w:r>
            <w:r>
              <w:rPr>
                <w:b/>
                <w:color w:val="auto"/>
                <w:kern w:val="0"/>
                <w:highlight w:val="none"/>
              </w:rPr>
              <w:t>-</w:t>
            </w:r>
            <w:r>
              <w:rPr>
                <w:rFonts w:hint="eastAsia"/>
                <w:b/>
                <w:color w:val="auto"/>
                <w:kern w:val="0"/>
                <w:highlight w:val="none"/>
                <w:lang w:val="en-US" w:eastAsia="zh-CN"/>
              </w:rPr>
              <w:t>24</w:t>
            </w:r>
            <w:r>
              <w:rPr>
                <w:rFonts w:hint="eastAsia"/>
                <w:b/>
                <w:color w:val="auto"/>
                <w:kern w:val="0"/>
                <w:highlight w:val="none"/>
              </w:rPr>
              <w:t xml:space="preserve"> </w:t>
            </w:r>
            <w:r>
              <w:rPr>
                <w:b/>
                <w:color w:val="auto"/>
                <w:kern w:val="0"/>
                <w:highlight w:val="none"/>
              </w:rPr>
              <w:t xml:space="preserve"> 固体废物污染源源强核算结果及相关参数一览表</w:t>
            </w:r>
          </w:p>
          <w:tbl>
            <w:tblPr>
              <w:tblStyle w:val="27"/>
              <w:tblW w:w="498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058"/>
              <w:gridCol w:w="1726"/>
              <w:gridCol w:w="649"/>
              <w:gridCol w:w="829"/>
              <w:gridCol w:w="862"/>
              <w:gridCol w:w="860"/>
              <w:gridCol w:w="927"/>
              <w:gridCol w:w="1478"/>
            </w:tblGrid>
            <w:tr w14:paraId="61280A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630" w:type="pct"/>
                  <w:vMerge w:val="restart"/>
                  <w:noWrap w:val="0"/>
                  <w:vAlign w:val="center"/>
                </w:tcPr>
                <w:p w14:paraId="11AAEC6C">
                  <w:pPr>
                    <w:spacing w:line="340" w:lineRule="exact"/>
                    <w:ind w:firstLine="0" w:firstLineChars="0"/>
                    <w:jc w:val="center"/>
                    <w:rPr>
                      <w:b/>
                      <w:bCs/>
                      <w:color w:val="auto"/>
                      <w:sz w:val="21"/>
                      <w:szCs w:val="21"/>
                      <w:highlight w:val="none"/>
                      <w:lang w:bidi="ar"/>
                    </w:rPr>
                  </w:pPr>
                  <w:r>
                    <w:rPr>
                      <w:b/>
                      <w:bCs/>
                      <w:color w:val="auto"/>
                      <w:sz w:val="21"/>
                      <w:szCs w:val="21"/>
                      <w:highlight w:val="none"/>
                      <w:lang w:bidi="ar"/>
                    </w:rPr>
                    <w:t>产生工序</w:t>
                  </w:r>
                </w:p>
                <w:p w14:paraId="12C59AE5">
                  <w:pPr>
                    <w:spacing w:line="340" w:lineRule="exact"/>
                    <w:ind w:firstLine="0" w:firstLineChars="0"/>
                    <w:jc w:val="center"/>
                    <w:rPr>
                      <w:b/>
                      <w:bCs/>
                      <w:color w:val="auto"/>
                      <w:sz w:val="21"/>
                      <w:szCs w:val="21"/>
                      <w:highlight w:val="none"/>
                      <w:lang w:bidi="ar"/>
                    </w:rPr>
                  </w:pPr>
                  <w:r>
                    <w:rPr>
                      <w:b/>
                      <w:bCs/>
                      <w:color w:val="auto"/>
                      <w:sz w:val="21"/>
                      <w:szCs w:val="21"/>
                      <w:highlight w:val="none"/>
                      <w:lang w:bidi="ar"/>
                    </w:rPr>
                    <w:t>/装置</w:t>
                  </w:r>
                </w:p>
              </w:tc>
              <w:tc>
                <w:tcPr>
                  <w:tcW w:w="1028" w:type="pct"/>
                  <w:vMerge w:val="restart"/>
                  <w:noWrap w:val="0"/>
                  <w:vAlign w:val="center"/>
                </w:tcPr>
                <w:p w14:paraId="68054512">
                  <w:pPr>
                    <w:spacing w:line="340" w:lineRule="exact"/>
                    <w:ind w:firstLine="0" w:firstLineChars="0"/>
                    <w:jc w:val="center"/>
                    <w:rPr>
                      <w:b/>
                      <w:bCs/>
                      <w:color w:val="auto"/>
                      <w:sz w:val="21"/>
                      <w:szCs w:val="21"/>
                      <w:highlight w:val="none"/>
                      <w:lang w:bidi="ar"/>
                    </w:rPr>
                  </w:pPr>
                  <w:r>
                    <w:rPr>
                      <w:b/>
                      <w:bCs/>
                      <w:color w:val="auto"/>
                      <w:sz w:val="21"/>
                      <w:szCs w:val="21"/>
                      <w:highlight w:val="none"/>
                      <w:lang w:bidi="ar"/>
                    </w:rPr>
                    <w:t>固体废物名称</w:t>
                  </w:r>
                </w:p>
              </w:tc>
              <w:tc>
                <w:tcPr>
                  <w:tcW w:w="386" w:type="pct"/>
                  <w:vMerge w:val="restart"/>
                  <w:noWrap w:val="0"/>
                  <w:vAlign w:val="center"/>
                </w:tcPr>
                <w:p w14:paraId="1FE0B163">
                  <w:pPr>
                    <w:spacing w:line="340" w:lineRule="exact"/>
                    <w:ind w:firstLine="0" w:firstLineChars="0"/>
                    <w:jc w:val="center"/>
                    <w:rPr>
                      <w:b/>
                      <w:bCs/>
                      <w:color w:val="auto"/>
                      <w:sz w:val="21"/>
                      <w:szCs w:val="21"/>
                      <w:highlight w:val="none"/>
                      <w:lang w:bidi="ar"/>
                    </w:rPr>
                  </w:pPr>
                  <w:r>
                    <w:rPr>
                      <w:b/>
                      <w:bCs/>
                      <w:color w:val="auto"/>
                      <w:sz w:val="21"/>
                      <w:szCs w:val="21"/>
                      <w:highlight w:val="none"/>
                      <w:lang w:bidi="ar"/>
                    </w:rPr>
                    <w:t>固废属性</w:t>
                  </w:r>
                </w:p>
              </w:tc>
              <w:tc>
                <w:tcPr>
                  <w:tcW w:w="1007" w:type="pct"/>
                  <w:gridSpan w:val="2"/>
                  <w:noWrap w:val="0"/>
                  <w:vAlign w:val="center"/>
                </w:tcPr>
                <w:p w14:paraId="29AD2265">
                  <w:pPr>
                    <w:spacing w:line="340" w:lineRule="exact"/>
                    <w:ind w:firstLine="0" w:firstLineChars="0"/>
                    <w:jc w:val="center"/>
                    <w:rPr>
                      <w:b/>
                      <w:bCs/>
                      <w:color w:val="auto"/>
                      <w:sz w:val="21"/>
                      <w:szCs w:val="21"/>
                      <w:highlight w:val="none"/>
                      <w:lang w:bidi="ar"/>
                    </w:rPr>
                  </w:pPr>
                  <w:r>
                    <w:rPr>
                      <w:b/>
                      <w:bCs/>
                      <w:color w:val="auto"/>
                      <w:sz w:val="21"/>
                      <w:szCs w:val="21"/>
                      <w:highlight w:val="none"/>
                      <w:lang w:bidi="ar"/>
                    </w:rPr>
                    <w:t>产生量</w:t>
                  </w:r>
                </w:p>
              </w:tc>
              <w:tc>
                <w:tcPr>
                  <w:tcW w:w="1065" w:type="pct"/>
                  <w:gridSpan w:val="2"/>
                  <w:noWrap w:val="0"/>
                  <w:vAlign w:val="center"/>
                </w:tcPr>
                <w:p w14:paraId="448156C8">
                  <w:pPr>
                    <w:spacing w:line="340" w:lineRule="exact"/>
                    <w:ind w:firstLine="0" w:firstLineChars="0"/>
                    <w:jc w:val="center"/>
                    <w:rPr>
                      <w:b/>
                      <w:bCs/>
                      <w:color w:val="auto"/>
                      <w:sz w:val="21"/>
                      <w:szCs w:val="21"/>
                      <w:highlight w:val="none"/>
                      <w:lang w:bidi="ar"/>
                    </w:rPr>
                  </w:pPr>
                  <w:r>
                    <w:rPr>
                      <w:b/>
                      <w:bCs/>
                      <w:color w:val="auto"/>
                      <w:sz w:val="21"/>
                      <w:szCs w:val="21"/>
                      <w:highlight w:val="none"/>
                      <w:lang w:bidi="ar"/>
                    </w:rPr>
                    <w:t>处理与处置措施</w:t>
                  </w:r>
                </w:p>
              </w:tc>
              <w:tc>
                <w:tcPr>
                  <w:tcW w:w="880" w:type="pct"/>
                  <w:vMerge w:val="restart"/>
                  <w:noWrap w:val="0"/>
                  <w:vAlign w:val="center"/>
                </w:tcPr>
                <w:p w14:paraId="1665B56A">
                  <w:pPr>
                    <w:spacing w:line="340" w:lineRule="exact"/>
                    <w:ind w:firstLine="0" w:firstLineChars="0"/>
                    <w:jc w:val="center"/>
                    <w:rPr>
                      <w:b/>
                      <w:bCs/>
                      <w:color w:val="auto"/>
                      <w:sz w:val="21"/>
                      <w:szCs w:val="21"/>
                      <w:highlight w:val="none"/>
                      <w:lang w:bidi="ar"/>
                    </w:rPr>
                  </w:pPr>
                  <w:r>
                    <w:rPr>
                      <w:b/>
                      <w:bCs/>
                      <w:color w:val="auto"/>
                      <w:sz w:val="21"/>
                      <w:szCs w:val="21"/>
                      <w:highlight w:val="none"/>
                      <w:lang w:bidi="ar"/>
                    </w:rPr>
                    <w:t>最终去向</w:t>
                  </w:r>
                </w:p>
              </w:tc>
            </w:tr>
            <w:tr w14:paraId="1015F9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630" w:type="pct"/>
                  <w:vMerge w:val="continue"/>
                  <w:noWrap w:val="0"/>
                  <w:vAlign w:val="center"/>
                </w:tcPr>
                <w:p w14:paraId="6CA50302">
                  <w:pPr>
                    <w:spacing w:line="340" w:lineRule="exact"/>
                    <w:ind w:firstLine="0" w:firstLineChars="0"/>
                    <w:jc w:val="center"/>
                    <w:rPr>
                      <w:b/>
                      <w:bCs/>
                      <w:color w:val="auto"/>
                      <w:sz w:val="21"/>
                      <w:szCs w:val="21"/>
                      <w:highlight w:val="none"/>
                      <w:lang w:bidi="ar"/>
                    </w:rPr>
                  </w:pPr>
                </w:p>
              </w:tc>
              <w:tc>
                <w:tcPr>
                  <w:tcW w:w="1028" w:type="pct"/>
                  <w:vMerge w:val="continue"/>
                  <w:noWrap w:val="0"/>
                  <w:vAlign w:val="center"/>
                </w:tcPr>
                <w:p w14:paraId="385C92E0">
                  <w:pPr>
                    <w:spacing w:line="340" w:lineRule="exact"/>
                    <w:ind w:firstLine="0" w:firstLineChars="0"/>
                    <w:jc w:val="center"/>
                    <w:rPr>
                      <w:b/>
                      <w:bCs/>
                      <w:color w:val="auto"/>
                      <w:sz w:val="21"/>
                      <w:szCs w:val="21"/>
                      <w:highlight w:val="none"/>
                      <w:lang w:bidi="ar"/>
                    </w:rPr>
                  </w:pPr>
                </w:p>
              </w:tc>
              <w:tc>
                <w:tcPr>
                  <w:tcW w:w="386" w:type="pct"/>
                  <w:vMerge w:val="continue"/>
                  <w:noWrap w:val="0"/>
                  <w:vAlign w:val="center"/>
                </w:tcPr>
                <w:p w14:paraId="13DCDC6C">
                  <w:pPr>
                    <w:spacing w:line="340" w:lineRule="exact"/>
                    <w:ind w:firstLine="0" w:firstLineChars="0"/>
                    <w:jc w:val="center"/>
                    <w:rPr>
                      <w:b/>
                      <w:bCs/>
                      <w:color w:val="auto"/>
                      <w:sz w:val="21"/>
                      <w:szCs w:val="21"/>
                      <w:highlight w:val="none"/>
                      <w:lang w:bidi="ar"/>
                    </w:rPr>
                  </w:pPr>
                </w:p>
              </w:tc>
              <w:tc>
                <w:tcPr>
                  <w:tcW w:w="494" w:type="pct"/>
                  <w:noWrap w:val="0"/>
                  <w:vAlign w:val="center"/>
                </w:tcPr>
                <w:p w14:paraId="1AB1DFDD">
                  <w:pPr>
                    <w:spacing w:line="340" w:lineRule="exact"/>
                    <w:ind w:firstLine="0" w:firstLineChars="0"/>
                    <w:jc w:val="center"/>
                    <w:rPr>
                      <w:b/>
                      <w:bCs/>
                      <w:color w:val="auto"/>
                      <w:sz w:val="21"/>
                      <w:szCs w:val="21"/>
                      <w:highlight w:val="none"/>
                      <w:lang w:bidi="ar"/>
                    </w:rPr>
                  </w:pPr>
                  <w:r>
                    <w:rPr>
                      <w:b/>
                      <w:bCs/>
                      <w:color w:val="auto"/>
                      <w:sz w:val="21"/>
                      <w:szCs w:val="21"/>
                      <w:highlight w:val="none"/>
                      <w:lang w:bidi="ar"/>
                    </w:rPr>
                    <w:t>核算</w:t>
                  </w:r>
                </w:p>
                <w:p w14:paraId="15E7A2C1">
                  <w:pPr>
                    <w:spacing w:line="340" w:lineRule="exact"/>
                    <w:ind w:firstLine="0" w:firstLineChars="0"/>
                    <w:jc w:val="center"/>
                    <w:rPr>
                      <w:b/>
                      <w:bCs/>
                      <w:color w:val="auto"/>
                      <w:sz w:val="21"/>
                      <w:szCs w:val="21"/>
                      <w:highlight w:val="none"/>
                      <w:lang w:bidi="ar"/>
                    </w:rPr>
                  </w:pPr>
                  <w:r>
                    <w:rPr>
                      <w:b/>
                      <w:bCs/>
                      <w:color w:val="auto"/>
                      <w:sz w:val="21"/>
                      <w:szCs w:val="21"/>
                      <w:highlight w:val="none"/>
                      <w:lang w:bidi="ar"/>
                    </w:rPr>
                    <w:t>方法</w:t>
                  </w:r>
                </w:p>
              </w:tc>
              <w:tc>
                <w:tcPr>
                  <w:tcW w:w="513" w:type="pct"/>
                  <w:noWrap w:val="0"/>
                  <w:vAlign w:val="center"/>
                </w:tcPr>
                <w:p w14:paraId="705AA4DB">
                  <w:pPr>
                    <w:spacing w:line="340" w:lineRule="exact"/>
                    <w:ind w:firstLine="0" w:firstLineChars="0"/>
                    <w:jc w:val="center"/>
                    <w:rPr>
                      <w:rFonts w:hint="eastAsia" w:eastAsia="宋体"/>
                      <w:b/>
                      <w:bCs/>
                      <w:color w:val="auto"/>
                      <w:sz w:val="21"/>
                      <w:szCs w:val="21"/>
                      <w:highlight w:val="none"/>
                      <w:lang w:eastAsia="zh-CN" w:bidi="ar"/>
                    </w:rPr>
                  </w:pPr>
                  <w:r>
                    <w:rPr>
                      <w:b/>
                      <w:bCs/>
                      <w:color w:val="auto"/>
                      <w:sz w:val="21"/>
                      <w:szCs w:val="21"/>
                      <w:highlight w:val="none"/>
                      <w:lang w:bidi="ar"/>
                    </w:rPr>
                    <w:t>产生量</w:t>
                  </w:r>
                  <w:r>
                    <w:rPr>
                      <w:rFonts w:hint="eastAsia"/>
                      <w:b/>
                      <w:bCs/>
                      <w:color w:val="auto"/>
                      <w:sz w:val="21"/>
                      <w:szCs w:val="21"/>
                      <w:highlight w:val="none"/>
                      <w:lang w:eastAsia="zh-CN" w:bidi="ar"/>
                    </w:rPr>
                    <w:t>（</w:t>
                  </w:r>
                  <w:r>
                    <w:rPr>
                      <w:rFonts w:hint="eastAsia"/>
                      <w:b/>
                      <w:bCs/>
                      <w:color w:val="auto"/>
                      <w:sz w:val="21"/>
                      <w:szCs w:val="21"/>
                      <w:highlight w:val="none"/>
                      <w:lang w:val="en-US" w:eastAsia="zh-CN" w:bidi="ar"/>
                    </w:rPr>
                    <w:t>t/a</w:t>
                  </w:r>
                  <w:r>
                    <w:rPr>
                      <w:rFonts w:hint="eastAsia"/>
                      <w:b/>
                      <w:bCs/>
                      <w:color w:val="auto"/>
                      <w:sz w:val="21"/>
                      <w:szCs w:val="21"/>
                      <w:highlight w:val="none"/>
                      <w:lang w:eastAsia="zh-CN" w:bidi="ar"/>
                    </w:rPr>
                    <w:t>）</w:t>
                  </w:r>
                </w:p>
              </w:tc>
              <w:tc>
                <w:tcPr>
                  <w:tcW w:w="512" w:type="pct"/>
                  <w:noWrap w:val="0"/>
                  <w:vAlign w:val="center"/>
                </w:tcPr>
                <w:p w14:paraId="78D85BD9">
                  <w:pPr>
                    <w:spacing w:line="340" w:lineRule="exact"/>
                    <w:ind w:firstLine="0" w:firstLineChars="0"/>
                    <w:jc w:val="center"/>
                    <w:rPr>
                      <w:b/>
                      <w:bCs/>
                      <w:color w:val="auto"/>
                      <w:sz w:val="21"/>
                      <w:szCs w:val="21"/>
                      <w:highlight w:val="none"/>
                      <w:lang w:bidi="ar"/>
                    </w:rPr>
                  </w:pPr>
                  <w:r>
                    <w:rPr>
                      <w:b/>
                      <w:bCs/>
                      <w:color w:val="auto"/>
                      <w:sz w:val="21"/>
                      <w:szCs w:val="21"/>
                      <w:highlight w:val="none"/>
                      <w:lang w:bidi="ar"/>
                    </w:rPr>
                    <w:t>工艺</w:t>
                  </w:r>
                </w:p>
              </w:tc>
              <w:tc>
                <w:tcPr>
                  <w:tcW w:w="552" w:type="pct"/>
                  <w:noWrap w:val="0"/>
                  <w:vAlign w:val="center"/>
                </w:tcPr>
                <w:p w14:paraId="7FCBB92E">
                  <w:pPr>
                    <w:spacing w:line="340" w:lineRule="exact"/>
                    <w:ind w:firstLine="0" w:firstLineChars="0"/>
                    <w:jc w:val="center"/>
                    <w:rPr>
                      <w:rFonts w:hint="eastAsia"/>
                      <w:b/>
                      <w:bCs/>
                      <w:color w:val="auto"/>
                      <w:sz w:val="21"/>
                      <w:szCs w:val="21"/>
                      <w:highlight w:val="none"/>
                      <w:lang w:bidi="ar"/>
                    </w:rPr>
                  </w:pPr>
                  <w:r>
                    <w:rPr>
                      <w:b/>
                      <w:bCs/>
                      <w:color w:val="auto"/>
                      <w:sz w:val="21"/>
                      <w:szCs w:val="21"/>
                      <w:highlight w:val="none"/>
                      <w:lang w:bidi="ar"/>
                    </w:rPr>
                    <w:t>处理处置量</w:t>
                  </w:r>
                  <w:r>
                    <w:rPr>
                      <w:rFonts w:hint="eastAsia"/>
                      <w:b/>
                      <w:bCs/>
                      <w:color w:val="auto"/>
                      <w:sz w:val="21"/>
                      <w:szCs w:val="21"/>
                      <w:highlight w:val="none"/>
                      <w:lang w:eastAsia="zh-CN" w:bidi="ar"/>
                    </w:rPr>
                    <w:t>（</w:t>
                  </w:r>
                  <w:r>
                    <w:rPr>
                      <w:rFonts w:hint="eastAsia"/>
                      <w:b/>
                      <w:bCs/>
                      <w:color w:val="auto"/>
                      <w:sz w:val="21"/>
                      <w:szCs w:val="21"/>
                      <w:highlight w:val="none"/>
                      <w:lang w:val="en-US" w:eastAsia="zh-CN" w:bidi="ar"/>
                    </w:rPr>
                    <w:t>t/a</w:t>
                  </w:r>
                  <w:r>
                    <w:rPr>
                      <w:rFonts w:hint="eastAsia"/>
                      <w:b/>
                      <w:bCs/>
                      <w:color w:val="auto"/>
                      <w:sz w:val="21"/>
                      <w:szCs w:val="21"/>
                      <w:highlight w:val="none"/>
                      <w:lang w:eastAsia="zh-CN" w:bidi="ar"/>
                    </w:rPr>
                    <w:t>）</w:t>
                  </w:r>
                </w:p>
              </w:tc>
              <w:tc>
                <w:tcPr>
                  <w:tcW w:w="880" w:type="pct"/>
                  <w:vMerge w:val="continue"/>
                  <w:noWrap w:val="0"/>
                  <w:vAlign w:val="center"/>
                </w:tcPr>
                <w:p w14:paraId="5520AAB1">
                  <w:pPr>
                    <w:spacing w:line="340" w:lineRule="exact"/>
                    <w:ind w:firstLine="0" w:firstLineChars="0"/>
                    <w:jc w:val="center"/>
                    <w:rPr>
                      <w:b/>
                      <w:bCs/>
                      <w:color w:val="auto"/>
                      <w:sz w:val="21"/>
                      <w:szCs w:val="21"/>
                      <w:highlight w:val="none"/>
                      <w:lang w:bidi="ar"/>
                    </w:rPr>
                  </w:pPr>
                </w:p>
              </w:tc>
            </w:tr>
            <w:tr w14:paraId="71A4E8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630" w:type="pct"/>
                  <w:noWrap w:val="0"/>
                  <w:vAlign w:val="center"/>
                </w:tcPr>
                <w:p w14:paraId="06987265">
                  <w:pPr>
                    <w:spacing w:line="340" w:lineRule="exact"/>
                    <w:ind w:firstLine="0" w:firstLineChars="0"/>
                    <w:jc w:val="center"/>
                    <w:rPr>
                      <w:rFonts w:hint="default" w:eastAsia="宋体"/>
                      <w:color w:val="auto"/>
                      <w:sz w:val="21"/>
                      <w:szCs w:val="21"/>
                      <w:highlight w:val="none"/>
                      <w:lang w:val="en-US" w:eastAsia="zh-CN" w:bidi="ar"/>
                    </w:rPr>
                  </w:pPr>
                  <w:r>
                    <w:rPr>
                      <w:rFonts w:hint="eastAsia"/>
                      <w:color w:val="auto"/>
                      <w:sz w:val="21"/>
                      <w:szCs w:val="21"/>
                      <w:highlight w:val="none"/>
                      <w:lang w:val="en-US" w:eastAsia="zh-CN" w:bidi="ar"/>
                    </w:rPr>
                    <w:t>热骨料筛分工序</w:t>
                  </w:r>
                </w:p>
              </w:tc>
              <w:tc>
                <w:tcPr>
                  <w:tcW w:w="1028" w:type="pct"/>
                  <w:noWrap w:val="0"/>
                  <w:vAlign w:val="center"/>
                </w:tcPr>
                <w:p w14:paraId="085910C5">
                  <w:pPr>
                    <w:spacing w:line="340" w:lineRule="exact"/>
                    <w:ind w:firstLine="0" w:firstLineChars="0"/>
                    <w:jc w:val="center"/>
                    <w:rPr>
                      <w:rFonts w:hint="eastAsia" w:eastAsia="宋体"/>
                      <w:color w:val="auto"/>
                      <w:sz w:val="21"/>
                      <w:szCs w:val="21"/>
                      <w:highlight w:val="none"/>
                      <w:lang w:eastAsia="zh-CN" w:bidi="ar"/>
                    </w:rPr>
                  </w:pPr>
                  <w:r>
                    <w:rPr>
                      <w:rFonts w:hint="eastAsia"/>
                      <w:color w:val="auto"/>
                      <w:sz w:val="21"/>
                      <w:szCs w:val="21"/>
                      <w:highlight w:val="none"/>
                      <w:lang w:val="en-US" w:eastAsia="zh-CN" w:bidi="ar"/>
                    </w:rPr>
                    <w:t>废石料</w:t>
                  </w:r>
                </w:p>
              </w:tc>
              <w:tc>
                <w:tcPr>
                  <w:tcW w:w="386" w:type="pct"/>
                  <w:vMerge w:val="restart"/>
                  <w:noWrap w:val="0"/>
                  <w:vAlign w:val="center"/>
                </w:tcPr>
                <w:p w14:paraId="37BBF9D2">
                  <w:pPr>
                    <w:spacing w:line="340" w:lineRule="exact"/>
                    <w:ind w:firstLine="0" w:firstLineChars="0"/>
                    <w:jc w:val="center"/>
                    <w:rPr>
                      <w:color w:val="auto"/>
                      <w:sz w:val="21"/>
                      <w:szCs w:val="21"/>
                      <w:highlight w:val="none"/>
                      <w:lang w:bidi="ar"/>
                    </w:rPr>
                  </w:pPr>
                  <w:r>
                    <w:rPr>
                      <w:color w:val="auto"/>
                      <w:sz w:val="21"/>
                      <w:szCs w:val="21"/>
                      <w:highlight w:val="none"/>
                      <w:lang w:bidi="ar"/>
                    </w:rPr>
                    <w:t>一般工业固废</w:t>
                  </w:r>
                </w:p>
              </w:tc>
              <w:tc>
                <w:tcPr>
                  <w:tcW w:w="494" w:type="pct"/>
                  <w:noWrap w:val="0"/>
                  <w:vAlign w:val="center"/>
                </w:tcPr>
                <w:p w14:paraId="49684E1E">
                  <w:pPr>
                    <w:spacing w:line="340" w:lineRule="exact"/>
                    <w:ind w:firstLine="0" w:firstLineChars="0"/>
                    <w:jc w:val="center"/>
                    <w:rPr>
                      <w:color w:val="auto"/>
                      <w:sz w:val="21"/>
                      <w:szCs w:val="21"/>
                      <w:highlight w:val="none"/>
                      <w:lang w:bidi="ar"/>
                    </w:rPr>
                  </w:pPr>
                  <w:r>
                    <w:rPr>
                      <w:color w:val="auto"/>
                      <w:sz w:val="21"/>
                      <w:szCs w:val="21"/>
                      <w:highlight w:val="none"/>
                      <w:lang w:bidi="ar"/>
                    </w:rPr>
                    <w:t>类比法</w:t>
                  </w:r>
                </w:p>
              </w:tc>
              <w:tc>
                <w:tcPr>
                  <w:tcW w:w="513" w:type="pct"/>
                  <w:noWrap w:val="0"/>
                  <w:vAlign w:val="center"/>
                </w:tcPr>
                <w:p w14:paraId="2064449A">
                  <w:pPr>
                    <w:spacing w:line="340" w:lineRule="exact"/>
                    <w:ind w:firstLine="0" w:firstLineChars="0"/>
                    <w:jc w:val="center"/>
                    <w:rPr>
                      <w:rFonts w:hint="default"/>
                      <w:color w:val="auto"/>
                      <w:sz w:val="21"/>
                      <w:szCs w:val="21"/>
                      <w:highlight w:val="none"/>
                      <w:lang w:val="en-US" w:eastAsia="zh-CN" w:bidi="ar"/>
                    </w:rPr>
                  </w:pPr>
                  <w:r>
                    <w:rPr>
                      <w:rFonts w:hint="eastAsia"/>
                      <w:color w:val="auto"/>
                      <w:sz w:val="21"/>
                      <w:szCs w:val="21"/>
                      <w:highlight w:val="none"/>
                      <w:lang w:val="en-US" w:eastAsia="zh-CN" w:bidi="ar"/>
                    </w:rPr>
                    <w:t>259.32</w:t>
                  </w:r>
                </w:p>
              </w:tc>
              <w:tc>
                <w:tcPr>
                  <w:tcW w:w="512" w:type="pct"/>
                  <w:noWrap w:val="0"/>
                  <w:vAlign w:val="center"/>
                </w:tcPr>
                <w:p w14:paraId="60105857">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回用</w:t>
                  </w:r>
                </w:p>
              </w:tc>
              <w:tc>
                <w:tcPr>
                  <w:tcW w:w="552" w:type="pct"/>
                  <w:noWrap w:val="0"/>
                  <w:vAlign w:val="center"/>
                </w:tcPr>
                <w:p w14:paraId="04F87065">
                  <w:pPr>
                    <w:spacing w:line="340" w:lineRule="exact"/>
                    <w:ind w:firstLine="0" w:firstLineChars="0"/>
                    <w:jc w:val="center"/>
                    <w:rPr>
                      <w:color w:val="auto"/>
                      <w:sz w:val="21"/>
                      <w:szCs w:val="21"/>
                      <w:highlight w:val="none"/>
                      <w:lang w:bidi="ar"/>
                    </w:rPr>
                  </w:pPr>
                  <w:r>
                    <w:rPr>
                      <w:rFonts w:hint="eastAsia"/>
                      <w:color w:val="auto"/>
                      <w:sz w:val="21"/>
                      <w:szCs w:val="21"/>
                      <w:highlight w:val="none"/>
                      <w:lang w:val="en-US" w:eastAsia="zh-CN" w:bidi="ar"/>
                    </w:rPr>
                    <w:t>259.32</w:t>
                  </w:r>
                </w:p>
              </w:tc>
              <w:tc>
                <w:tcPr>
                  <w:tcW w:w="880" w:type="pct"/>
                  <w:noWrap w:val="0"/>
                  <w:vAlign w:val="center"/>
                </w:tcPr>
                <w:p w14:paraId="6ECD341E">
                  <w:pPr>
                    <w:spacing w:line="340" w:lineRule="exact"/>
                    <w:ind w:firstLine="0" w:firstLineChars="0"/>
                    <w:jc w:val="center"/>
                    <w:rPr>
                      <w:color w:val="auto"/>
                      <w:sz w:val="21"/>
                      <w:szCs w:val="21"/>
                      <w:highlight w:val="none"/>
                      <w:lang w:bidi="ar"/>
                    </w:rPr>
                  </w:pPr>
                  <w:r>
                    <w:rPr>
                      <w:rFonts w:hint="eastAsia"/>
                      <w:color w:val="auto"/>
                      <w:sz w:val="21"/>
                      <w:szCs w:val="21"/>
                      <w:highlight w:val="none"/>
                      <w:lang w:bidi="ar"/>
                    </w:rPr>
                    <w:t>回用于生产</w:t>
                  </w:r>
                </w:p>
              </w:tc>
            </w:tr>
            <w:tr w14:paraId="4CCBAB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630" w:type="pct"/>
                  <w:noWrap w:val="0"/>
                  <w:vAlign w:val="center"/>
                </w:tcPr>
                <w:p w14:paraId="5EBF7329">
                  <w:pPr>
                    <w:spacing w:line="340" w:lineRule="exact"/>
                    <w:ind w:firstLine="0" w:firstLineChars="0"/>
                    <w:jc w:val="center"/>
                    <w:rPr>
                      <w:color w:val="auto"/>
                      <w:sz w:val="21"/>
                      <w:szCs w:val="21"/>
                      <w:highlight w:val="none"/>
                      <w:lang w:bidi="ar"/>
                    </w:rPr>
                  </w:pPr>
                  <w:r>
                    <w:rPr>
                      <w:color w:val="auto"/>
                      <w:sz w:val="21"/>
                      <w:szCs w:val="21"/>
                      <w:highlight w:val="none"/>
                      <w:lang w:bidi="ar"/>
                    </w:rPr>
                    <w:t>废气</w:t>
                  </w:r>
                  <w:r>
                    <w:rPr>
                      <w:rFonts w:hint="eastAsia"/>
                      <w:color w:val="auto"/>
                      <w:sz w:val="21"/>
                      <w:szCs w:val="21"/>
                      <w:highlight w:val="none"/>
                      <w:lang w:bidi="ar"/>
                    </w:rPr>
                    <w:t>处理</w:t>
                  </w:r>
                  <w:r>
                    <w:rPr>
                      <w:color w:val="auto"/>
                      <w:sz w:val="21"/>
                      <w:szCs w:val="21"/>
                      <w:highlight w:val="none"/>
                      <w:lang w:bidi="ar"/>
                    </w:rPr>
                    <w:t>设施</w:t>
                  </w:r>
                </w:p>
              </w:tc>
              <w:tc>
                <w:tcPr>
                  <w:tcW w:w="1028" w:type="pct"/>
                  <w:noWrap w:val="0"/>
                  <w:vAlign w:val="center"/>
                </w:tcPr>
                <w:p w14:paraId="6C68A0B6">
                  <w:pPr>
                    <w:spacing w:line="340" w:lineRule="exact"/>
                    <w:ind w:firstLine="0" w:firstLineChars="0"/>
                    <w:jc w:val="center"/>
                    <w:rPr>
                      <w:rFonts w:hint="eastAsia" w:ascii="Times New Roman" w:hAnsi="Times New Roman" w:eastAsia="宋体" w:cs="Times New Roman"/>
                      <w:color w:val="auto"/>
                      <w:sz w:val="21"/>
                      <w:szCs w:val="21"/>
                      <w:highlight w:val="none"/>
                      <w:lang w:bidi="ar"/>
                    </w:rPr>
                  </w:pPr>
                  <w:r>
                    <w:rPr>
                      <w:rFonts w:hint="eastAsia" w:ascii="Times New Roman" w:hAnsi="Times New Roman" w:eastAsia="宋体" w:cs="Times New Roman"/>
                      <w:color w:val="auto"/>
                      <w:sz w:val="21"/>
                      <w:szCs w:val="21"/>
                      <w:highlight w:val="none"/>
                      <w:lang w:bidi="ar"/>
                    </w:rPr>
                    <w:t>除尘器收集粉尘</w:t>
                  </w:r>
                </w:p>
              </w:tc>
              <w:tc>
                <w:tcPr>
                  <w:tcW w:w="386" w:type="pct"/>
                  <w:vMerge w:val="continue"/>
                  <w:noWrap w:val="0"/>
                  <w:vAlign w:val="center"/>
                </w:tcPr>
                <w:p w14:paraId="4E13F662">
                  <w:pPr>
                    <w:spacing w:line="340" w:lineRule="exact"/>
                    <w:ind w:firstLine="0" w:firstLineChars="0"/>
                    <w:jc w:val="center"/>
                    <w:rPr>
                      <w:color w:val="auto"/>
                      <w:sz w:val="21"/>
                      <w:szCs w:val="21"/>
                      <w:highlight w:val="none"/>
                      <w:lang w:bidi="ar"/>
                    </w:rPr>
                  </w:pPr>
                </w:p>
              </w:tc>
              <w:tc>
                <w:tcPr>
                  <w:tcW w:w="494" w:type="pct"/>
                  <w:noWrap w:val="0"/>
                  <w:vAlign w:val="center"/>
                </w:tcPr>
                <w:p w14:paraId="3B6153BF">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sz w:val="21"/>
                      <w:szCs w:val="21"/>
                      <w:highlight w:val="none"/>
                      <w:shd w:val="clear" w:color="auto" w:fill="auto"/>
                      <w:lang w:val="en-US" w:eastAsia="zh-CN" w:bidi="ar"/>
                    </w:rPr>
                  </w:pPr>
                  <w:r>
                    <w:rPr>
                      <w:rFonts w:hint="default" w:ascii="Times New Roman" w:hAnsi="Times New Roman" w:eastAsia="宋体" w:cs="Times New Roman"/>
                      <w:color w:val="auto"/>
                      <w:sz w:val="21"/>
                      <w:szCs w:val="21"/>
                      <w:highlight w:val="none"/>
                      <w:shd w:val="clear" w:color="auto" w:fill="auto"/>
                      <w:lang w:val="en-US" w:eastAsia="zh-CN" w:bidi="ar"/>
                    </w:rPr>
                    <w:t>产污系</w:t>
                  </w:r>
                </w:p>
                <w:p w14:paraId="2BADFB66">
                  <w:pPr>
                    <w:spacing w:line="340" w:lineRule="exact"/>
                    <w:ind w:firstLine="0" w:firstLineChars="0"/>
                    <w:jc w:val="center"/>
                    <w:rPr>
                      <w:color w:val="auto"/>
                      <w:sz w:val="21"/>
                      <w:szCs w:val="21"/>
                      <w:highlight w:val="none"/>
                      <w:lang w:bidi="ar"/>
                    </w:rPr>
                  </w:pPr>
                  <w:r>
                    <w:rPr>
                      <w:rFonts w:hint="default" w:ascii="Times New Roman" w:hAnsi="Times New Roman" w:eastAsia="宋体" w:cs="Times New Roman"/>
                      <w:color w:val="auto"/>
                      <w:sz w:val="21"/>
                      <w:szCs w:val="21"/>
                      <w:highlight w:val="none"/>
                      <w:shd w:val="clear" w:color="auto" w:fill="auto"/>
                      <w:lang w:val="en-US" w:eastAsia="zh-CN" w:bidi="ar"/>
                    </w:rPr>
                    <w:t>数法</w:t>
                  </w:r>
                </w:p>
              </w:tc>
              <w:tc>
                <w:tcPr>
                  <w:tcW w:w="513" w:type="pct"/>
                  <w:noWrap w:val="0"/>
                  <w:vAlign w:val="center"/>
                </w:tcPr>
                <w:p w14:paraId="026F1A94">
                  <w:pPr>
                    <w:spacing w:line="340" w:lineRule="exact"/>
                    <w:ind w:firstLine="0" w:firstLineChars="0"/>
                    <w:jc w:val="center"/>
                    <w:rPr>
                      <w:rFonts w:hint="default" w:eastAsia="宋体"/>
                      <w:color w:val="auto"/>
                      <w:sz w:val="21"/>
                      <w:szCs w:val="21"/>
                      <w:highlight w:val="none"/>
                      <w:lang w:val="en-US" w:eastAsia="zh-CN" w:bidi="ar"/>
                    </w:rPr>
                  </w:pPr>
                  <w:r>
                    <w:rPr>
                      <w:rFonts w:hint="eastAsia"/>
                      <w:color w:val="auto"/>
                      <w:sz w:val="21"/>
                      <w:szCs w:val="21"/>
                      <w:highlight w:val="none"/>
                      <w:lang w:val="en-US" w:eastAsia="zh-CN" w:bidi="ar"/>
                    </w:rPr>
                    <w:t>13.1</w:t>
                  </w:r>
                </w:p>
              </w:tc>
              <w:tc>
                <w:tcPr>
                  <w:tcW w:w="512" w:type="pct"/>
                  <w:noWrap w:val="0"/>
                  <w:vAlign w:val="center"/>
                </w:tcPr>
                <w:p w14:paraId="0AE54598">
                  <w:pPr>
                    <w:spacing w:line="340" w:lineRule="exact"/>
                    <w:ind w:firstLine="0" w:firstLineChars="0"/>
                    <w:jc w:val="center"/>
                    <w:rPr>
                      <w:color w:val="auto"/>
                      <w:sz w:val="21"/>
                      <w:szCs w:val="21"/>
                      <w:highlight w:val="none"/>
                      <w:lang w:bidi="ar"/>
                    </w:rPr>
                  </w:pPr>
                  <w:r>
                    <w:rPr>
                      <w:rFonts w:hint="eastAsia"/>
                      <w:color w:val="auto"/>
                      <w:sz w:val="21"/>
                      <w:szCs w:val="21"/>
                      <w:highlight w:val="none"/>
                      <w:lang w:bidi="ar"/>
                    </w:rPr>
                    <w:t>回用</w:t>
                  </w:r>
                </w:p>
              </w:tc>
              <w:tc>
                <w:tcPr>
                  <w:tcW w:w="552" w:type="pct"/>
                  <w:noWrap w:val="0"/>
                  <w:vAlign w:val="center"/>
                </w:tcPr>
                <w:p w14:paraId="04DAB48D">
                  <w:pPr>
                    <w:spacing w:line="340" w:lineRule="exact"/>
                    <w:ind w:firstLine="0" w:firstLineChars="0"/>
                    <w:jc w:val="center"/>
                    <w:rPr>
                      <w:rFonts w:hint="default"/>
                      <w:color w:val="auto"/>
                      <w:sz w:val="21"/>
                      <w:szCs w:val="21"/>
                      <w:highlight w:val="none"/>
                      <w:lang w:val="en-US" w:bidi="ar"/>
                    </w:rPr>
                  </w:pPr>
                  <w:r>
                    <w:rPr>
                      <w:rFonts w:hint="eastAsia"/>
                      <w:color w:val="auto"/>
                      <w:sz w:val="21"/>
                      <w:szCs w:val="21"/>
                      <w:highlight w:val="none"/>
                      <w:lang w:val="en-US" w:eastAsia="zh-CN" w:bidi="ar"/>
                    </w:rPr>
                    <w:t>13.1</w:t>
                  </w:r>
                </w:p>
              </w:tc>
              <w:tc>
                <w:tcPr>
                  <w:tcW w:w="880" w:type="pct"/>
                  <w:noWrap w:val="0"/>
                  <w:vAlign w:val="center"/>
                </w:tcPr>
                <w:p w14:paraId="27EC0669">
                  <w:pPr>
                    <w:spacing w:line="340" w:lineRule="exact"/>
                    <w:ind w:firstLine="0" w:firstLineChars="0"/>
                    <w:jc w:val="center"/>
                    <w:rPr>
                      <w:color w:val="auto"/>
                      <w:sz w:val="21"/>
                      <w:szCs w:val="21"/>
                      <w:highlight w:val="none"/>
                      <w:lang w:bidi="ar"/>
                    </w:rPr>
                  </w:pPr>
                  <w:r>
                    <w:rPr>
                      <w:rFonts w:hint="eastAsia"/>
                      <w:color w:val="auto"/>
                      <w:sz w:val="21"/>
                      <w:szCs w:val="21"/>
                      <w:highlight w:val="none"/>
                      <w:lang w:bidi="ar"/>
                    </w:rPr>
                    <w:t>回用于生产</w:t>
                  </w:r>
                </w:p>
              </w:tc>
            </w:tr>
            <w:tr w14:paraId="4ED504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630" w:type="pct"/>
                  <w:noWrap w:val="0"/>
                  <w:vAlign w:val="center"/>
                </w:tcPr>
                <w:p w14:paraId="567BCD7F">
                  <w:pPr>
                    <w:spacing w:line="340" w:lineRule="exact"/>
                    <w:ind w:firstLine="0" w:firstLineChars="0"/>
                    <w:jc w:val="center"/>
                    <w:rPr>
                      <w:rFonts w:hint="default" w:eastAsia="宋体"/>
                      <w:color w:val="auto"/>
                      <w:sz w:val="21"/>
                      <w:szCs w:val="21"/>
                      <w:highlight w:val="none"/>
                      <w:lang w:val="en-US" w:eastAsia="zh-CN" w:bidi="ar"/>
                    </w:rPr>
                  </w:pPr>
                  <w:r>
                    <w:rPr>
                      <w:rFonts w:hint="eastAsia"/>
                      <w:color w:val="auto"/>
                      <w:sz w:val="21"/>
                      <w:szCs w:val="21"/>
                      <w:highlight w:val="none"/>
                      <w:lang w:val="en-US" w:eastAsia="zh-CN" w:bidi="ar"/>
                    </w:rPr>
                    <w:t>沥青输运、搅拌工序</w:t>
                  </w:r>
                </w:p>
              </w:tc>
              <w:tc>
                <w:tcPr>
                  <w:tcW w:w="1028" w:type="pct"/>
                  <w:noWrap w:val="0"/>
                  <w:vAlign w:val="center"/>
                </w:tcPr>
                <w:p w14:paraId="208E0AD1">
                  <w:pPr>
                    <w:spacing w:line="340" w:lineRule="exact"/>
                    <w:ind w:firstLine="0" w:firstLineChars="0"/>
                    <w:jc w:val="center"/>
                    <w:rPr>
                      <w:rFonts w:hint="eastAsia" w:ascii="Times New Roman" w:hAnsi="Times New Roman" w:eastAsia="宋体" w:cs="Times New Roman"/>
                      <w:color w:val="auto"/>
                      <w:sz w:val="21"/>
                      <w:szCs w:val="21"/>
                      <w:highlight w:val="none"/>
                      <w:lang w:bidi="ar"/>
                    </w:rPr>
                  </w:pPr>
                  <w:r>
                    <w:rPr>
                      <w:rFonts w:hint="eastAsia" w:ascii="Times New Roman" w:hAnsi="Times New Roman" w:eastAsia="宋体" w:cs="Times New Roman"/>
                      <w:color w:val="auto"/>
                      <w:sz w:val="21"/>
                      <w:szCs w:val="21"/>
                      <w:highlight w:val="none"/>
                      <w:lang w:val="en-US" w:eastAsia="zh-CN" w:bidi="ar"/>
                    </w:rPr>
                    <w:t>滴漏沥青及拌和残渣</w:t>
                  </w:r>
                </w:p>
              </w:tc>
              <w:tc>
                <w:tcPr>
                  <w:tcW w:w="386" w:type="pct"/>
                  <w:vMerge w:val="continue"/>
                  <w:noWrap w:val="0"/>
                  <w:vAlign w:val="center"/>
                </w:tcPr>
                <w:p w14:paraId="059B1AAF">
                  <w:pPr>
                    <w:spacing w:line="340" w:lineRule="exact"/>
                    <w:ind w:firstLine="0" w:firstLineChars="0"/>
                    <w:jc w:val="center"/>
                    <w:rPr>
                      <w:color w:val="auto"/>
                      <w:sz w:val="21"/>
                      <w:szCs w:val="21"/>
                      <w:highlight w:val="none"/>
                      <w:lang w:bidi="ar"/>
                    </w:rPr>
                  </w:pPr>
                </w:p>
              </w:tc>
              <w:tc>
                <w:tcPr>
                  <w:tcW w:w="494" w:type="pct"/>
                  <w:noWrap w:val="0"/>
                  <w:vAlign w:val="center"/>
                </w:tcPr>
                <w:p w14:paraId="05EFCBD6">
                  <w:pPr>
                    <w:spacing w:line="340" w:lineRule="exact"/>
                    <w:ind w:firstLine="0" w:firstLineChars="0"/>
                    <w:jc w:val="center"/>
                    <w:rPr>
                      <w:color w:val="auto"/>
                      <w:sz w:val="21"/>
                      <w:szCs w:val="21"/>
                      <w:highlight w:val="none"/>
                      <w:lang w:bidi="ar"/>
                    </w:rPr>
                  </w:pPr>
                  <w:r>
                    <w:rPr>
                      <w:color w:val="auto"/>
                      <w:sz w:val="21"/>
                      <w:szCs w:val="21"/>
                      <w:highlight w:val="none"/>
                      <w:lang w:bidi="ar"/>
                    </w:rPr>
                    <w:t>类比法</w:t>
                  </w:r>
                </w:p>
              </w:tc>
              <w:tc>
                <w:tcPr>
                  <w:tcW w:w="513" w:type="pct"/>
                  <w:noWrap w:val="0"/>
                  <w:vAlign w:val="center"/>
                </w:tcPr>
                <w:p w14:paraId="71EF7E73">
                  <w:pPr>
                    <w:spacing w:line="340" w:lineRule="exact"/>
                    <w:ind w:firstLine="0" w:firstLineChars="0"/>
                    <w:jc w:val="center"/>
                    <w:rPr>
                      <w:rFonts w:hint="eastAsia" w:eastAsia="宋体"/>
                      <w:color w:val="auto"/>
                      <w:sz w:val="21"/>
                      <w:szCs w:val="21"/>
                      <w:highlight w:val="none"/>
                      <w:lang w:val="en-US" w:eastAsia="zh-CN" w:bidi="ar"/>
                    </w:rPr>
                  </w:pPr>
                  <w:r>
                    <w:rPr>
                      <w:rFonts w:hint="eastAsia"/>
                      <w:color w:val="auto"/>
                      <w:sz w:val="21"/>
                      <w:szCs w:val="21"/>
                      <w:highlight w:val="none"/>
                      <w:lang w:val="en-US" w:eastAsia="zh-CN" w:bidi="ar"/>
                    </w:rPr>
                    <w:t>6</w:t>
                  </w:r>
                </w:p>
              </w:tc>
              <w:tc>
                <w:tcPr>
                  <w:tcW w:w="512" w:type="pct"/>
                  <w:noWrap w:val="0"/>
                  <w:vAlign w:val="center"/>
                </w:tcPr>
                <w:p w14:paraId="6D29217C">
                  <w:pPr>
                    <w:spacing w:line="340" w:lineRule="exact"/>
                    <w:ind w:firstLine="0" w:firstLineChars="0"/>
                    <w:jc w:val="center"/>
                    <w:rPr>
                      <w:color w:val="auto"/>
                      <w:sz w:val="21"/>
                      <w:szCs w:val="21"/>
                      <w:highlight w:val="none"/>
                      <w:lang w:bidi="ar"/>
                    </w:rPr>
                  </w:pPr>
                  <w:r>
                    <w:rPr>
                      <w:rFonts w:hint="eastAsia"/>
                      <w:color w:val="auto"/>
                      <w:sz w:val="21"/>
                      <w:szCs w:val="21"/>
                      <w:highlight w:val="none"/>
                      <w:lang w:bidi="ar"/>
                    </w:rPr>
                    <w:t>回用</w:t>
                  </w:r>
                </w:p>
              </w:tc>
              <w:tc>
                <w:tcPr>
                  <w:tcW w:w="552" w:type="pct"/>
                  <w:noWrap w:val="0"/>
                  <w:vAlign w:val="center"/>
                </w:tcPr>
                <w:p w14:paraId="5266516F">
                  <w:pPr>
                    <w:spacing w:line="340" w:lineRule="exact"/>
                    <w:ind w:firstLine="0" w:firstLineChars="0"/>
                    <w:jc w:val="center"/>
                    <w:rPr>
                      <w:rFonts w:hint="eastAsia" w:eastAsia="宋体"/>
                      <w:color w:val="auto"/>
                      <w:sz w:val="21"/>
                      <w:szCs w:val="21"/>
                      <w:highlight w:val="none"/>
                      <w:lang w:val="en-US" w:eastAsia="zh-CN" w:bidi="ar"/>
                    </w:rPr>
                  </w:pPr>
                  <w:r>
                    <w:rPr>
                      <w:rFonts w:hint="eastAsia"/>
                      <w:color w:val="auto"/>
                      <w:sz w:val="21"/>
                      <w:szCs w:val="21"/>
                      <w:highlight w:val="none"/>
                      <w:lang w:val="en-US" w:eastAsia="zh-CN" w:bidi="ar"/>
                    </w:rPr>
                    <w:t>6</w:t>
                  </w:r>
                </w:p>
              </w:tc>
              <w:tc>
                <w:tcPr>
                  <w:tcW w:w="880" w:type="pct"/>
                  <w:noWrap w:val="0"/>
                  <w:vAlign w:val="center"/>
                </w:tcPr>
                <w:p w14:paraId="50608FD4">
                  <w:pPr>
                    <w:spacing w:line="340" w:lineRule="exact"/>
                    <w:ind w:firstLine="0" w:firstLineChars="0"/>
                    <w:jc w:val="center"/>
                    <w:rPr>
                      <w:color w:val="auto"/>
                      <w:sz w:val="21"/>
                      <w:szCs w:val="21"/>
                      <w:highlight w:val="none"/>
                      <w:lang w:bidi="ar"/>
                    </w:rPr>
                  </w:pPr>
                  <w:r>
                    <w:rPr>
                      <w:rFonts w:hint="eastAsia"/>
                      <w:color w:val="auto"/>
                      <w:sz w:val="21"/>
                      <w:szCs w:val="21"/>
                      <w:highlight w:val="none"/>
                      <w:lang w:bidi="ar"/>
                    </w:rPr>
                    <w:t>回用于生产</w:t>
                  </w:r>
                </w:p>
              </w:tc>
            </w:tr>
            <w:tr w14:paraId="2709AC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630" w:type="pct"/>
                  <w:noWrap w:val="0"/>
                  <w:vAlign w:val="center"/>
                </w:tcPr>
                <w:p w14:paraId="48649AA5">
                  <w:pPr>
                    <w:spacing w:line="340" w:lineRule="exact"/>
                    <w:ind w:firstLine="0" w:firstLineChars="0"/>
                    <w:jc w:val="center"/>
                    <w:rPr>
                      <w:color w:val="auto"/>
                      <w:sz w:val="21"/>
                      <w:szCs w:val="21"/>
                      <w:highlight w:val="none"/>
                      <w:lang w:bidi="ar"/>
                    </w:rPr>
                  </w:pPr>
                  <w:r>
                    <w:rPr>
                      <w:rFonts w:hint="eastAsia"/>
                      <w:color w:val="auto"/>
                      <w:sz w:val="21"/>
                      <w:szCs w:val="21"/>
                      <w:highlight w:val="none"/>
                      <w:lang w:bidi="ar"/>
                    </w:rPr>
                    <w:t>食堂</w:t>
                  </w:r>
                </w:p>
              </w:tc>
              <w:tc>
                <w:tcPr>
                  <w:tcW w:w="1028" w:type="pct"/>
                  <w:noWrap w:val="0"/>
                  <w:vAlign w:val="center"/>
                </w:tcPr>
                <w:p w14:paraId="0558354E">
                  <w:pPr>
                    <w:spacing w:line="340" w:lineRule="exact"/>
                    <w:ind w:firstLine="0" w:firstLineChars="0"/>
                    <w:jc w:val="center"/>
                    <w:rPr>
                      <w:color w:val="auto"/>
                      <w:sz w:val="21"/>
                      <w:szCs w:val="21"/>
                      <w:highlight w:val="none"/>
                      <w:lang w:bidi="ar"/>
                    </w:rPr>
                  </w:pPr>
                  <w:r>
                    <w:rPr>
                      <w:rFonts w:hint="eastAsia"/>
                      <w:color w:val="auto"/>
                      <w:sz w:val="21"/>
                      <w:szCs w:val="21"/>
                      <w:highlight w:val="none"/>
                      <w:lang w:bidi="ar"/>
                    </w:rPr>
                    <w:t>食堂厨余垃圾</w:t>
                  </w:r>
                </w:p>
              </w:tc>
              <w:tc>
                <w:tcPr>
                  <w:tcW w:w="386" w:type="pct"/>
                  <w:vMerge w:val="continue"/>
                  <w:noWrap w:val="0"/>
                  <w:vAlign w:val="center"/>
                </w:tcPr>
                <w:p w14:paraId="00D41783">
                  <w:pPr>
                    <w:spacing w:line="340" w:lineRule="exact"/>
                    <w:ind w:firstLine="0" w:firstLineChars="0"/>
                    <w:jc w:val="center"/>
                    <w:rPr>
                      <w:color w:val="auto"/>
                      <w:sz w:val="21"/>
                      <w:szCs w:val="21"/>
                      <w:highlight w:val="none"/>
                      <w:lang w:bidi="ar"/>
                    </w:rPr>
                  </w:pPr>
                </w:p>
              </w:tc>
              <w:tc>
                <w:tcPr>
                  <w:tcW w:w="494" w:type="pct"/>
                  <w:vMerge w:val="restart"/>
                  <w:noWrap w:val="0"/>
                  <w:vAlign w:val="center"/>
                </w:tcPr>
                <w:p w14:paraId="37EE7414">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sz w:val="21"/>
                      <w:szCs w:val="21"/>
                      <w:highlight w:val="none"/>
                      <w:shd w:val="clear" w:color="auto" w:fill="auto"/>
                      <w:lang w:val="en-US" w:eastAsia="zh-CN" w:bidi="ar"/>
                    </w:rPr>
                  </w:pPr>
                  <w:r>
                    <w:rPr>
                      <w:rFonts w:hint="default" w:ascii="Times New Roman" w:hAnsi="Times New Roman" w:eastAsia="宋体" w:cs="Times New Roman"/>
                      <w:color w:val="auto"/>
                      <w:sz w:val="21"/>
                      <w:szCs w:val="21"/>
                      <w:highlight w:val="none"/>
                      <w:shd w:val="clear" w:color="auto" w:fill="auto"/>
                      <w:lang w:val="en-US" w:eastAsia="zh-CN" w:bidi="ar"/>
                    </w:rPr>
                    <w:t>产污系</w:t>
                  </w:r>
                </w:p>
                <w:p w14:paraId="3547C51B">
                  <w:pPr>
                    <w:spacing w:line="340" w:lineRule="exact"/>
                    <w:ind w:firstLine="0" w:firstLineChars="0"/>
                    <w:jc w:val="center"/>
                    <w:rPr>
                      <w:color w:val="auto"/>
                      <w:sz w:val="21"/>
                      <w:szCs w:val="21"/>
                      <w:highlight w:val="none"/>
                      <w:lang w:bidi="ar"/>
                    </w:rPr>
                  </w:pPr>
                  <w:r>
                    <w:rPr>
                      <w:rFonts w:hint="default" w:ascii="Times New Roman" w:hAnsi="Times New Roman" w:eastAsia="宋体" w:cs="Times New Roman"/>
                      <w:color w:val="auto"/>
                      <w:sz w:val="21"/>
                      <w:szCs w:val="21"/>
                      <w:highlight w:val="none"/>
                      <w:shd w:val="clear" w:color="auto" w:fill="auto"/>
                      <w:lang w:val="en-US" w:eastAsia="zh-CN" w:bidi="ar"/>
                    </w:rPr>
                    <w:t>数法</w:t>
                  </w:r>
                </w:p>
              </w:tc>
              <w:tc>
                <w:tcPr>
                  <w:tcW w:w="513" w:type="pct"/>
                  <w:noWrap w:val="0"/>
                  <w:vAlign w:val="center"/>
                </w:tcPr>
                <w:p w14:paraId="056AA436">
                  <w:pPr>
                    <w:spacing w:line="340" w:lineRule="exact"/>
                    <w:ind w:firstLine="0" w:firstLineChars="0"/>
                    <w:jc w:val="center"/>
                    <w:rPr>
                      <w:rFonts w:hint="default" w:eastAsia="宋体"/>
                      <w:color w:val="auto"/>
                      <w:sz w:val="21"/>
                      <w:szCs w:val="21"/>
                      <w:highlight w:val="none"/>
                      <w:lang w:val="en-US" w:eastAsia="zh-CN" w:bidi="ar"/>
                    </w:rPr>
                  </w:pPr>
                  <w:r>
                    <w:rPr>
                      <w:rFonts w:hint="eastAsia"/>
                      <w:color w:val="auto"/>
                      <w:sz w:val="21"/>
                      <w:szCs w:val="21"/>
                      <w:highlight w:val="none"/>
                      <w:lang w:val="en-US" w:eastAsia="zh-CN" w:bidi="ar"/>
                    </w:rPr>
                    <w:t>0.48</w:t>
                  </w:r>
                </w:p>
              </w:tc>
              <w:tc>
                <w:tcPr>
                  <w:tcW w:w="512" w:type="pct"/>
                  <w:vMerge w:val="restart"/>
                  <w:noWrap w:val="0"/>
                  <w:vAlign w:val="center"/>
                </w:tcPr>
                <w:p w14:paraId="3CF6DA7A">
                  <w:pPr>
                    <w:spacing w:line="340" w:lineRule="exact"/>
                    <w:ind w:firstLine="0" w:firstLineChars="0"/>
                    <w:jc w:val="center"/>
                    <w:rPr>
                      <w:color w:val="auto"/>
                      <w:sz w:val="21"/>
                      <w:szCs w:val="21"/>
                      <w:highlight w:val="none"/>
                      <w:lang w:bidi="ar"/>
                    </w:rPr>
                  </w:pPr>
                  <w:r>
                    <w:rPr>
                      <w:color w:val="auto"/>
                      <w:sz w:val="21"/>
                      <w:szCs w:val="21"/>
                      <w:highlight w:val="none"/>
                      <w:lang w:bidi="ar"/>
                    </w:rPr>
                    <w:t>委托</w:t>
                  </w:r>
                </w:p>
                <w:p w14:paraId="2DB020E1">
                  <w:pPr>
                    <w:spacing w:line="340" w:lineRule="exact"/>
                    <w:ind w:firstLine="0" w:firstLineChars="0"/>
                    <w:jc w:val="center"/>
                    <w:rPr>
                      <w:color w:val="auto"/>
                      <w:sz w:val="21"/>
                      <w:szCs w:val="21"/>
                      <w:highlight w:val="none"/>
                      <w:lang w:bidi="ar"/>
                    </w:rPr>
                  </w:pPr>
                  <w:r>
                    <w:rPr>
                      <w:color w:val="auto"/>
                      <w:sz w:val="21"/>
                      <w:szCs w:val="21"/>
                      <w:highlight w:val="none"/>
                      <w:lang w:bidi="ar"/>
                    </w:rPr>
                    <w:t>处置</w:t>
                  </w:r>
                </w:p>
              </w:tc>
              <w:tc>
                <w:tcPr>
                  <w:tcW w:w="552" w:type="pct"/>
                  <w:noWrap w:val="0"/>
                  <w:vAlign w:val="center"/>
                </w:tcPr>
                <w:p w14:paraId="2FB38D15">
                  <w:pPr>
                    <w:spacing w:line="340" w:lineRule="exact"/>
                    <w:ind w:firstLine="0" w:firstLineChars="0"/>
                    <w:jc w:val="center"/>
                    <w:rPr>
                      <w:rFonts w:hint="default"/>
                      <w:color w:val="auto"/>
                      <w:sz w:val="21"/>
                      <w:szCs w:val="21"/>
                      <w:highlight w:val="none"/>
                      <w:lang w:val="en-US" w:bidi="ar"/>
                    </w:rPr>
                  </w:pPr>
                  <w:r>
                    <w:rPr>
                      <w:rFonts w:hint="eastAsia"/>
                      <w:color w:val="auto"/>
                      <w:sz w:val="21"/>
                      <w:szCs w:val="21"/>
                      <w:highlight w:val="none"/>
                      <w:lang w:val="en-US" w:eastAsia="zh-CN" w:bidi="ar"/>
                    </w:rPr>
                    <w:t>0.48</w:t>
                  </w:r>
                </w:p>
              </w:tc>
              <w:tc>
                <w:tcPr>
                  <w:tcW w:w="880" w:type="pct"/>
                  <w:vMerge w:val="restart"/>
                  <w:noWrap w:val="0"/>
                  <w:vAlign w:val="center"/>
                </w:tcPr>
                <w:p w14:paraId="347F18B1">
                  <w:pPr>
                    <w:spacing w:line="340" w:lineRule="exact"/>
                    <w:ind w:firstLine="0" w:firstLineChars="0"/>
                    <w:jc w:val="center"/>
                    <w:rPr>
                      <w:color w:val="auto"/>
                      <w:sz w:val="21"/>
                      <w:szCs w:val="21"/>
                      <w:highlight w:val="none"/>
                      <w:lang w:bidi="ar"/>
                    </w:rPr>
                  </w:pPr>
                  <w:r>
                    <w:rPr>
                      <w:color w:val="auto"/>
                      <w:sz w:val="21"/>
                      <w:szCs w:val="21"/>
                      <w:highlight w:val="none"/>
                      <w:lang w:bidi="ar"/>
                    </w:rPr>
                    <w:t>委托有资质单位处置</w:t>
                  </w:r>
                </w:p>
              </w:tc>
            </w:tr>
            <w:tr w14:paraId="203D5A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0" w:hRule="atLeast"/>
                <w:jc w:val="center"/>
              </w:trPr>
              <w:tc>
                <w:tcPr>
                  <w:tcW w:w="630" w:type="pct"/>
                  <w:noWrap w:val="0"/>
                  <w:vAlign w:val="center"/>
                </w:tcPr>
                <w:p w14:paraId="70D64A63">
                  <w:pPr>
                    <w:spacing w:line="340" w:lineRule="exact"/>
                    <w:ind w:firstLine="0" w:firstLineChars="0"/>
                    <w:jc w:val="center"/>
                    <w:rPr>
                      <w:color w:val="auto"/>
                      <w:sz w:val="21"/>
                      <w:szCs w:val="21"/>
                      <w:highlight w:val="none"/>
                      <w:lang w:bidi="ar"/>
                    </w:rPr>
                  </w:pPr>
                  <w:r>
                    <w:rPr>
                      <w:rFonts w:hint="eastAsia"/>
                      <w:color w:val="auto"/>
                      <w:sz w:val="21"/>
                      <w:szCs w:val="21"/>
                      <w:highlight w:val="none"/>
                      <w:lang w:bidi="ar"/>
                    </w:rPr>
                    <w:t>废水处理设施维护</w:t>
                  </w:r>
                </w:p>
              </w:tc>
              <w:tc>
                <w:tcPr>
                  <w:tcW w:w="1028" w:type="pct"/>
                  <w:noWrap w:val="0"/>
                  <w:vAlign w:val="center"/>
                </w:tcPr>
                <w:p w14:paraId="2E195D09">
                  <w:pPr>
                    <w:spacing w:line="340" w:lineRule="exact"/>
                    <w:ind w:firstLine="0" w:firstLineChars="0"/>
                    <w:jc w:val="center"/>
                    <w:rPr>
                      <w:color w:val="auto"/>
                      <w:sz w:val="21"/>
                      <w:szCs w:val="21"/>
                      <w:highlight w:val="none"/>
                      <w:lang w:bidi="ar"/>
                    </w:rPr>
                  </w:pPr>
                  <w:r>
                    <w:rPr>
                      <w:rFonts w:hint="eastAsia"/>
                      <w:color w:val="auto"/>
                      <w:sz w:val="21"/>
                      <w:szCs w:val="21"/>
                      <w:highlight w:val="none"/>
                      <w:lang w:bidi="ar"/>
                    </w:rPr>
                    <w:t>隔油池废油</w:t>
                  </w:r>
                </w:p>
              </w:tc>
              <w:tc>
                <w:tcPr>
                  <w:tcW w:w="386" w:type="pct"/>
                  <w:vMerge w:val="continue"/>
                  <w:noWrap w:val="0"/>
                  <w:vAlign w:val="center"/>
                </w:tcPr>
                <w:p w14:paraId="2296AC90">
                  <w:pPr>
                    <w:spacing w:line="340" w:lineRule="exact"/>
                    <w:ind w:firstLine="0" w:firstLineChars="0"/>
                    <w:jc w:val="center"/>
                    <w:rPr>
                      <w:color w:val="auto"/>
                      <w:sz w:val="21"/>
                      <w:szCs w:val="21"/>
                      <w:highlight w:val="none"/>
                      <w:lang w:bidi="ar"/>
                    </w:rPr>
                  </w:pPr>
                </w:p>
              </w:tc>
              <w:tc>
                <w:tcPr>
                  <w:tcW w:w="494" w:type="pct"/>
                  <w:vMerge w:val="continue"/>
                  <w:noWrap w:val="0"/>
                  <w:vAlign w:val="center"/>
                </w:tcPr>
                <w:p w14:paraId="121ACAE9">
                  <w:pPr>
                    <w:spacing w:line="340" w:lineRule="exact"/>
                    <w:ind w:firstLine="0" w:firstLineChars="0"/>
                    <w:jc w:val="center"/>
                    <w:rPr>
                      <w:color w:val="auto"/>
                      <w:sz w:val="21"/>
                      <w:szCs w:val="21"/>
                      <w:highlight w:val="none"/>
                      <w:lang w:bidi="ar"/>
                    </w:rPr>
                  </w:pPr>
                </w:p>
              </w:tc>
              <w:tc>
                <w:tcPr>
                  <w:tcW w:w="513" w:type="pct"/>
                  <w:noWrap w:val="0"/>
                  <w:vAlign w:val="center"/>
                </w:tcPr>
                <w:p w14:paraId="1B4991C7">
                  <w:pPr>
                    <w:spacing w:line="340" w:lineRule="exact"/>
                    <w:ind w:firstLine="0" w:firstLineChars="0"/>
                    <w:jc w:val="center"/>
                    <w:rPr>
                      <w:rFonts w:hint="default" w:eastAsia="宋体"/>
                      <w:color w:val="auto"/>
                      <w:sz w:val="21"/>
                      <w:szCs w:val="21"/>
                      <w:highlight w:val="none"/>
                      <w:lang w:val="en-US" w:eastAsia="zh-CN" w:bidi="ar"/>
                    </w:rPr>
                  </w:pPr>
                  <w:r>
                    <w:rPr>
                      <w:rFonts w:hint="eastAsia"/>
                      <w:color w:val="auto"/>
                      <w:sz w:val="21"/>
                      <w:szCs w:val="21"/>
                      <w:highlight w:val="none"/>
                      <w:lang w:bidi="ar"/>
                    </w:rPr>
                    <w:t>0.</w:t>
                  </w:r>
                  <w:r>
                    <w:rPr>
                      <w:rFonts w:hint="eastAsia"/>
                      <w:color w:val="auto"/>
                      <w:sz w:val="21"/>
                      <w:szCs w:val="21"/>
                      <w:highlight w:val="none"/>
                      <w:lang w:val="en-US" w:eastAsia="zh-CN" w:bidi="ar"/>
                    </w:rPr>
                    <w:t>0019</w:t>
                  </w:r>
                </w:p>
              </w:tc>
              <w:tc>
                <w:tcPr>
                  <w:tcW w:w="512" w:type="pct"/>
                  <w:vMerge w:val="continue"/>
                  <w:noWrap w:val="0"/>
                  <w:vAlign w:val="center"/>
                </w:tcPr>
                <w:p w14:paraId="1A718EE2">
                  <w:pPr>
                    <w:spacing w:line="340" w:lineRule="exact"/>
                    <w:ind w:firstLine="0" w:firstLineChars="0"/>
                    <w:jc w:val="center"/>
                    <w:rPr>
                      <w:color w:val="auto"/>
                      <w:sz w:val="21"/>
                      <w:szCs w:val="21"/>
                      <w:highlight w:val="none"/>
                      <w:lang w:bidi="ar"/>
                    </w:rPr>
                  </w:pPr>
                </w:p>
              </w:tc>
              <w:tc>
                <w:tcPr>
                  <w:tcW w:w="552" w:type="pct"/>
                  <w:noWrap w:val="0"/>
                  <w:vAlign w:val="center"/>
                </w:tcPr>
                <w:p w14:paraId="551EB651">
                  <w:pPr>
                    <w:spacing w:line="340" w:lineRule="exact"/>
                    <w:ind w:firstLine="0" w:firstLineChars="0"/>
                    <w:jc w:val="center"/>
                    <w:rPr>
                      <w:rFonts w:hint="default"/>
                      <w:color w:val="auto"/>
                      <w:sz w:val="21"/>
                      <w:szCs w:val="21"/>
                      <w:highlight w:val="none"/>
                      <w:lang w:val="en-US" w:bidi="ar"/>
                    </w:rPr>
                  </w:pPr>
                  <w:r>
                    <w:rPr>
                      <w:rFonts w:hint="eastAsia"/>
                      <w:color w:val="auto"/>
                      <w:sz w:val="21"/>
                      <w:szCs w:val="21"/>
                      <w:highlight w:val="none"/>
                      <w:lang w:bidi="ar"/>
                    </w:rPr>
                    <w:t>0.</w:t>
                  </w:r>
                  <w:r>
                    <w:rPr>
                      <w:rFonts w:hint="eastAsia"/>
                      <w:color w:val="auto"/>
                      <w:sz w:val="21"/>
                      <w:szCs w:val="21"/>
                      <w:highlight w:val="none"/>
                      <w:lang w:val="en-US" w:eastAsia="zh-CN" w:bidi="ar"/>
                    </w:rPr>
                    <w:t>0019</w:t>
                  </w:r>
                </w:p>
              </w:tc>
              <w:tc>
                <w:tcPr>
                  <w:tcW w:w="880" w:type="pct"/>
                  <w:vMerge w:val="continue"/>
                  <w:noWrap w:val="0"/>
                  <w:vAlign w:val="center"/>
                </w:tcPr>
                <w:p w14:paraId="3C889687">
                  <w:pPr>
                    <w:spacing w:line="340" w:lineRule="exact"/>
                    <w:ind w:firstLine="0" w:firstLineChars="0"/>
                    <w:jc w:val="center"/>
                    <w:rPr>
                      <w:color w:val="auto"/>
                      <w:sz w:val="21"/>
                      <w:szCs w:val="21"/>
                      <w:highlight w:val="none"/>
                      <w:lang w:bidi="ar"/>
                    </w:rPr>
                  </w:pPr>
                </w:p>
              </w:tc>
            </w:tr>
            <w:tr w14:paraId="696BF9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0" w:hRule="atLeast"/>
                <w:jc w:val="center"/>
              </w:trPr>
              <w:tc>
                <w:tcPr>
                  <w:tcW w:w="630" w:type="pct"/>
                  <w:noWrap w:val="0"/>
                  <w:vAlign w:val="center"/>
                </w:tcPr>
                <w:p w14:paraId="505C0134">
                  <w:pPr>
                    <w:spacing w:line="340" w:lineRule="exact"/>
                    <w:ind w:firstLine="0" w:firstLineChars="0"/>
                    <w:jc w:val="center"/>
                    <w:rPr>
                      <w:rFonts w:hint="default" w:eastAsia="宋体"/>
                      <w:color w:val="auto"/>
                      <w:sz w:val="21"/>
                      <w:szCs w:val="21"/>
                      <w:highlight w:val="none"/>
                      <w:lang w:val="en-US" w:eastAsia="zh-CN" w:bidi="ar"/>
                    </w:rPr>
                  </w:pPr>
                  <w:r>
                    <w:rPr>
                      <w:rFonts w:hint="eastAsia"/>
                      <w:color w:val="auto"/>
                      <w:sz w:val="21"/>
                      <w:szCs w:val="21"/>
                      <w:highlight w:val="none"/>
                      <w:lang w:val="en-US" w:eastAsia="zh-CN" w:bidi="ar"/>
                    </w:rPr>
                    <w:t>沉淀池/初期雨水池</w:t>
                  </w:r>
                </w:p>
              </w:tc>
              <w:tc>
                <w:tcPr>
                  <w:tcW w:w="1028" w:type="pct"/>
                  <w:noWrap w:val="0"/>
                  <w:vAlign w:val="center"/>
                </w:tcPr>
                <w:p w14:paraId="27214F87">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val="en-US" w:eastAsia="zh-CN" w:bidi="ar"/>
                    </w:rPr>
                    <w:t>沉淀池污泥</w:t>
                  </w:r>
                </w:p>
              </w:tc>
              <w:tc>
                <w:tcPr>
                  <w:tcW w:w="386" w:type="pct"/>
                  <w:vMerge w:val="continue"/>
                  <w:noWrap w:val="0"/>
                  <w:vAlign w:val="center"/>
                </w:tcPr>
                <w:p w14:paraId="21DEEBF5">
                  <w:pPr>
                    <w:spacing w:line="340" w:lineRule="exact"/>
                    <w:ind w:firstLine="0" w:firstLineChars="0"/>
                    <w:jc w:val="center"/>
                    <w:rPr>
                      <w:color w:val="auto"/>
                      <w:sz w:val="21"/>
                      <w:szCs w:val="21"/>
                      <w:highlight w:val="none"/>
                      <w:lang w:bidi="ar"/>
                    </w:rPr>
                  </w:pPr>
                </w:p>
              </w:tc>
              <w:tc>
                <w:tcPr>
                  <w:tcW w:w="494" w:type="pct"/>
                  <w:noWrap w:val="0"/>
                  <w:vAlign w:val="center"/>
                </w:tcPr>
                <w:p w14:paraId="014588B1">
                  <w:pPr>
                    <w:spacing w:line="340" w:lineRule="exact"/>
                    <w:ind w:firstLine="0" w:firstLineChars="0"/>
                    <w:jc w:val="center"/>
                    <w:rPr>
                      <w:color w:val="auto"/>
                      <w:sz w:val="21"/>
                      <w:szCs w:val="21"/>
                      <w:highlight w:val="none"/>
                      <w:lang w:bidi="ar"/>
                    </w:rPr>
                  </w:pPr>
                  <w:r>
                    <w:rPr>
                      <w:color w:val="auto"/>
                      <w:sz w:val="21"/>
                      <w:szCs w:val="21"/>
                      <w:highlight w:val="none"/>
                      <w:lang w:bidi="ar"/>
                    </w:rPr>
                    <w:t>类比法</w:t>
                  </w:r>
                </w:p>
              </w:tc>
              <w:tc>
                <w:tcPr>
                  <w:tcW w:w="513" w:type="pct"/>
                  <w:noWrap w:val="0"/>
                  <w:vAlign w:val="center"/>
                </w:tcPr>
                <w:p w14:paraId="59E3E152">
                  <w:pPr>
                    <w:spacing w:line="340" w:lineRule="exact"/>
                    <w:ind w:firstLine="0" w:firstLineChars="0"/>
                    <w:jc w:val="center"/>
                    <w:rPr>
                      <w:rFonts w:hint="eastAsia" w:eastAsia="宋体"/>
                      <w:color w:val="auto"/>
                      <w:sz w:val="21"/>
                      <w:szCs w:val="21"/>
                      <w:highlight w:val="none"/>
                      <w:lang w:val="en-US" w:eastAsia="zh-CN" w:bidi="ar"/>
                    </w:rPr>
                  </w:pPr>
                  <w:r>
                    <w:rPr>
                      <w:rFonts w:hint="eastAsia"/>
                      <w:color w:val="auto"/>
                      <w:sz w:val="21"/>
                      <w:szCs w:val="21"/>
                      <w:highlight w:val="none"/>
                      <w:lang w:val="en-US" w:eastAsia="zh-CN" w:bidi="ar"/>
                    </w:rPr>
                    <w:t>9</w:t>
                  </w:r>
                </w:p>
              </w:tc>
              <w:tc>
                <w:tcPr>
                  <w:tcW w:w="512" w:type="pct"/>
                  <w:noWrap w:val="0"/>
                  <w:vAlign w:val="center"/>
                </w:tcPr>
                <w:p w14:paraId="335213D0">
                  <w:pPr>
                    <w:spacing w:line="340" w:lineRule="exact"/>
                    <w:ind w:firstLine="0" w:firstLineChars="0"/>
                    <w:jc w:val="center"/>
                    <w:rPr>
                      <w:rFonts w:hint="eastAsia" w:eastAsia="宋体"/>
                      <w:color w:val="auto"/>
                      <w:sz w:val="21"/>
                      <w:szCs w:val="21"/>
                      <w:highlight w:val="none"/>
                      <w:lang w:val="en-US" w:eastAsia="zh-CN" w:bidi="ar"/>
                    </w:rPr>
                  </w:pPr>
                  <w:r>
                    <w:rPr>
                      <w:rFonts w:hint="eastAsia"/>
                      <w:color w:val="auto"/>
                      <w:sz w:val="21"/>
                      <w:szCs w:val="21"/>
                      <w:highlight w:val="none"/>
                      <w:lang w:val="en-US" w:eastAsia="zh-CN" w:bidi="ar"/>
                    </w:rPr>
                    <w:t>外售</w:t>
                  </w:r>
                </w:p>
              </w:tc>
              <w:tc>
                <w:tcPr>
                  <w:tcW w:w="552" w:type="pct"/>
                  <w:noWrap w:val="0"/>
                  <w:vAlign w:val="center"/>
                </w:tcPr>
                <w:p w14:paraId="6E333A82">
                  <w:pPr>
                    <w:spacing w:line="340" w:lineRule="exact"/>
                    <w:ind w:firstLine="0" w:firstLineChars="0"/>
                    <w:jc w:val="center"/>
                    <w:rPr>
                      <w:rFonts w:hint="eastAsia" w:eastAsia="宋体"/>
                      <w:color w:val="auto"/>
                      <w:sz w:val="21"/>
                      <w:szCs w:val="21"/>
                      <w:highlight w:val="none"/>
                      <w:lang w:val="en-US" w:eastAsia="zh-CN" w:bidi="ar"/>
                    </w:rPr>
                  </w:pPr>
                  <w:r>
                    <w:rPr>
                      <w:rFonts w:hint="eastAsia"/>
                      <w:color w:val="auto"/>
                      <w:sz w:val="21"/>
                      <w:szCs w:val="21"/>
                      <w:highlight w:val="none"/>
                      <w:lang w:val="en-US" w:eastAsia="zh-CN" w:bidi="ar"/>
                    </w:rPr>
                    <w:t>9</w:t>
                  </w:r>
                </w:p>
              </w:tc>
              <w:tc>
                <w:tcPr>
                  <w:tcW w:w="880" w:type="pct"/>
                  <w:noWrap w:val="0"/>
                  <w:vAlign w:val="center"/>
                </w:tcPr>
                <w:p w14:paraId="6FD7AC51">
                  <w:pPr>
                    <w:spacing w:line="340" w:lineRule="exact"/>
                    <w:ind w:firstLine="0" w:firstLineChars="0"/>
                    <w:jc w:val="center"/>
                    <w:rPr>
                      <w:rFonts w:hint="default" w:eastAsia="宋体"/>
                      <w:color w:val="auto"/>
                      <w:sz w:val="21"/>
                      <w:szCs w:val="21"/>
                      <w:highlight w:val="none"/>
                      <w:lang w:val="en-US" w:eastAsia="zh-CN" w:bidi="ar"/>
                    </w:rPr>
                  </w:pPr>
                  <w:r>
                    <w:rPr>
                      <w:rFonts w:hint="eastAsia"/>
                      <w:color w:val="auto"/>
                      <w:sz w:val="21"/>
                      <w:szCs w:val="21"/>
                      <w:highlight w:val="none"/>
                      <w:lang w:val="en-US" w:eastAsia="zh-CN" w:bidi="ar"/>
                    </w:rPr>
                    <w:t>外售综合利用</w:t>
                  </w:r>
                </w:p>
              </w:tc>
            </w:tr>
            <w:tr w14:paraId="3C7FF5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630" w:type="pct"/>
                  <w:vMerge w:val="restart"/>
                  <w:noWrap w:val="0"/>
                  <w:vAlign w:val="center"/>
                </w:tcPr>
                <w:p w14:paraId="618A3FEC">
                  <w:pPr>
                    <w:spacing w:line="340" w:lineRule="exact"/>
                    <w:ind w:firstLine="0" w:firstLineChars="0"/>
                    <w:jc w:val="center"/>
                    <w:rPr>
                      <w:rFonts w:hint="default" w:eastAsia="宋体"/>
                      <w:color w:val="auto"/>
                      <w:sz w:val="21"/>
                      <w:szCs w:val="21"/>
                      <w:highlight w:val="none"/>
                      <w:lang w:val="en-US" w:eastAsia="zh-CN" w:bidi="ar"/>
                    </w:rPr>
                  </w:pPr>
                  <w:r>
                    <w:rPr>
                      <w:rFonts w:hint="eastAsia"/>
                      <w:color w:val="auto"/>
                      <w:sz w:val="21"/>
                      <w:szCs w:val="21"/>
                      <w:highlight w:val="none"/>
                      <w:lang w:bidi="ar"/>
                    </w:rPr>
                    <w:t>设备运行</w:t>
                  </w:r>
                  <w:r>
                    <w:rPr>
                      <w:rFonts w:hint="eastAsia"/>
                      <w:color w:val="auto"/>
                      <w:sz w:val="21"/>
                      <w:szCs w:val="21"/>
                      <w:highlight w:val="none"/>
                      <w:lang w:eastAsia="zh-CN" w:bidi="ar"/>
                    </w:rPr>
                    <w:t>、</w:t>
                  </w:r>
                  <w:r>
                    <w:rPr>
                      <w:rFonts w:hint="eastAsia"/>
                      <w:color w:val="auto"/>
                      <w:sz w:val="21"/>
                      <w:szCs w:val="21"/>
                      <w:highlight w:val="none"/>
                      <w:lang w:val="en-US" w:eastAsia="zh-CN" w:bidi="ar"/>
                    </w:rPr>
                    <w:t>维护</w:t>
                  </w:r>
                </w:p>
              </w:tc>
              <w:tc>
                <w:tcPr>
                  <w:tcW w:w="1028" w:type="pct"/>
                  <w:noWrap w:val="0"/>
                  <w:vAlign w:val="center"/>
                </w:tcPr>
                <w:p w14:paraId="389140CA">
                  <w:pPr>
                    <w:spacing w:line="340" w:lineRule="exact"/>
                    <w:ind w:firstLine="0" w:firstLineChars="0"/>
                    <w:jc w:val="center"/>
                    <w:rPr>
                      <w:rFonts w:hint="eastAsia"/>
                      <w:color w:val="auto"/>
                      <w:sz w:val="21"/>
                      <w:szCs w:val="21"/>
                      <w:highlight w:val="none"/>
                      <w:lang w:val="en-US" w:eastAsia="zh-CN" w:bidi="ar"/>
                    </w:rPr>
                  </w:pPr>
                  <w:r>
                    <w:rPr>
                      <w:rFonts w:hint="eastAsia"/>
                      <w:color w:val="auto"/>
                      <w:sz w:val="21"/>
                      <w:szCs w:val="21"/>
                      <w:highlight w:val="none"/>
                      <w:lang w:val="en-US" w:eastAsia="zh-CN" w:bidi="ar"/>
                    </w:rPr>
                    <w:t>废导热油</w:t>
                  </w:r>
                </w:p>
              </w:tc>
              <w:tc>
                <w:tcPr>
                  <w:tcW w:w="386" w:type="pct"/>
                  <w:vMerge w:val="restart"/>
                  <w:noWrap w:val="0"/>
                  <w:vAlign w:val="center"/>
                </w:tcPr>
                <w:p w14:paraId="24B5E84C">
                  <w:pPr>
                    <w:spacing w:line="340" w:lineRule="exact"/>
                    <w:ind w:firstLine="0" w:firstLineChars="0"/>
                    <w:jc w:val="center"/>
                    <w:rPr>
                      <w:color w:val="auto"/>
                      <w:sz w:val="21"/>
                      <w:szCs w:val="21"/>
                      <w:highlight w:val="none"/>
                      <w:lang w:bidi="ar"/>
                    </w:rPr>
                  </w:pPr>
                  <w:r>
                    <w:rPr>
                      <w:color w:val="auto"/>
                      <w:sz w:val="21"/>
                      <w:szCs w:val="21"/>
                      <w:highlight w:val="none"/>
                      <w:lang w:bidi="ar"/>
                    </w:rPr>
                    <w:t>危险废物</w:t>
                  </w:r>
                </w:p>
              </w:tc>
              <w:tc>
                <w:tcPr>
                  <w:tcW w:w="494" w:type="pct"/>
                  <w:vMerge w:val="restart"/>
                  <w:noWrap w:val="0"/>
                  <w:vAlign w:val="center"/>
                </w:tcPr>
                <w:p w14:paraId="3FE818AB">
                  <w:pPr>
                    <w:spacing w:line="340" w:lineRule="exact"/>
                    <w:ind w:firstLine="0" w:firstLineChars="0"/>
                    <w:jc w:val="center"/>
                    <w:rPr>
                      <w:color w:val="auto"/>
                      <w:sz w:val="21"/>
                      <w:szCs w:val="21"/>
                      <w:highlight w:val="none"/>
                      <w:lang w:bidi="ar"/>
                    </w:rPr>
                  </w:pPr>
                  <w:r>
                    <w:rPr>
                      <w:color w:val="auto"/>
                      <w:sz w:val="21"/>
                      <w:szCs w:val="21"/>
                      <w:highlight w:val="none"/>
                      <w:lang w:bidi="ar"/>
                    </w:rPr>
                    <w:t>类比法</w:t>
                  </w:r>
                </w:p>
              </w:tc>
              <w:tc>
                <w:tcPr>
                  <w:tcW w:w="513" w:type="pct"/>
                  <w:noWrap w:val="0"/>
                  <w:vAlign w:val="center"/>
                </w:tcPr>
                <w:p w14:paraId="41DF0B93">
                  <w:pPr>
                    <w:spacing w:line="340" w:lineRule="exact"/>
                    <w:ind w:firstLine="0" w:firstLineChars="0"/>
                    <w:jc w:val="center"/>
                    <w:rPr>
                      <w:rFonts w:hint="eastAsia"/>
                      <w:color w:val="auto"/>
                      <w:sz w:val="21"/>
                      <w:szCs w:val="21"/>
                      <w:highlight w:val="none"/>
                      <w:lang w:val="en-US" w:eastAsia="zh-CN" w:bidi="ar"/>
                    </w:rPr>
                  </w:pPr>
                  <w:r>
                    <w:rPr>
                      <w:rFonts w:hint="eastAsia"/>
                      <w:color w:val="auto"/>
                      <w:sz w:val="21"/>
                      <w:szCs w:val="21"/>
                      <w:highlight w:val="none"/>
                      <w:lang w:val="en-US" w:eastAsia="zh-CN" w:bidi="ar"/>
                    </w:rPr>
                    <w:t>6</w:t>
                  </w:r>
                </w:p>
              </w:tc>
              <w:tc>
                <w:tcPr>
                  <w:tcW w:w="512" w:type="pct"/>
                  <w:vMerge w:val="restart"/>
                  <w:noWrap w:val="0"/>
                  <w:vAlign w:val="center"/>
                </w:tcPr>
                <w:p w14:paraId="38F30EEF">
                  <w:pPr>
                    <w:spacing w:line="340" w:lineRule="exact"/>
                    <w:ind w:firstLine="0" w:firstLineChars="0"/>
                    <w:jc w:val="center"/>
                    <w:rPr>
                      <w:color w:val="auto"/>
                      <w:sz w:val="21"/>
                      <w:szCs w:val="21"/>
                      <w:highlight w:val="none"/>
                      <w:lang w:bidi="ar"/>
                    </w:rPr>
                  </w:pPr>
                  <w:r>
                    <w:rPr>
                      <w:color w:val="auto"/>
                      <w:sz w:val="21"/>
                      <w:szCs w:val="21"/>
                      <w:highlight w:val="none"/>
                      <w:lang w:bidi="ar"/>
                    </w:rPr>
                    <w:t>委托</w:t>
                  </w:r>
                </w:p>
                <w:p w14:paraId="59FF084D">
                  <w:pPr>
                    <w:spacing w:line="340" w:lineRule="exact"/>
                    <w:ind w:firstLine="0" w:firstLineChars="0"/>
                    <w:jc w:val="center"/>
                    <w:rPr>
                      <w:color w:val="auto"/>
                      <w:sz w:val="21"/>
                      <w:szCs w:val="21"/>
                      <w:highlight w:val="none"/>
                      <w:lang w:bidi="ar"/>
                    </w:rPr>
                  </w:pPr>
                  <w:r>
                    <w:rPr>
                      <w:color w:val="auto"/>
                      <w:sz w:val="21"/>
                      <w:szCs w:val="21"/>
                      <w:highlight w:val="none"/>
                      <w:lang w:bidi="ar"/>
                    </w:rPr>
                    <w:t>处置</w:t>
                  </w:r>
                </w:p>
              </w:tc>
              <w:tc>
                <w:tcPr>
                  <w:tcW w:w="552" w:type="pct"/>
                  <w:noWrap w:val="0"/>
                  <w:vAlign w:val="center"/>
                </w:tcPr>
                <w:p w14:paraId="0948A499">
                  <w:pPr>
                    <w:spacing w:line="340" w:lineRule="exact"/>
                    <w:ind w:firstLine="0" w:firstLineChars="0"/>
                    <w:jc w:val="center"/>
                    <w:rPr>
                      <w:rFonts w:hint="eastAsia"/>
                      <w:color w:val="auto"/>
                      <w:sz w:val="21"/>
                      <w:szCs w:val="21"/>
                      <w:highlight w:val="none"/>
                      <w:lang w:val="en-US" w:eastAsia="zh-CN" w:bidi="ar"/>
                    </w:rPr>
                  </w:pPr>
                  <w:r>
                    <w:rPr>
                      <w:rFonts w:hint="eastAsia"/>
                      <w:color w:val="auto"/>
                      <w:sz w:val="21"/>
                      <w:szCs w:val="21"/>
                      <w:highlight w:val="none"/>
                      <w:lang w:val="en-US" w:eastAsia="zh-CN" w:bidi="ar"/>
                    </w:rPr>
                    <w:t>6</w:t>
                  </w:r>
                </w:p>
              </w:tc>
              <w:tc>
                <w:tcPr>
                  <w:tcW w:w="880" w:type="pct"/>
                  <w:vMerge w:val="restart"/>
                  <w:noWrap w:val="0"/>
                  <w:vAlign w:val="center"/>
                </w:tcPr>
                <w:p w14:paraId="665CADAF">
                  <w:pPr>
                    <w:spacing w:line="340" w:lineRule="exact"/>
                    <w:ind w:firstLine="0" w:firstLineChars="0"/>
                    <w:jc w:val="center"/>
                    <w:rPr>
                      <w:rFonts w:hint="eastAsia" w:eastAsia="宋体"/>
                      <w:color w:val="auto"/>
                      <w:sz w:val="21"/>
                      <w:szCs w:val="21"/>
                      <w:highlight w:val="none"/>
                      <w:lang w:eastAsia="zh-CN" w:bidi="ar"/>
                    </w:rPr>
                  </w:pPr>
                  <w:r>
                    <w:rPr>
                      <w:color w:val="auto"/>
                      <w:sz w:val="21"/>
                      <w:szCs w:val="21"/>
                      <w:highlight w:val="none"/>
                      <w:lang w:bidi="ar"/>
                    </w:rPr>
                    <w:t>委托有资质单位统一处置</w:t>
                  </w:r>
                  <w:r>
                    <w:rPr>
                      <w:rFonts w:hint="eastAsia"/>
                      <w:color w:val="auto"/>
                      <w:sz w:val="21"/>
                      <w:szCs w:val="21"/>
                      <w:highlight w:val="none"/>
                      <w:lang w:eastAsia="zh-CN" w:bidi="ar"/>
                    </w:rPr>
                    <w:t>（</w:t>
                  </w:r>
                  <w:r>
                    <w:rPr>
                      <w:rFonts w:hint="eastAsia"/>
                      <w:color w:val="auto"/>
                      <w:sz w:val="21"/>
                      <w:szCs w:val="21"/>
                      <w:highlight w:val="none"/>
                      <w:lang w:val="en-US" w:eastAsia="zh-CN" w:bidi="ar"/>
                    </w:rPr>
                    <w:t>导热油3-5年更换1次</w:t>
                  </w:r>
                  <w:r>
                    <w:rPr>
                      <w:rFonts w:hint="eastAsia"/>
                      <w:color w:val="auto"/>
                      <w:sz w:val="21"/>
                      <w:szCs w:val="21"/>
                      <w:highlight w:val="none"/>
                      <w:lang w:eastAsia="zh-CN" w:bidi="ar"/>
                    </w:rPr>
                    <w:t>）</w:t>
                  </w:r>
                </w:p>
              </w:tc>
            </w:tr>
            <w:tr w14:paraId="2854D8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630" w:type="pct"/>
                  <w:vMerge w:val="continue"/>
                  <w:noWrap w:val="0"/>
                  <w:vAlign w:val="center"/>
                </w:tcPr>
                <w:p w14:paraId="37F7E5ED">
                  <w:pPr>
                    <w:spacing w:line="340" w:lineRule="exact"/>
                    <w:ind w:firstLine="0" w:firstLineChars="0"/>
                    <w:jc w:val="center"/>
                    <w:rPr>
                      <w:color w:val="auto"/>
                      <w:sz w:val="21"/>
                      <w:szCs w:val="21"/>
                      <w:highlight w:val="none"/>
                      <w:lang w:bidi="ar"/>
                    </w:rPr>
                  </w:pPr>
                </w:p>
              </w:tc>
              <w:tc>
                <w:tcPr>
                  <w:tcW w:w="1028" w:type="pct"/>
                  <w:noWrap w:val="0"/>
                  <w:vAlign w:val="center"/>
                </w:tcPr>
                <w:p w14:paraId="7120BF0D">
                  <w:pPr>
                    <w:spacing w:line="340" w:lineRule="exact"/>
                    <w:ind w:firstLine="0" w:firstLineChars="0"/>
                    <w:jc w:val="center"/>
                    <w:rPr>
                      <w:rFonts w:hint="eastAsia"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sz w:val="21"/>
                      <w:szCs w:val="21"/>
                      <w:highlight w:val="none"/>
                      <w:lang w:bidi="ar"/>
                    </w:rPr>
                    <w:t>废机油</w:t>
                  </w:r>
                </w:p>
              </w:tc>
              <w:tc>
                <w:tcPr>
                  <w:tcW w:w="386" w:type="pct"/>
                  <w:vMerge w:val="continue"/>
                  <w:noWrap w:val="0"/>
                  <w:vAlign w:val="center"/>
                </w:tcPr>
                <w:p w14:paraId="1C6FE330">
                  <w:pPr>
                    <w:spacing w:line="340" w:lineRule="exact"/>
                    <w:ind w:firstLine="0" w:firstLineChars="0"/>
                    <w:jc w:val="center"/>
                    <w:rPr>
                      <w:color w:val="auto"/>
                      <w:sz w:val="21"/>
                      <w:szCs w:val="21"/>
                      <w:highlight w:val="none"/>
                      <w:lang w:bidi="ar"/>
                    </w:rPr>
                  </w:pPr>
                </w:p>
              </w:tc>
              <w:tc>
                <w:tcPr>
                  <w:tcW w:w="494" w:type="pct"/>
                  <w:vMerge w:val="continue"/>
                  <w:noWrap w:val="0"/>
                  <w:vAlign w:val="center"/>
                </w:tcPr>
                <w:p w14:paraId="28DEF2DB">
                  <w:pPr>
                    <w:spacing w:line="340" w:lineRule="exact"/>
                    <w:ind w:firstLine="0" w:firstLineChars="0"/>
                    <w:jc w:val="center"/>
                    <w:rPr>
                      <w:color w:val="auto"/>
                      <w:sz w:val="21"/>
                      <w:szCs w:val="21"/>
                      <w:highlight w:val="none"/>
                      <w:lang w:bidi="ar"/>
                    </w:rPr>
                  </w:pPr>
                </w:p>
              </w:tc>
              <w:tc>
                <w:tcPr>
                  <w:tcW w:w="513" w:type="pct"/>
                  <w:noWrap w:val="0"/>
                  <w:vAlign w:val="center"/>
                </w:tcPr>
                <w:p w14:paraId="57B77AF3">
                  <w:pPr>
                    <w:spacing w:line="340" w:lineRule="exact"/>
                    <w:ind w:firstLine="0" w:firstLineChars="0"/>
                    <w:jc w:val="center"/>
                    <w:rPr>
                      <w:rFonts w:hint="default"/>
                      <w:color w:val="auto"/>
                      <w:sz w:val="21"/>
                      <w:szCs w:val="21"/>
                      <w:highlight w:val="none"/>
                      <w:lang w:val="en-US" w:eastAsia="zh-CN" w:bidi="ar"/>
                    </w:rPr>
                  </w:pPr>
                  <w:r>
                    <w:rPr>
                      <w:rFonts w:hint="eastAsia"/>
                      <w:color w:val="auto"/>
                      <w:sz w:val="21"/>
                      <w:szCs w:val="21"/>
                      <w:highlight w:val="none"/>
                      <w:lang w:val="en-US" w:eastAsia="zh-CN" w:bidi="ar"/>
                    </w:rPr>
                    <w:t>0.6</w:t>
                  </w:r>
                </w:p>
              </w:tc>
              <w:tc>
                <w:tcPr>
                  <w:tcW w:w="512" w:type="pct"/>
                  <w:vMerge w:val="continue"/>
                  <w:noWrap w:val="0"/>
                  <w:vAlign w:val="center"/>
                </w:tcPr>
                <w:p w14:paraId="7ACFEF21">
                  <w:pPr>
                    <w:spacing w:line="340" w:lineRule="exact"/>
                    <w:ind w:firstLine="0" w:firstLineChars="0"/>
                    <w:jc w:val="center"/>
                    <w:rPr>
                      <w:color w:val="auto"/>
                      <w:sz w:val="21"/>
                      <w:szCs w:val="21"/>
                      <w:highlight w:val="none"/>
                      <w:lang w:bidi="ar"/>
                    </w:rPr>
                  </w:pPr>
                </w:p>
              </w:tc>
              <w:tc>
                <w:tcPr>
                  <w:tcW w:w="552" w:type="pct"/>
                  <w:noWrap w:val="0"/>
                  <w:vAlign w:val="center"/>
                </w:tcPr>
                <w:p w14:paraId="7ED4D831">
                  <w:pPr>
                    <w:spacing w:line="340" w:lineRule="exact"/>
                    <w:ind w:firstLine="0" w:firstLineChars="0"/>
                    <w:jc w:val="center"/>
                    <w:rPr>
                      <w:rFonts w:hint="default"/>
                      <w:color w:val="auto"/>
                      <w:sz w:val="21"/>
                      <w:szCs w:val="21"/>
                      <w:highlight w:val="none"/>
                      <w:lang w:val="en-US" w:bidi="ar"/>
                    </w:rPr>
                  </w:pPr>
                  <w:r>
                    <w:rPr>
                      <w:rFonts w:hint="eastAsia"/>
                      <w:color w:val="auto"/>
                      <w:sz w:val="21"/>
                      <w:szCs w:val="21"/>
                      <w:highlight w:val="none"/>
                      <w:lang w:val="en-US" w:eastAsia="zh-CN" w:bidi="ar"/>
                    </w:rPr>
                    <w:t>0.6</w:t>
                  </w:r>
                </w:p>
              </w:tc>
              <w:tc>
                <w:tcPr>
                  <w:tcW w:w="880" w:type="pct"/>
                  <w:vMerge w:val="continue"/>
                  <w:noWrap w:val="0"/>
                  <w:vAlign w:val="center"/>
                </w:tcPr>
                <w:p w14:paraId="6798A11A">
                  <w:pPr>
                    <w:spacing w:line="340" w:lineRule="exact"/>
                    <w:ind w:firstLine="0" w:firstLineChars="0"/>
                    <w:jc w:val="center"/>
                    <w:rPr>
                      <w:rFonts w:hint="eastAsia" w:eastAsia="宋体"/>
                      <w:color w:val="auto"/>
                      <w:sz w:val="21"/>
                      <w:szCs w:val="21"/>
                      <w:highlight w:val="none"/>
                      <w:lang w:eastAsia="zh-CN" w:bidi="ar"/>
                    </w:rPr>
                  </w:pPr>
                </w:p>
              </w:tc>
            </w:tr>
            <w:tr w14:paraId="739D0C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630" w:type="pct"/>
                  <w:vMerge w:val="continue"/>
                  <w:noWrap w:val="0"/>
                  <w:vAlign w:val="center"/>
                </w:tcPr>
                <w:p w14:paraId="7421807A">
                  <w:pPr>
                    <w:spacing w:line="340" w:lineRule="exact"/>
                    <w:ind w:firstLine="0" w:firstLineChars="0"/>
                    <w:jc w:val="center"/>
                    <w:rPr>
                      <w:color w:val="auto"/>
                      <w:sz w:val="21"/>
                      <w:szCs w:val="21"/>
                      <w:highlight w:val="none"/>
                      <w:lang w:bidi="ar"/>
                    </w:rPr>
                  </w:pPr>
                </w:p>
              </w:tc>
              <w:tc>
                <w:tcPr>
                  <w:tcW w:w="1028" w:type="pct"/>
                  <w:noWrap w:val="0"/>
                  <w:vAlign w:val="center"/>
                </w:tcPr>
                <w:p w14:paraId="1C5FAEAF">
                  <w:pPr>
                    <w:spacing w:line="340" w:lineRule="exact"/>
                    <w:ind w:firstLine="0" w:firstLineChars="0"/>
                    <w:jc w:val="center"/>
                    <w:rPr>
                      <w:rFonts w:hint="eastAsia" w:ascii="Times New Roman" w:hAnsi="Times New Roman"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废油桶</w:t>
                  </w:r>
                </w:p>
              </w:tc>
              <w:tc>
                <w:tcPr>
                  <w:tcW w:w="386" w:type="pct"/>
                  <w:vMerge w:val="continue"/>
                  <w:noWrap w:val="0"/>
                  <w:vAlign w:val="center"/>
                </w:tcPr>
                <w:p w14:paraId="1FBD558F">
                  <w:pPr>
                    <w:spacing w:line="340" w:lineRule="exact"/>
                    <w:ind w:firstLine="0" w:firstLineChars="0"/>
                    <w:jc w:val="center"/>
                    <w:rPr>
                      <w:color w:val="auto"/>
                      <w:sz w:val="21"/>
                      <w:szCs w:val="21"/>
                      <w:highlight w:val="none"/>
                      <w:lang w:bidi="ar"/>
                    </w:rPr>
                  </w:pPr>
                </w:p>
              </w:tc>
              <w:tc>
                <w:tcPr>
                  <w:tcW w:w="494" w:type="pct"/>
                  <w:vMerge w:val="continue"/>
                  <w:noWrap w:val="0"/>
                  <w:vAlign w:val="center"/>
                </w:tcPr>
                <w:p w14:paraId="7D11CC82">
                  <w:pPr>
                    <w:spacing w:line="340" w:lineRule="exact"/>
                    <w:ind w:firstLine="0" w:firstLineChars="0"/>
                    <w:jc w:val="center"/>
                    <w:rPr>
                      <w:color w:val="auto"/>
                      <w:sz w:val="21"/>
                      <w:szCs w:val="21"/>
                      <w:highlight w:val="none"/>
                      <w:lang w:bidi="ar"/>
                    </w:rPr>
                  </w:pPr>
                </w:p>
              </w:tc>
              <w:tc>
                <w:tcPr>
                  <w:tcW w:w="513" w:type="pct"/>
                  <w:noWrap w:val="0"/>
                  <w:vAlign w:val="center"/>
                </w:tcPr>
                <w:p w14:paraId="0F49C237">
                  <w:pPr>
                    <w:spacing w:line="340" w:lineRule="exact"/>
                    <w:ind w:firstLine="0" w:firstLineChars="0"/>
                    <w:jc w:val="center"/>
                    <w:rPr>
                      <w:rFonts w:hint="eastAsia" w:eastAsia="宋体"/>
                      <w:color w:val="auto"/>
                      <w:sz w:val="21"/>
                      <w:szCs w:val="21"/>
                      <w:highlight w:val="none"/>
                      <w:lang w:val="en-US" w:eastAsia="zh-CN" w:bidi="ar"/>
                    </w:rPr>
                  </w:pPr>
                  <w:r>
                    <w:rPr>
                      <w:rFonts w:hint="default" w:eastAsia="宋体"/>
                      <w:color w:val="auto"/>
                      <w:sz w:val="21"/>
                      <w:szCs w:val="21"/>
                      <w:highlight w:val="none"/>
                      <w:lang w:val="en-US" w:eastAsia="zh-CN" w:bidi="ar"/>
                    </w:rPr>
                    <w:t>0.0</w:t>
                  </w:r>
                  <w:r>
                    <w:rPr>
                      <w:rFonts w:hint="eastAsia" w:eastAsia="宋体"/>
                      <w:color w:val="auto"/>
                      <w:sz w:val="21"/>
                      <w:szCs w:val="21"/>
                      <w:highlight w:val="none"/>
                      <w:lang w:val="en-US" w:eastAsia="zh-CN" w:bidi="ar"/>
                    </w:rPr>
                    <w:t>3</w:t>
                  </w:r>
                </w:p>
              </w:tc>
              <w:tc>
                <w:tcPr>
                  <w:tcW w:w="512" w:type="pct"/>
                  <w:vMerge w:val="continue"/>
                  <w:noWrap w:val="0"/>
                  <w:vAlign w:val="center"/>
                </w:tcPr>
                <w:p w14:paraId="6BF8F174">
                  <w:pPr>
                    <w:spacing w:line="340" w:lineRule="exact"/>
                    <w:ind w:firstLine="0" w:firstLineChars="0"/>
                    <w:jc w:val="center"/>
                    <w:rPr>
                      <w:color w:val="auto"/>
                      <w:sz w:val="21"/>
                      <w:szCs w:val="21"/>
                      <w:highlight w:val="none"/>
                      <w:lang w:bidi="ar"/>
                    </w:rPr>
                  </w:pPr>
                </w:p>
              </w:tc>
              <w:tc>
                <w:tcPr>
                  <w:tcW w:w="552" w:type="pct"/>
                  <w:noWrap w:val="0"/>
                  <w:vAlign w:val="center"/>
                </w:tcPr>
                <w:p w14:paraId="4F94761A">
                  <w:pPr>
                    <w:spacing w:line="340" w:lineRule="exact"/>
                    <w:ind w:firstLine="0" w:firstLineChars="0"/>
                    <w:jc w:val="center"/>
                    <w:rPr>
                      <w:rFonts w:hint="eastAsia" w:eastAsia="宋体"/>
                      <w:color w:val="auto"/>
                      <w:sz w:val="21"/>
                      <w:szCs w:val="21"/>
                      <w:highlight w:val="none"/>
                      <w:lang w:val="en-US" w:eastAsia="zh-CN" w:bidi="ar"/>
                    </w:rPr>
                  </w:pPr>
                  <w:r>
                    <w:rPr>
                      <w:rFonts w:hint="default" w:eastAsia="宋体"/>
                      <w:color w:val="auto"/>
                      <w:sz w:val="21"/>
                      <w:szCs w:val="21"/>
                      <w:highlight w:val="none"/>
                      <w:lang w:val="en-US" w:eastAsia="zh-CN" w:bidi="ar"/>
                    </w:rPr>
                    <w:t>0.0</w:t>
                  </w:r>
                  <w:r>
                    <w:rPr>
                      <w:rFonts w:hint="eastAsia" w:eastAsia="宋体"/>
                      <w:color w:val="auto"/>
                      <w:sz w:val="21"/>
                      <w:szCs w:val="21"/>
                      <w:highlight w:val="none"/>
                      <w:lang w:val="en-US" w:eastAsia="zh-CN" w:bidi="ar"/>
                    </w:rPr>
                    <w:t>3</w:t>
                  </w:r>
                </w:p>
              </w:tc>
              <w:tc>
                <w:tcPr>
                  <w:tcW w:w="880" w:type="pct"/>
                  <w:vMerge w:val="continue"/>
                  <w:noWrap w:val="0"/>
                  <w:vAlign w:val="center"/>
                </w:tcPr>
                <w:p w14:paraId="5094CA91">
                  <w:pPr>
                    <w:spacing w:line="340" w:lineRule="exact"/>
                    <w:ind w:firstLine="0" w:firstLineChars="0"/>
                    <w:jc w:val="center"/>
                    <w:rPr>
                      <w:rFonts w:hint="eastAsia" w:eastAsia="宋体"/>
                      <w:color w:val="auto"/>
                      <w:sz w:val="21"/>
                      <w:szCs w:val="21"/>
                      <w:highlight w:val="none"/>
                      <w:lang w:eastAsia="zh-CN" w:bidi="ar"/>
                    </w:rPr>
                  </w:pPr>
                </w:p>
              </w:tc>
            </w:tr>
            <w:tr w14:paraId="2E9971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35" w:hRule="atLeast"/>
                <w:jc w:val="center"/>
              </w:trPr>
              <w:tc>
                <w:tcPr>
                  <w:tcW w:w="630" w:type="pct"/>
                  <w:vMerge w:val="restart"/>
                  <w:noWrap w:val="0"/>
                  <w:vAlign w:val="center"/>
                </w:tcPr>
                <w:p w14:paraId="10A89CCE">
                  <w:pPr>
                    <w:spacing w:line="340" w:lineRule="exact"/>
                    <w:ind w:firstLine="0" w:firstLineChars="0"/>
                    <w:jc w:val="center"/>
                    <w:rPr>
                      <w:color w:val="auto"/>
                      <w:sz w:val="21"/>
                      <w:szCs w:val="21"/>
                      <w:highlight w:val="none"/>
                      <w:lang w:bidi="ar"/>
                    </w:rPr>
                  </w:pPr>
                  <w:r>
                    <w:rPr>
                      <w:color w:val="auto"/>
                      <w:sz w:val="21"/>
                      <w:szCs w:val="21"/>
                      <w:highlight w:val="none"/>
                      <w:lang w:bidi="ar"/>
                    </w:rPr>
                    <w:t>废气</w:t>
                  </w:r>
                  <w:r>
                    <w:rPr>
                      <w:rFonts w:hint="eastAsia"/>
                      <w:color w:val="auto"/>
                      <w:sz w:val="21"/>
                      <w:szCs w:val="21"/>
                      <w:highlight w:val="none"/>
                      <w:lang w:bidi="ar"/>
                    </w:rPr>
                    <w:t>处理</w:t>
                  </w:r>
                  <w:r>
                    <w:rPr>
                      <w:color w:val="auto"/>
                      <w:sz w:val="21"/>
                      <w:szCs w:val="21"/>
                      <w:highlight w:val="none"/>
                      <w:lang w:bidi="ar"/>
                    </w:rPr>
                    <w:t>设施</w:t>
                  </w:r>
                  <w:r>
                    <w:rPr>
                      <w:rFonts w:hint="eastAsia"/>
                      <w:color w:val="auto"/>
                      <w:sz w:val="21"/>
                      <w:szCs w:val="21"/>
                      <w:highlight w:val="none"/>
                      <w:lang w:bidi="ar"/>
                    </w:rPr>
                    <w:t>维护</w:t>
                  </w:r>
                </w:p>
              </w:tc>
              <w:tc>
                <w:tcPr>
                  <w:tcW w:w="1028" w:type="pct"/>
                  <w:noWrap w:val="0"/>
                  <w:vAlign w:val="center"/>
                </w:tcPr>
                <w:p w14:paraId="0B3D0D45">
                  <w:pPr>
                    <w:spacing w:line="340" w:lineRule="exact"/>
                    <w:ind w:firstLine="0" w:firstLineChars="0"/>
                    <w:jc w:val="center"/>
                    <w:rPr>
                      <w:color w:val="auto"/>
                      <w:sz w:val="21"/>
                      <w:szCs w:val="21"/>
                      <w:highlight w:val="none"/>
                      <w:lang w:bidi="ar"/>
                    </w:rPr>
                  </w:pPr>
                  <w:r>
                    <w:rPr>
                      <w:color w:val="auto"/>
                      <w:sz w:val="21"/>
                      <w:szCs w:val="21"/>
                      <w:highlight w:val="none"/>
                      <w:lang w:bidi="ar"/>
                    </w:rPr>
                    <w:t>废活性炭</w:t>
                  </w:r>
                </w:p>
              </w:tc>
              <w:tc>
                <w:tcPr>
                  <w:tcW w:w="386" w:type="pct"/>
                  <w:vMerge w:val="continue"/>
                  <w:noWrap w:val="0"/>
                  <w:vAlign w:val="center"/>
                </w:tcPr>
                <w:p w14:paraId="2056D39C">
                  <w:pPr>
                    <w:spacing w:line="340" w:lineRule="exact"/>
                    <w:ind w:firstLine="0" w:firstLineChars="0"/>
                    <w:jc w:val="center"/>
                    <w:rPr>
                      <w:color w:val="auto"/>
                      <w:sz w:val="21"/>
                      <w:szCs w:val="21"/>
                      <w:highlight w:val="none"/>
                      <w:lang w:bidi="ar"/>
                    </w:rPr>
                  </w:pPr>
                </w:p>
              </w:tc>
              <w:tc>
                <w:tcPr>
                  <w:tcW w:w="494" w:type="pct"/>
                  <w:vMerge w:val="continue"/>
                  <w:noWrap w:val="0"/>
                  <w:vAlign w:val="center"/>
                </w:tcPr>
                <w:p w14:paraId="0BEA3509">
                  <w:pPr>
                    <w:spacing w:line="340" w:lineRule="exact"/>
                    <w:ind w:firstLine="0" w:firstLineChars="0"/>
                    <w:jc w:val="center"/>
                    <w:rPr>
                      <w:color w:val="auto"/>
                      <w:sz w:val="21"/>
                      <w:szCs w:val="21"/>
                      <w:highlight w:val="none"/>
                      <w:lang w:bidi="ar"/>
                    </w:rPr>
                  </w:pPr>
                </w:p>
              </w:tc>
              <w:tc>
                <w:tcPr>
                  <w:tcW w:w="513" w:type="pct"/>
                  <w:noWrap w:val="0"/>
                  <w:vAlign w:val="center"/>
                </w:tcPr>
                <w:p w14:paraId="27C30646">
                  <w:pPr>
                    <w:spacing w:line="340" w:lineRule="exact"/>
                    <w:ind w:firstLine="0" w:firstLineChars="0"/>
                    <w:jc w:val="center"/>
                    <w:rPr>
                      <w:rFonts w:hint="default" w:eastAsia="宋体"/>
                      <w:color w:val="auto"/>
                      <w:sz w:val="21"/>
                      <w:szCs w:val="21"/>
                      <w:highlight w:val="none"/>
                      <w:lang w:val="en-US" w:eastAsia="zh-CN" w:bidi="ar"/>
                    </w:rPr>
                  </w:pPr>
                  <w:r>
                    <w:rPr>
                      <w:rFonts w:hint="eastAsia" w:eastAsia="宋体"/>
                      <w:color w:val="auto"/>
                      <w:sz w:val="21"/>
                      <w:szCs w:val="21"/>
                      <w:highlight w:val="none"/>
                      <w:lang w:val="en-US" w:eastAsia="zh-CN" w:bidi="ar"/>
                    </w:rPr>
                    <w:t>1.6812</w:t>
                  </w:r>
                </w:p>
              </w:tc>
              <w:tc>
                <w:tcPr>
                  <w:tcW w:w="512" w:type="pct"/>
                  <w:vMerge w:val="continue"/>
                  <w:noWrap w:val="0"/>
                  <w:vAlign w:val="center"/>
                </w:tcPr>
                <w:p w14:paraId="5FAB53FB">
                  <w:pPr>
                    <w:spacing w:line="340" w:lineRule="exact"/>
                    <w:ind w:firstLine="0" w:firstLineChars="0"/>
                    <w:jc w:val="center"/>
                    <w:rPr>
                      <w:color w:val="auto"/>
                      <w:sz w:val="21"/>
                      <w:szCs w:val="21"/>
                      <w:highlight w:val="none"/>
                      <w:lang w:bidi="ar"/>
                    </w:rPr>
                  </w:pPr>
                </w:p>
              </w:tc>
              <w:tc>
                <w:tcPr>
                  <w:tcW w:w="552" w:type="pct"/>
                  <w:noWrap w:val="0"/>
                  <w:vAlign w:val="center"/>
                </w:tcPr>
                <w:p w14:paraId="0DD70259">
                  <w:pPr>
                    <w:spacing w:line="340" w:lineRule="exact"/>
                    <w:ind w:firstLine="0" w:firstLineChars="0"/>
                    <w:jc w:val="center"/>
                    <w:rPr>
                      <w:rFonts w:hint="default" w:eastAsia="宋体"/>
                      <w:color w:val="auto"/>
                      <w:sz w:val="21"/>
                      <w:szCs w:val="21"/>
                      <w:highlight w:val="none"/>
                      <w:lang w:val="en-US" w:eastAsia="zh-CN" w:bidi="ar"/>
                    </w:rPr>
                  </w:pPr>
                  <w:r>
                    <w:rPr>
                      <w:rFonts w:hint="eastAsia" w:eastAsia="宋体"/>
                      <w:color w:val="auto"/>
                      <w:sz w:val="21"/>
                      <w:szCs w:val="21"/>
                      <w:highlight w:val="none"/>
                      <w:lang w:val="en-US" w:eastAsia="zh-CN" w:bidi="ar"/>
                    </w:rPr>
                    <w:t>1.6812</w:t>
                  </w:r>
                </w:p>
              </w:tc>
              <w:tc>
                <w:tcPr>
                  <w:tcW w:w="880" w:type="pct"/>
                  <w:vMerge w:val="continue"/>
                  <w:noWrap w:val="0"/>
                  <w:vAlign w:val="center"/>
                </w:tcPr>
                <w:p w14:paraId="3C6FE9CF">
                  <w:pPr>
                    <w:spacing w:line="340" w:lineRule="exact"/>
                    <w:ind w:firstLine="0" w:firstLineChars="0"/>
                    <w:jc w:val="center"/>
                    <w:rPr>
                      <w:color w:val="auto"/>
                      <w:sz w:val="21"/>
                      <w:szCs w:val="21"/>
                      <w:highlight w:val="none"/>
                      <w:lang w:bidi="ar"/>
                    </w:rPr>
                  </w:pPr>
                </w:p>
              </w:tc>
            </w:tr>
            <w:tr w14:paraId="0C8337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35" w:hRule="atLeast"/>
                <w:jc w:val="center"/>
              </w:trPr>
              <w:tc>
                <w:tcPr>
                  <w:tcW w:w="630" w:type="pct"/>
                  <w:vMerge w:val="continue"/>
                  <w:noWrap w:val="0"/>
                  <w:vAlign w:val="center"/>
                </w:tcPr>
                <w:p w14:paraId="466E2BA0">
                  <w:pPr>
                    <w:spacing w:line="340" w:lineRule="exact"/>
                    <w:ind w:firstLine="0" w:firstLineChars="0"/>
                    <w:jc w:val="center"/>
                    <w:rPr>
                      <w:color w:val="auto"/>
                      <w:sz w:val="21"/>
                      <w:szCs w:val="21"/>
                      <w:highlight w:val="none"/>
                      <w:lang w:bidi="ar"/>
                    </w:rPr>
                  </w:pPr>
                </w:p>
              </w:tc>
              <w:tc>
                <w:tcPr>
                  <w:tcW w:w="1028" w:type="pct"/>
                  <w:noWrap w:val="0"/>
                  <w:vAlign w:val="center"/>
                </w:tcPr>
                <w:p w14:paraId="386D8436">
                  <w:pPr>
                    <w:spacing w:line="340" w:lineRule="exact"/>
                    <w:ind w:firstLine="0" w:firstLineChars="0"/>
                    <w:jc w:val="center"/>
                    <w:rPr>
                      <w:rFonts w:hint="default" w:eastAsia="宋体"/>
                      <w:color w:val="auto"/>
                      <w:sz w:val="21"/>
                      <w:szCs w:val="21"/>
                      <w:highlight w:val="none"/>
                      <w:lang w:val="en-US" w:eastAsia="zh-CN" w:bidi="ar"/>
                    </w:rPr>
                  </w:pPr>
                  <w:r>
                    <w:rPr>
                      <w:rFonts w:hint="eastAsia"/>
                      <w:color w:val="auto"/>
                      <w:sz w:val="21"/>
                      <w:szCs w:val="21"/>
                      <w:highlight w:val="none"/>
                      <w:lang w:val="en-US" w:eastAsia="zh-CN" w:bidi="ar"/>
                    </w:rPr>
                    <w:t>喷淋废液</w:t>
                  </w:r>
                </w:p>
              </w:tc>
              <w:tc>
                <w:tcPr>
                  <w:tcW w:w="386" w:type="pct"/>
                  <w:vMerge w:val="continue"/>
                  <w:noWrap w:val="0"/>
                  <w:vAlign w:val="center"/>
                </w:tcPr>
                <w:p w14:paraId="473E1BEE">
                  <w:pPr>
                    <w:spacing w:line="340" w:lineRule="exact"/>
                    <w:ind w:firstLine="0" w:firstLineChars="0"/>
                    <w:jc w:val="center"/>
                    <w:rPr>
                      <w:color w:val="auto"/>
                      <w:sz w:val="21"/>
                      <w:szCs w:val="21"/>
                      <w:highlight w:val="none"/>
                      <w:lang w:bidi="ar"/>
                    </w:rPr>
                  </w:pPr>
                </w:p>
              </w:tc>
              <w:tc>
                <w:tcPr>
                  <w:tcW w:w="494" w:type="pct"/>
                  <w:vMerge w:val="continue"/>
                  <w:noWrap w:val="0"/>
                  <w:vAlign w:val="center"/>
                </w:tcPr>
                <w:p w14:paraId="305F1639">
                  <w:pPr>
                    <w:spacing w:line="340" w:lineRule="exact"/>
                    <w:ind w:firstLine="0" w:firstLineChars="0"/>
                    <w:jc w:val="center"/>
                    <w:rPr>
                      <w:color w:val="auto"/>
                      <w:sz w:val="21"/>
                      <w:szCs w:val="21"/>
                      <w:highlight w:val="none"/>
                      <w:lang w:bidi="ar"/>
                    </w:rPr>
                  </w:pPr>
                </w:p>
              </w:tc>
              <w:tc>
                <w:tcPr>
                  <w:tcW w:w="513" w:type="pct"/>
                  <w:noWrap w:val="0"/>
                  <w:vAlign w:val="center"/>
                </w:tcPr>
                <w:p w14:paraId="19DA6B35">
                  <w:pPr>
                    <w:spacing w:line="340" w:lineRule="exact"/>
                    <w:ind w:firstLine="0" w:firstLineChars="0"/>
                    <w:jc w:val="center"/>
                    <w:rPr>
                      <w:rFonts w:hint="default"/>
                      <w:color w:val="auto"/>
                      <w:sz w:val="21"/>
                      <w:szCs w:val="21"/>
                      <w:highlight w:val="none"/>
                      <w:lang w:val="en-US" w:eastAsia="zh-CN" w:bidi="ar"/>
                    </w:rPr>
                  </w:pPr>
                  <w:r>
                    <w:rPr>
                      <w:rFonts w:hint="eastAsia"/>
                      <w:color w:val="auto"/>
                      <w:sz w:val="21"/>
                      <w:szCs w:val="21"/>
                      <w:highlight w:val="none"/>
                      <w:lang w:val="en-US" w:eastAsia="zh-CN" w:bidi="ar"/>
                    </w:rPr>
                    <w:t>24</w:t>
                  </w:r>
                </w:p>
              </w:tc>
              <w:tc>
                <w:tcPr>
                  <w:tcW w:w="512" w:type="pct"/>
                  <w:vMerge w:val="continue"/>
                  <w:noWrap w:val="0"/>
                  <w:vAlign w:val="center"/>
                </w:tcPr>
                <w:p w14:paraId="12A02518">
                  <w:pPr>
                    <w:spacing w:line="340" w:lineRule="exact"/>
                    <w:ind w:firstLine="0" w:firstLineChars="0"/>
                    <w:jc w:val="center"/>
                    <w:rPr>
                      <w:color w:val="auto"/>
                      <w:sz w:val="21"/>
                      <w:szCs w:val="21"/>
                      <w:highlight w:val="none"/>
                      <w:lang w:bidi="ar"/>
                    </w:rPr>
                  </w:pPr>
                </w:p>
              </w:tc>
              <w:tc>
                <w:tcPr>
                  <w:tcW w:w="552" w:type="pct"/>
                  <w:noWrap w:val="0"/>
                  <w:vAlign w:val="center"/>
                </w:tcPr>
                <w:p w14:paraId="03DF01BF">
                  <w:pPr>
                    <w:spacing w:line="340" w:lineRule="exact"/>
                    <w:ind w:firstLine="0" w:firstLineChars="0"/>
                    <w:jc w:val="center"/>
                    <w:rPr>
                      <w:rFonts w:hint="default"/>
                      <w:color w:val="auto"/>
                      <w:sz w:val="21"/>
                      <w:szCs w:val="21"/>
                      <w:highlight w:val="none"/>
                      <w:lang w:val="en-US" w:eastAsia="zh-CN" w:bidi="ar"/>
                    </w:rPr>
                  </w:pPr>
                  <w:r>
                    <w:rPr>
                      <w:rFonts w:hint="eastAsia"/>
                      <w:color w:val="auto"/>
                      <w:sz w:val="21"/>
                      <w:szCs w:val="21"/>
                      <w:highlight w:val="none"/>
                      <w:lang w:val="en-US" w:eastAsia="zh-CN" w:bidi="ar"/>
                    </w:rPr>
                    <w:t>24</w:t>
                  </w:r>
                </w:p>
              </w:tc>
              <w:tc>
                <w:tcPr>
                  <w:tcW w:w="880" w:type="pct"/>
                  <w:vMerge w:val="continue"/>
                  <w:noWrap w:val="0"/>
                  <w:vAlign w:val="center"/>
                </w:tcPr>
                <w:p w14:paraId="7CC4E109">
                  <w:pPr>
                    <w:spacing w:line="340" w:lineRule="exact"/>
                    <w:ind w:firstLine="0" w:firstLineChars="0"/>
                    <w:jc w:val="center"/>
                    <w:rPr>
                      <w:color w:val="auto"/>
                      <w:sz w:val="21"/>
                      <w:szCs w:val="21"/>
                      <w:highlight w:val="none"/>
                      <w:lang w:bidi="ar"/>
                    </w:rPr>
                  </w:pPr>
                </w:p>
              </w:tc>
            </w:tr>
            <w:tr w14:paraId="211018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630" w:type="pct"/>
                  <w:noWrap w:val="0"/>
                  <w:vAlign w:val="center"/>
                </w:tcPr>
                <w:p w14:paraId="30A85FA3">
                  <w:pPr>
                    <w:spacing w:line="340" w:lineRule="exact"/>
                    <w:ind w:firstLine="0" w:firstLineChars="0"/>
                    <w:jc w:val="center"/>
                    <w:rPr>
                      <w:color w:val="auto"/>
                      <w:sz w:val="21"/>
                      <w:szCs w:val="21"/>
                      <w:highlight w:val="none"/>
                      <w:lang w:bidi="ar"/>
                    </w:rPr>
                  </w:pPr>
                  <w:r>
                    <w:rPr>
                      <w:rFonts w:hint="eastAsia"/>
                      <w:color w:val="auto"/>
                      <w:sz w:val="21"/>
                      <w:szCs w:val="21"/>
                      <w:highlight w:val="none"/>
                      <w:lang w:bidi="ar"/>
                    </w:rPr>
                    <w:t>设备运行</w:t>
                  </w:r>
                  <w:r>
                    <w:rPr>
                      <w:rFonts w:hint="eastAsia"/>
                      <w:color w:val="auto"/>
                      <w:sz w:val="21"/>
                      <w:szCs w:val="21"/>
                      <w:highlight w:val="none"/>
                      <w:lang w:eastAsia="zh-CN" w:bidi="ar"/>
                    </w:rPr>
                    <w:t>、</w:t>
                  </w:r>
                  <w:r>
                    <w:rPr>
                      <w:rFonts w:hint="eastAsia"/>
                      <w:color w:val="auto"/>
                      <w:sz w:val="21"/>
                      <w:szCs w:val="21"/>
                      <w:highlight w:val="none"/>
                      <w:lang w:val="en-US" w:eastAsia="zh-CN" w:bidi="ar"/>
                    </w:rPr>
                    <w:t>维护</w:t>
                  </w:r>
                </w:p>
              </w:tc>
              <w:tc>
                <w:tcPr>
                  <w:tcW w:w="1028" w:type="pct"/>
                  <w:noWrap w:val="0"/>
                  <w:vAlign w:val="center"/>
                </w:tcPr>
                <w:p w14:paraId="7E3B83D7">
                  <w:pPr>
                    <w:spacing w:line="340" w:lineRule="exact"/>
                    <w:ind w:firstLine="0" w:firstLineChars="0"/>
                    <w:jc w:val="center"/>
                    <w:rPr>
                      <w:color w:val="auto"/>
                      <w:sz w:val="21"/>
                      <w:szCs w:val="21"/>
                      <w:highlight w:val="none"/>
                      <w:lang w:bidi="ar"/>
                    </w:rPr>
                  </w:pPr>
                  <w:r>
                    <w:rPr>
                      <w:rFonts w:hint="eastAsia" w:ascii="Times New Roman" w:hAnsi="Times New Roman" w:eastAsia="宋体" w:cs="Times New Roman"/>
                      <w:color w:val="auto"/>
                      <w:sz w:val="21"/>
                      <w:szCs w:val="21"/>
                      <w:highlight w:val="none"/>
                      <w:lang w:val="en-US" w:eastAsia="zh-CN" w:bidi="ar"/>
                    </w:rPr>
                    <w:t>废含油抹布手套</w:t>
                  </w:r>
                </w:p>
              </w:tc>
              <w:tc>
                <w:tcPr>
                  <w:tcW w:w="386" w:type="pct"/>
                  <w:vMerge w:val="continue"/>
                  <w:noWrap w:val="0"/>
                  <w:vAlign w:val="center"/>
                </w:tcPr>
                <w:p w14:paraId="7602CD68">
                  <w:pPr>
                    <w:spacing w:line="340" w:lineRule="exact"/>
                    <w:ind w:firstLine="0" w:firstLineChars="0"/>
                    <w:jc w:val="center"/>
                    <w:rPr>
                      <w:color w:val="auto"/>
                      <w:sz w:val="21"/>
                      <w:szCs w:val="21"/>
                      <w:highlight w:val="none"/>
                      <w:lang w:bidi="ar"/>
                    </w:rPr>
                  </w:pPr>
                </w:p>
              </w:tc>
              <w:tc>
                <w:tcPr>
                  <w:tcW w:w="494" w:type="pct"/>
                  <w:vMerge w:val="continue"/>
                  <w:noWrap w:val="0"/>
                  <w:vAlign w:val="center"/>
                </w:tcPr>
                <w:p w14:paraId="4CAF67E5">
                  <w:pPr>
                    <w:spacing w:line="340" w:lineRule="exact"/>
                    <w:ind w:firstLine="0" w:firstLineChars="0"/>
                    <w:jc w:val="center"/>
                    <w:rPr>
                      <w:color w:val="auto"/>
                      <w:sz w:val="21"/>
                      <w:szCs w:val="21"/>
                      <w:highlight w:val="none"/>
                      <w:lang w:bidi="ar"/>
                    </w:rPr>
                  </w:pPr>
                </w:p>
              </w:tc>
              <w:tc>
                <w:tcPr>
                  <w:tcW w:w="513" w:type="pct"/>
                  <w:noWrap w:val="0"/>
                  <w:vAlign w:val="center"/>
                </w:tcPr>
                <w:p w14:paraId="75115CEC">
                  <w:pPr>
                    <w:spacing w:line="340" w:lineRule="exact"/>
                    <w:ind w:firstLine="0" w:firstLineChars="0"/>
                    <w:jc w:val="center"/>
                    <w:rPr>
                      <w:rFonts w:hint="default"/>
                      <w:color w:val="auto"/>
                      <w:sz w:val="21"/>
                      <w:szCs w:val="21"/>
                      <w:highlight w:val="none"/>
                      <w:lang w:val="en-US" w:eastAsia="zh-CN" w:bidi="ar"/>
                    </w:rPr>
                  </w:pPr>
                  <w:r>
                    <w:rPr>
                      <w:rFonts w:hint="eastAsia"/>
                      <w:color w:val="auto"/>
                      <w:sz w:val="21"/>
                      <w:szCs w:val="21"/>
                      <w:highlight w:val="none"/>
                      <w:lang w:val="en-US" w:eastAsia="zh-CN" w:bidi="ar"/>
                    </w:rPr>
                    <w:t>0.01</w:t>
                  </w:r>
                </w:p>
              </w:tc>
              <w:tc>
                <w:tcPr>
                  <w:tcW w:w="512" w:type="pct"/>
                  <w:noWrap w:val="0"/>
                  <w:vAlign w:val="center"/>
                </w:tcPr>
                <w:p w14:paraId="6E759472">
                  <w:pPr>
                    <w:spacing w:line="340" w:lineRule="exact"/>
                    <w:ind w:firstLine="0" w:firstLineChars="0"/>
                    <w:jc w:val="center"/>
                    <w:rPr>
                      <w:rFonts w:hint="eastAsia" w:eastAsia="宋体"/>
                      <w:color w:val="auto"/>
                      <w:sz w:val="21"/>
                      <w:szCs w:val="21"/>
                      <w:highlight w:val="none"/>
                      <w:lang w:val="en-US" w:eastAsia="zh-CN" w:bidi="ar"/>
                    </w:rPr>
                  </w:pPr>
                  <w:r>
                    <w:rPr>
                      <w:rFonts w:hint="eastAsia"/>
                      <w:color w:val="auto"/>
                      <w:sz w:val="21"/>
                      <w:szCs w:val="21"/>
                      <w:highlight w:val="none"/>
                      <w:lang w:val="en-US" w:eastAsia="zh-CN" w:bidi="ar"/>
                    </w:rPr>
                    <w:t>清运</w:t>
                  </w:r>
                </w:p>
              </w:tc>
              <w:tc>
                <w:tcPr>
                  <w:tcW w:w="552" w:type="pct"/>
                  <w:noWrap w:val="0"/>
                  <w:vAlign w:val="center"/>
                </w:tcPr>
                <w:p w14:paraId="4E6EA0BC">
                  <w:pPr>
                    <w:spacing w:line="340" w:lineRule="exact"/>
                    <w:ind w:firstLine="0" w:firstLineChars="0"/>
                    <w:jc w:val="center"/>
                    <w:rPr>
                      <w:rFonts w:hint="default"/>
                      <w:color w:val="auto"/>
                      <w:sz w:val="21"/>
                      <w:szCs w:val="21"/>
                      <w:highlight w:val="none"/>
                      <w:lang w:val="en-US" w:eastAsia="zh-CN" w:bidi="ar"/>
                    </w:rPr>
                  </w:pPr>
                  <w:r>
                    <w:rPr>
                      <w:rFonts w:hint="eastAsia"/>
                      <w:color w:val="auto"/>
                      <w:sz w:val="21"/>
                      <w:szCs w:val="21"/>
                      <w:highlight w:val="none"/>
                      <w:lang w:val="en-US" w:eastAsia="zh-CN" w:bidi="ar"/>
                    </w:rPr>
                    <w:t>0.01</w:t>
                  </w:r>
                </w:p>
              </w:tc>
              <w:tc>
                <w:tcPr>
                  <w:tcW w:w="880" w:type="pct"/>
                  <w:noWrap w:val="0"/>
                  <w:vAlign w:val="center"/>
                </w:tcPr>
                <w:p w14:paraId="07407D94">
                  <w:pPr>
                    <w:spacing w:line="340" w:lineRule="exact"/>
                    <w:ind w:firstLine="0" w:firstLineChars="0"/>
                    <w:jc w:val="center"/>
                    <w:rPr>
                      <w:color w:val="auto"/>
                      <w:sz w:val="21"/>
                      <w:szCs w:val="21"/>
                      <w:highlight w:val="none"/>
                      <w:lang w:bidi="ar"/>
                    </w:rPr>
                  </w:pPr>
                  <w:r>
                    <w:rPr>
                      <w:color w:val="auto"/>
                      <w:sz w:val="21"/>
                      <w:szCs w:val="21"/>
                      <w:highlight w:val="none"/>
                      <w:lang w:bidi="ar"/>
                    </w:rPr>
                    <w:t>混入生活垃圾</w:t>
                  </w:r>
                  <w:r>
                    <w:rPr>
                      <w:rFonts w:hint="eastAsia"/>
                      <w:color w:val="auto"/>
                      <w:sz w:val="21"/>
                      <w:szCs w:val="21"/>
                      <w:highlight w:val="none"/>
                      <w:lang w:bidi="ar"/>
                    </w:rPr>
                    <w:t>由</w:t>
                  </w:r>
                  <w:r>
                    <w:rPr>
                      <w:color w:val="auto"/>
                      <w:sz w:val="21"/>
                      <w:szCs w:val="21"/>
                      <w:highlight w:val="none"/>
                      <w:lang w:bidi="ar"/>
                    </w:rPr>
                    <w:t>环卫部门统一处置</w:t>
                  </w:r>
                </w:p>
              </w:tc>
            </w:tr>
            <w:tr w14:paraId="716A1E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630" w:type="pct"/>
                  <w:noWrap w:val="0"/>
                  <w:vAlign w:val="center"/>
                </w:tcPr>
                <w:p w14:paraId="458BDAB9">
                  <w:pPr>
                    <w:spacing w:line="340" w:lineRule="exact"/>
                    <w:ind w:firstLine="0" w:firstLineChars="0"/>
                    <w:jc w:val="center"/>
                    <w:rPr>
                      <w:color w:val="auto"/>
                      <w:sz w:val="21"/>
                      <w:szCs w:val="21"/>
                      <w:highlight w:val="none"/>
                      <w:lang w:bidi="ar"/>
                    </w:rPr>
                  </w:pPr>
                  <w:r>
                    <w:rPr>
                      <w:color w:val="auto"/>
                      <w:sz w:val="21"/>
                      <w:szCs w:val="21"/>
                      <w:highlight w:val="none"/>
                      <w:lang w:bidi="ar"/>
                    </w:rPr>
                    <w:t>办公区</w:t>
                  </w:r>
                  <w:r>
                    <w:rPr>
                      <w:rFonts w:hint="eastAsia"/>
                      <w:color w:val="auto"/>
                      <w:sz w:val="21"/>
                      <w:szCs w:val="21"/>
                      <w:highlight w:val="none"/>
                      <w:lang w:bidi="ar"/>
                    </w:rPr>
                    <w:t>/宿舍</w:t>
                  </w:r>
                </w:p>
              </w:tc>
              <w:tc>
                <w:tcPr>
                  <w:tcW w:w="1028" w:type="pct"/>
                  <w:noWrap w:val="0"/>
                  <w:vAlign w:val="center"/>
                </w:tcPr>
                <w:p w14:paraId="7460B540">
                  <w:pPr>
                    <w:spacing w:line="340" w:lineRule="exact"/>
                    <w:ind w:firstLine="0" w:firstLineChars="0"/>
                    <w:jc w:val="center"/>
                    <w:rPr>
                      <w:color w:val="auto"/>
                      <w:sz w:val="21"/>
                      <w:szCs w:val="21"/>
                      <w:highlight w:val="none"/>
                      <w:lang w:bidi="ar"/>
                    </w:rPr>
                  </w:pPr>
                  <w:r>
                    <w:rPr>
                      <w:color w:val="auto"/>
                      <w:sz w:val="21"/>
                      <w:szCs w:val="21"/>
                      <w:highlight w:val="none"/>
                      <w:lang w:bidi="ar"/>
                    </w:rPr>
                    <w:t>生活垃圾</w:t>
                  </w:r>
                </w:p>
              </w:tc>
              <w:tc>
                <w:tcPr>
                  <w:tcW w:w="386" w:type="pct"/>
                  <w:noWrap w:val="0"/>
                  <w:vAlign w:val="center"/>
                </w:tcPr>
                <w:p w14:paraId="17ADB15C">
                  <w:pPr>
                    <w:spacing w:line="340" w:lineRule="exact"/>
                    <w:ind w:firstLine="0" w:firstLineChars="0"/>
                    <w:jc w:val="center"/>
                    <w:rPr>
                      <w:color w:val="auto"/>
                      <w:sz w:val="21"/>
                      <w:szCs w:val="21"/>
                      <w:highlight w:val="none"/>
                      <w:lang w:bidi="ar"/>
                    </w:rPr>
                  </w:pPr>
                  <w:r>
                    <w:rPr>
                      <w:color w:val="auto"/>
                      <w:sz w:val="21"/>
                      <w:szCs w:val="21"/>
                      <w:highlight w:val="none"/>
                      <w:lang w:bidi="ar"/>
                    </w:rPr>
                    <w:t>生活垃圾</w:t>
                  </w:r>
                </w:p>
              </w:tc>
              <w:tc>
                <w:tcPr>
                  <w:tcW w:w="494" w:type="pct"/>
                  <w:noWrap w:val="0"/>
                  <w:vAlign w:val="center"/>
                </w:tcPr>
                <w:p w14:paraId="047772E9">
                  <w:pPr>
                    <w:spacing w:line="340" w:lineRule="exact"/>
                    <w:ind w:firstLine="0" w:firstLineChars="0"/>
                    <w:jc w:val="center"/>
                    <w:rPr>
                      <w:color w:val="auto"/>
                      <w:sz w:val="21"/>
                      <w:szCs w:val="21"/>
                      <w:highlight w:val="none"/>
                      <w:lang w:bidi="ar"/>
                    </w:rPr>
                  </w:pPr>
                  <w:r>
                    <w:rPr>
                      <w:color w:val="auto"/>
                      <w:sz w:val="21"/>
                      <w:szCs w:val="21"/>
                      <w:highlight w:val="none"/>
                      <w:lang w:bidi="ar"/>
                    </w:rPr>
                    <w:t>产污系</w:t>
                  </w:r>
                </w:p>
                <w:p w14:paraId="319EBB37">
                  <w:pPr>
                    <w:spacing w:line="340" w:lineRule="exact"/>
                    <w:ind w:firstLine="0" w:firstLineChars="0"/>
                    <w:jc w:val="center"/>
                    <w:rPr>
                      <w:color w:val="auto"/>
                      <w:sz w:val="21"/>
                      <w:szCs w:val="21"/>
                      <w:highlight w:val="none"/>
                      <w:lang w:bidi="ar"/>
                    </w:rPr>
                  </w:pPr>
                  <w:r>
                    <w:rPr>
                      <w:color w:val="auto"/>
                      <w:sz w:val="21"/>
                      <w:szCs w:val="21"/>
                      <w:highlight w:val="none"/>
                      <w:lang w:bidi="ar"/>
                    </w:rPr>
                    <w:t>数法</w:t>
                  </w:r>
                </w:p>
              </w:tc>
              <w:tc>
                <w:tcPr>
                  <w:tcW w:w="513" w:type="pct"/>
                  <w:noWrap w:val="0"/>
                  <w:vAlign w:val="center"/>
                </w:tcPr>
                <w:p w14:paraId="55203C39">
                  <w:pPr>
                    <w:spacing w:line="340" w:lineRule="exact"/>
                    <w:ind w:firstLine="0" w:firstLineChars="0"/>
                    <w:jc w:val="center"/>
                    <w:rPr>
                      <w:rFonts w:hint="default" w:eastAsia="宋体"/>
                      <w:color w:val="auto"/>
                      <w:sz w:val="21"/>
                      <w:szCs w:val="21"/>
                      <w:highlight w:val="none"/>
                      <w:lang w:val="en-US" w:eastAsia="zh-CN" w:bidi="ar"/>
                    </w:rPr>
                  </w:pPr>
                  <w:r>
                    <w:rPr>
                      <w:rFonts w:hint="eastAsia"/>
                      <w:color w:val="auto"/>
                      <w:sz w:val="21"/>
                      <w:szCs w:val="21"/>
                      <w:highlight w:val="none"/>
                      <w:lang w:val="en-US" w:eastAsia="zh-CN" w:bidi="ar"/>
                    </w:rPr>
                    <w:t>2.4</w:t>
                  </w:r>
                </w:p>
              </w:tc>
              <w:tc>
                <w:tcPr>
                  <w:tcW w:w="512" w:type="pct"/>
                  <w:noWrap w:val="0"/>
                  <w:vAlign w:val="center"/>
                </w:tcPr>
                <w:p w14:paraId="57FE7A67">
                  <w:pPr>
                    <w:spacing w:line="340" w:lineRule="exact"/>
                    <w:ind w:firstLine="0" w:firstLineChars="0"/>
                    <w:jc w:val="center"/>
                    <w:rPr>
                      <w:color w:val="auto"/>
                      <w:sz w:val="21"/>
                      <w:szCs w:val="21"/>
                      <w:highlight w:val="none"/>
                      <w:lang w:bidi="ar"/>
                    </w:rPr>
                  </w:pPr>
                  <w:r>
                    <w:rPr>
                      <w:rFonts w:hint="eastAsia"/>
                      <w:color w:val="auto"/>
                      <w:sz w:val="21"/>
                      <w:szCs w:val="21"/>
                      <w:highlight w:val="none"/>
                      <w:lang w:val="en-US" w:eastAsia="zh-CN" w:bidi="ar"/>
                    </w:rPr>
                    <w:t>清运</w:t>
                  </w:r>
                </w:p>
              </w:tc>
              <w:tc>
                <w:tcPr>
                  <w:tcW w:w="552" w:type="pct"/>
                  <w:noWrap w:val="0"/>
                  <w:vAlign w:val="center"/>
                </w:tcPr>
                <w:p w14:paraId="51DD79AD">
                  <w:pPr>
                    <w:spacing w:line="340" w:lineRule="exact"/>
                    <w:ind w:firstLine="0" w:firstLineChars="0"/>
                    <w:jc w:val="center"/>
                    <w:rPr>
                      <w:rFonts w:hint="default" w:eastAsia="宋体"/>
                      <w:color w:val="auto"/>
                      <w:sz w:val="21"/>
                      <w:szCs w:val="21"/>
                      <w:highlight w:val="none"/>
                      <w:lang w:val="en-US" w:eastAsia="zh-CN" w:bidi="ar"/>
                    </w:rPr>
                  </w:pPr>
                  <w:r>
                    <w:rPr>
                      <w:rFonts w:hint="eastAsia"/>
                      <w:color w:val="auto"/>
                      <w:sz w:val="21"/>
                      <w:szCs w:val="21"/>
                      <w:highlight w:val="none"/>
                      <w:lang w:val="en-US" w:eastAsia="zh-CN" w:bidi="ar"/>
                    </w:rPr>
                    <w:t>2.4</w:t>
                  </w:r>
                </w:p>
              </w:tc>
              <w:tc>
                <w:tcPr>
                  <w:tcW w:w="880" w:type="pct"/>
                  <w:noWrap w:val="0"/>
                  <w:vAlign w:val="center"/>
                </w:tcPr>
                <w:p w14:paraId="6A119817">
                  <w:pPr>
                    <w:spacing w:line="340" w:lineRule="exact"/>
                    <w:ind w:firstLine="0" w:firstLineChars="0"/>
                    <w:jc w:val="center"/>
                    <w:rPr>
                      <w:color w:val="auto"/>
                      <w:sz w:val="21"/>
                      <w:szCs w:val="21"/>
                      <w:highlight w:val="none"/>
                      <w:lang w:bidi="ar"/>
                    </w:rPr>
                  </w:pPr>
                  <w:r>
                    <w:rPr>
                      <w:color w:val="auto"/>
                      <w:sz w:val="21"/>
                      <w:szCs w:val="21"/>
                      <w:highlight w:val="none"/>
                      <w:lang w:bidi="ar"/>
                    </w:rPr>
                    <w:t>环卫部门统一</w:t>
                  </w:r>
                </w:p>
                <w:p w14:paraId="66851ACA">
                  <w:pPr>
                    <w:spacing w:line="340" w:lineRule="exact"/>
                    <w:ind w:firstLine="0" w:firstLineChars="0"/>
                    <w:jc w:val="center"/>
                    <w:rPr>
                      <w:color w:val="auto"/>
                      <w:sz w:val="21"/>
                      <w:szCs w:val="21"/>
                      <w:highlight w:val="none"/>
                      <w:lang w:bidi="ar"/>
                    </w:rPr>
                  </w:pPr>
                  <w:r>
                    <w:rPr>
                      <w:color w:val="auto"/>
                      <w:sz w:val="21"/>
                      <w:szCs w:val="21"/>
                      <w:highlight w:val="none"/>
                      <w:lang w:bidi="ar"/>
                    </w:rPr>
                    <w:t>处置</w:t>
                  </w:r>
                </w:p>
              </w:tc>
            </w:tr>
          </w:tbl>
          <w:p w14:paraId="6C87328C">
            <w:pPr>
              <w:pStyle w:val="123"/>
              <w:adjustRightInd w:val="0"/>
              <w:snapToGrid w:val="0"/>
              <w:ind w:firstLine="0" w:firstLineChars="0"/>
              <w:jc w:val="both"/>
              <w:rPr>
                <w:b/>
                <w:color w:val="auto"/>
                <w:kern w:val="0"/>
                <w:szCs w:val="24"/>
                <w:highlight w:val="none"/>
              </w:rPr>
            </w:pPr>
          </w:p>
          <w:p w14:paraId="4B67A9E2">
            <w:pPr>
              <w:pStyle w:val="123"/>
              <w:adjustRightInd w:val="0"/>
              <w:snapToGrid w:val="0"/>
              <w:ind w:firstLine="0" w:firstLineChars="0"/>
              <w:jc w:val="center"/>
              <w:rPr>
                <w:b/>
                <w:color w:val="auto"/>
                <w:kern w:val="0"/>
                <w:szCs w:val="24"/>
                <w:highlight w:val="none"/>
              </w:rPr>
            </w:pPr>
            <w:r>
              <w:rPr>
                <w:b/>
                <w:color w:val="auto"/>
                <w:kern w:val="0"/>
                <w:szCs w:val="24"/>
                <w:highlight w:val="none"/>
              </w:rPr>
              <w:t>表</w:t>
            </w:r>
            <w:r>
              <w:rPr>
                <w:rFonts w:hint="eastAsia"/>
                <w:b/>
                <w:color w:val="auto"/>
                <w:kern w:val="0"/>
                <w:szCs w:val="24"/>
                <w:highlight w:val="none"/>
              </w:rPr>
              <w:t>4.2-</w:t>
            </w:r>
            <w:r>
              <w:rPr>
                <w:rFonts w:hint="eastAsia"/>
                <w:b/>
                <w:color w:val="auto"/>
                <w:kern w:val="0"/>
                <w:szCs w:val="24"/>
                <w:highlight w:val="none"/>
                <w:lang w:val="en-US" w:eastAsia="zh-CN"/>
              </w:rPr>
              <w:t>25</w:t>
            </w:r>
            <w:r>
              <w:rPr>
                <w:rFonts w:hint="eastAsia"/>
                <w:b/>
                <w:color w:val="auto"/>
                <w:kern w:val="0"/>
                <w:szCs w:val="24"/>
                <w:highlight w:val="none"/>
              </w:rPr>
              <w:t xml:space="preserve">  </w:t>
            </w:r>
            <w:r>
              <w:rPr>
                <w:b/>
                <w:color w:val="auto"/>
                <w:kern w:val="0"/>
                <w:szCs w:val="24"/>
                <w:highlight w:val="none"/>
              </w:rPr>
              <w:t>项目危险废物</w:t>
            </w:r>
            <w:r>
              <w:rPr>
                <w:rFonts w:hint="eastAsia"/>
                <w:b/>
                <w:color w:val="auto"/>
                <w:kern w:val="0"/>
                <w:szCs w:val="24"/>
                <w:highlight w:val="none"/>
              </w:rPr>
              <w:t>汇总</w:t>
            </w:r>
            <w:r>
              <w:rPr>
                <w:b/>
                <w:color w:val="auto"/>
                <w:kern w:val="0"/>
                <w:szCs w:val="24"/>
                <w:highlight w:val="none"/>
              </w:rPr>
              <w:t>情况表</w:t>
            </w:r>
          </w:p>
          <w:tbl>
            <w:tblPr>
              <w:tblStyle w:val="27"/>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3"/>
              <w:gridCol w:w="1358"/>
              <w:gridCol w:w="900"/>
              <w:gridCol w:w="826"/>
              <w:gridCol w:w="1020"/>
              <w:gridCol w:w="1534"/>
              <w:gridCol w:w="836"/>
              <w:gridCol w:w="1291"/>
            </w:tblGrid>
            <w:tr w14:paraId="4CE1A4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7" w:type="pct"/>
                  <w:noWrap w:val="0"/>
                  <w:vAlign w:val="center"/>
                </w:tcPr>
                <w:p w14:paraId="250A3F04">
                  <w:pPr>
                    <w:spacing w:line="340" w:lineRule="exact"/>
                    <w:ind w:firstLine="0" w:firstLineChars="0"/>
                    <w:jc w:val="center"/>
                    <w:rPr>
                      <w:b/>
                      <w:bCs/>
                      <w:color w:val="auto"/>
                      <w:sz w:val="21"/>
                      <w:szCs w:val="21"/>
                      <w:highlight w:val="none"/>
                      <w:lang w:bidi="ar"/>
                    </w:rPr>
                  </w:pPr>
                  <w:r>
                    <w:rPr>
                      <w:b/>
                      <w:bCs/>
                      <w:color w:val="auto"/>
                      <w:sz w:val="21"/>
                      <w:szCs w:val="21"/>
                      <w:highlight w:val="none"/>
                      <w:lang w:bidi="ar"/>
                    </w:rPr>
                    <w:t>序号</w:t>
                  </w:r>
                </w:p>
              </w:tc>
              <w:tc>
                <w:tcPr>
                  <w:tcW w:w="806" w:type="pct"/>
                  <w:noWrap w:val="0"/>
                  <w:vAlign w:val="center"/>
                </w:tcPr>
                <w:p w14:paraId="6B0B50F0">
                  <w:pPr>
                    <w:spacing w:line="340" w:lineRule="exact"/>
                    <w:ind w:firstLine="0" w:firstLineChars="0"/>
                    <w:jc w:val="center"/>
                    <w:rPr>
                      <w:b/>
                      <w:bCs/>
                      <w:color w:val="auto"/>
                      <w:sz w:val="21"/>
                      <w:szCs w:val="21"/>
                      <w:highlight w:val="none"/>
                      <w:lang w:bidi="ar"/>
                    </w:rPr>
                  </w:pPr>
                  <w:r>
                    <w:rPr>
                      <w:b/>
                      <w:bCs/>
                      <w:color w:val="auto"/>
                      <w:sz w:val="21"/>
                      <w:szCs w:val="21"/>
                      <w:highlight w:val="none"/>
                      <w:lang w:bidi="ar"/>
                    </w:rPr>
                    <w:t>固废种类</w:t>
                  </w:r>
                </w:p>
              </w:tc>
              <w:tc>
                <w:tcPr>
                  <w:tcW w:w="534" w:type="pct"/>
                  <w:noWrap w:val="0"/>
                  <w:vAlign w:val="center"/>
                </w:tcPr>
                <w:p w14:paraId="46E9A9C2">
                  <w:pPr>
                    <w:spacing w:line="340" w:lineRule="exact"/>
                    <w:ind w:firstLine="0" w:firstLineChars="0"/>
                    <w:jc w:val="center"/>
                    <w:rPr>
                      <w:b/>
                      <w:bCs/>
                      <w:color w:val="auto"/>
                      <w:sz w:val="21"/>
                      <w:szCs w:val="21"/>
                      <w:highlight w:val="none"/>
                      <w:lang w:bidi="ar"/>
                    </w:rPr>
                  </w:pPr>
                  <w:r>
                    <w:rPr>
                      <w:b/>
                      <w:bCs/>
                      <w:color w:val="auto"/>
                      <w:sz w:val="21"/>
                      <w:szCs w:val="21"/>
                      <w:highlight w:val="none"/>
                      <w:lang w:bidi="ar"/>
                    </w:rPr>
                    <w:t>产生量</w:t>
                  </w:r>
                </w:p>
                <w:p w14:paraId="0C5D44AD">
                  <w:pPr>
                    <w:spacing w:line="340" w:lineRule="exact"/>
                    <w:ind w:firstLine="0" w:firstLineChars="0"/>
                    <w:jc w:val="center"/>
                    <w:rPr>
                      <w:b/>
                      <w:bCs/>
                      <w:color w:val="auto"/>
                      <w:sz w:val="21"/>
                      <w:szCs w:val="21"/>
                      <w:highlight w:val="none"/>
                      <w:lang w:bidi="ar"/>
                    </w:rPr>
                  </w:pPr>
                  <w:r>
                    <w:rPr>
                      <w:rFonts w:hint="eastAsia"/>
                      <w:b/>
                      <w:bCs/>
                      <w:color w:val="auto"/>
                      <w:sz w:val="21"/>
                      <w:szCs w:val="21"/>
                      <w:highlight w:val="none"/>
                      <w:lang w:bidi="ar"/>
                    </w:rPr>
                    <w:t>（</w:t>
                  </w:r>
                  <w:r>
                    <w:rPr>
                      <w:b/>
                      <w:bCs/>
                      <w:color w:val="auto"/>
                      <w:sz w:val="21"/>
                      <w:szCs w:val="21"/>
                      <w:highlight w:val="none"/>
                      <w:lang w:bidi="ar"/>
                    </w:rPr>
                    <w:t>t/a</w:t>
                  </w:r>
                  <w:r>
                    <w:rPr>
                      <w:rFonts w:hint="eastAsia"/>
                      <w:b/>
                      <w:bCs/>
                      <w:color w:val="auto"/>
                      <w:sz w:val="21"/>
                      <w:szCs w:val="21"/>
                      <w:highlight w:val="none"/>
                      <w:lang w:bidi="ar"/>
                    </w:rPr>
                    <w:t>）</w:t>
                  </w:r>
                </w:p>
              </w:tc>
              <w:tc>
                <w:tcPr>
                  <w:tcW w:w="490" w:type="pct"/>
                  <w:noWrap w:val="0"/>
                  <w:vAlign w:val="center"/>
                </w:tcPr>
                <w:p w14:paraId="64FDBBCD">
                  <w:pPr>
                    <w:spacing w:line="340" w:lineRule="exact"/>
                    <w:ind w:firstLine="0" w:firstLineChars="0"/>
                    <w:jc w:val="center"/>
                    <w:rPr>
                      <w:b/>
                      <w:bCs/>
                      <w:color w:val="auto"/>
                      <w:sz w:val="21"/>
                      <w:szCs w:val="21"/>
                      <w:highlight w:val="none"/>
                      <w:lang w:bidi="ar"/>
                    </w:rPr>
                  </w:pPr>
                  <w:r>
                    <w:rPr>
                      <w:rFonts w:hint="eastAsia"/>
                      <w:b/>
                      <w:bCs/>
                      <w:color w:val="auto"/>
                      <w:sz w:val="21"/>
                      <w:szCs w:val="21"/>
                      <w:highlight w:val="none"/>
                      <w:lang w:bidi="ar"/>
                    </w:rPr>
                    <w:t>形态</w:t>
                  </w:r>
                </w:p>
              </w:tc>
              <w:tc>
                <w:tcPr>
                  <w:tcW w:w="605" w:type="pct"/>
                  <w:noWrap w:val="0"/>
                  <w:vAlign w:val="center"/>
                </w:tcPr>
                <w:p w14:paraId="163F529D">
                  <w:pPr>
                    <w:spacing w:line="340" w:lineRule="exact"/>
                    <w:ind w:firstLine="0" w:firstLineChars="0"/>
                    <w:jc w:val="center"/>
                    <w:rPr>
                      <w:b/>
                      <w:bCs/>
                      <w:color w:val="auto"/>
                      <w:sz w:val="21"/>
                      <w:szCs w:val="21"/>
                      <w:highlight w:val="none"/>
                      <w:lang w:bidi="ar"/>
                    </w:rPr>
                  </w:pPr>
                  <w:r>
                    <w:rPr>
                      <w:b/>
                      <w:bCs/>
                      <w:color w:val="auto"/>
                      <w:sz w:val="21"/>
                      <w:szCs w:val="21"/>
                      <w:highlight w:val="none"/>
                      <w:lang w:bidi="ar"/>
                    </w:rPr>
                    <w:t>危险废物类别</w:t>
                  </w:r>
                </w:p>
              </w:tc>
              <w:tc>
                <w:tcPr>
                  <w:tcW w:w="911" w:type="pct"/>
                  <w:noWrap w:val="0"/>
                  <w:vAlign w:val="center"/>
                </w:tcPr>
                <w:p w14:paraId="521EB1DA">
                  <w:pPr>
                    <w:spacing w:line="340" w:lineRule="exact"/>
                    <w:ind w:firstLine="0" w:firstLineChars="0"/>
                    <w:jc w:val="center"/>
                    <w:rPr>
                      <w:b/>
                      <w:bCs/>
                      <w:color w:val="auto"/>
                      <w:sz w:val="21"/>
                      <w:szCs w:val="21"/>
                      <w:highlight w:val="none"/>
                      <w:lang w:bidi="ar"/>
                    </w:rPr>
                  </w:pPr>
                  <w:r>
                    <w:rPr>
                      <w:b/>
                      <w:bCs/>
                      <w:color w:val="auto"/>
                      <w:sz w:val="21"/>
                      <w:szCs w:val="21"/>
                      <w:highlight w:val="none"/>
                      <w:lang w:bidi="ar"/>
                    </w:rPr>
                    <w:t>危险废物代码</w:t>
                  </w:r>
                </w:p>
              </w:tc>
              <w:tc>
                <w:tcPr>
                  <w:tcW w:w="496" w:type="pct"/>
                  <w:noWrap w:val="0"/>
                  <w:vAlign w:val="center"/>
                </w:tcPr>
                <w:p w14:paraId="50AE93AB">
                  <w:pPr>
                    <w:spacing w:line="340" w:lineRule="exact"/>
                    <w:ind w:firstLine="0" w:firstLineChars="0"/>
                    <w:jc w:val="center"/>
                    <w:rPr>
                      <w:b/>
                      <w:bCs/>
                      <w:color w:val="auto"/>
                      <w:sz w:val="21"/>
                      <w:szCs w:val="21"/>
                      <w:highlight w:val="none"/>
                      <w:lang w:bidi="ar"/>
                    </w:rPr>
                  </w:pPr>
                  <w:r>
                    <w:rPr>
                      <w:b/>
                      <w:bCs/>
                      <w:color w:val="auto"/>
                      <w:sz w:val="21"/>
                      <w:szCs w:val="21"/>
                      <w:highlight w:val="none"/>
                      <w:lang w:bidi="ar"/>
                    </w:rPr>
                    <w:t>危险特性</w:t>
                  </w:r>
                </w:p>
              </w:tc>
              <w:tc>
                <w:tcPr>
                  <w:tcW w:w="766" w:type="pct"/>
                  <w:noWrap w:val="0"/>
                  <w:vAlign w:val="center"/>
                </w:tcPr>
                <w:p w14:paraId="289D6DB5">
                  <w:pPr>
                    <w:spacing w:line="340" w:lineRule="exact"/>
                    <w:ind w:firstLine="0" w:firstLineChars="0"/>
                    <w:jc w:val="center"/>
                    <w:rPr>
                      <w:b/>
                      <w:bCs/>
                      <w:color w:val="auto"/>
                      <w:sz w:val="21"/>
                      <w:szCs w:val="21"/>
                      <w:highlight w:val="none"/>
                      <w:lang w:bidi="ar"/>
                    </w:rPr>
                  </w:pPr>
                  <w:r>
                    <w:rPr>
                      <w:b/>
                      <w:bCs/>
                      <w:color w:val="auto"/>
                      <w:sz w:val="21"/>
                      <w:szCs w:val="21"/>
                      <w:highlight w:val="none"/>
                      <w:lang w:bidi="ar"/>
                    </w:rPr>
                    <w:t>污染防治措施及去向</w:t>
                  </w:r>
                </w:p>
              </w:tc>
            </w:tr>
            <w:tr w14:paraId="663661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387" w:type="pct"/>
                  <w:noWrap w:val="0"/>
                  <w:vAlign w:val="center"/>
                </w:tcPr>
                <w:p w14:paraId="6C127DC4">
                  <w:pPr>
                    <w:spacing w:line="340" w:lineRule="exact"/>
                    <w:ind w:firstLine="0" w:firstLineChars="0"/>
                    <w:jc w:val="center"/>
                    <w:rPr>
                      <w:color w:val="auto"/>
                      <w:sz w:val="21"/>
                      <w:szCs w:val="21"/>
                      <w:highlight w:val="none"/>
                      <w:lang w:bidi="ar"/>
                    </w:rPr>
                  </w:pPr>
                  <w:r>
                    <w:rPr>
                      <w:rFonts w:hint="eastAsia"/>
                      <w:color w:val="auto"/>
                      <w:sz w:val="21"/>
                      <w:szCs w:val="21"/>
                      <w:highlight w:val="none"/>
                      <w:lang w:bidi="ar"/>
                    </w:rPr>
                    <w:t>1</w:t>
                  </w:r>
                </w:p>
              </w:tc>
              <w:tc>
                <w:tcPr>
                  <w:tcW w:w="806" w:type="pct"/>
                  <w:noWrap w:val="0"/>
                  <w:vAlign w:val="center"/>
                </w:tcPr>
                <w:p w14:paraId="711468D6">
                  <w:pPr>
                    <w:spacing w:line="340" w:lineRule="exact"/>
                    <w:ind w:firstLine="0" w:firstLineChars="0"/>
                    <w:jc w:val="center"/>
                    <w:rPr>
                      <w:rFonts w:hint="default" w:eastAsia="宋体"/>
                      <w:color w:val="auto"/>
                      <w:sz w:val="21"/>
                      <w:szCs w:val="21"/>
                      <w:highlight w:val="none"/>
                      <w:lang w:val="en-US" w:eastAsia="zh-CN" w:bidi="ar"/>
                    </w:rPr>
                  </w:pPr>
                  <w:r>
                    <w:rPr>
                      <w:rFonts w:hint="eastAsia"/>
                      <w:color w:val="auto"/>
                      <w:sz w:val="21"/>
                      <w:szCs w:val="21"/>
                      <w:highlight w:val="none"/>
                      <w:lang w:val="en-US" w:eastAsia="zh-CN" w:bidi="ar"/>
                    </w:rPr>
                    <w:t>废导热油</w:t>
                  </w:r>
                </w:p>
              </w:tc>
              <w:tc>
                <w:tcPr>
                  <w:tcW w:w="534" w:type="pct"/>
                  <w:noWrap w:val="0"/>
                  <w:vAlign w:val="center"/>
                </w:tcPr>
                <w:p w14:paraId="11ED5879">
                  <w:pPr>
                    <w:spacing w:line="340" w:lineRule="exact"/>
                    <w:ind w:firstLine="0" w:firstLineChars="0"/>
                    <w:jc w:val="center"/>
                    <w:rPr>
                      <w:rFonts w:hint="eastAsia" w:eastAsia="宋体"/>
                      <w:color w:val="auto"/>
                      <w:sz w:val="21"/>
                      <w:szCs w:val="21"/>
                      <w:highlight w:val="none"/>
                      <w:lang w:eastAsia="zh-CN" w:bidi="ar"/>
                    </w:rPr>
                  </w:pPr>
                  <w:r>
                    <w:rPr>
                      <w:rFonts w:hint="eastAsia"/>
                      <w:color w:val="auto"/>
                      <w:sz w:val="21"/>
                      <w:szCs w:val="21"/>
                      <w:highlight w:val="none"/>
                      <w:lang w:val="en-US" w:eastAsia="zh-CN" w:bidi="ar"/>
                    </w:rPr>
                    <w:t>6</w:t>
                  </w:r>
                </w:p>
              </w:tc>
              <w:tc>
                <w:tcPr>
                  <w:tcW w:w="490" w:type="pct"/>
                  <w:noWrap w:val="0"/>
                  <w:vAlign w:val="center"/>
                </w:tcPr>
                <w:p w14:paraId="1CDCCFD8">
                  <w:pPr>
                    <w:spacing w:line="340" w:lineRule="exact"/>
                    <w:ind w:firstLine="0" w:firstLineChars="0"/>
                    <w:jc w:val="center"/>
                    <w:rPr>
                      <w:color w:val="auto"/>
                      <w:sz w:val="21"/>
                      <w:szCs w:val="21"/>
                      <w:highlight w:val="none"/>
                      <w:lang w:bidi="ar"/>
                    </w:rPr>
                  </w:pPr>
                  <w:r>
                    <w:rPr>
                      <w:rFonts w:hint="eastAsia"/>
                      <w:color w:val="auto"/>
                      <w:sz w:val="21"/>
                      <w:szCs w:val="21"/>
                      <w:highlight w:val="none"/>
                      <w:lang w:bidi="ar"/>
                    </w:rPr>
                    <w:t>液态</w:t>
                  </w:r>
                </w:p>
              </w:tc>
              <w:tc>
                <w:tcPr>
                  <w:tcW w:w="605" w:type="pct"/>
                  <w:noWrap w:val="0"/>
                  <w:vAlign w:val="center"/>
                </w:tcPr>
                <w:p w14:paraId="3E81A0E0">
                  <w:pPr>
                    <w:spacing w:line="340" w:lineRule="exact"/>
                    <w:ind w:firstLine="0" w:firstLineChars="0"/>
                    <w:jc w:val="center"/>
                    <w:rPr>
                      <w:color w:val="auto"/>
                      <w:sz w:val="21"/>
                      <w:szCs w:val="21"/>
                      <w:highlight w:val="none"/>
                      <w:lang w:bidi="ar"/>
                    </w:rPr>
                  </w:pPr>
                  <w:r>
                    <w:rPr>
                      <w:rFonts w:hint="eastAsia"/>
                      <w:color w:val="auto"/>
                      <w:sz w:val="21"/>
                      <w:szCs w:val="21"/>
                      <w:highlight w:val="none"/>
                      <w:lang w:bidi="ar"/>
                    </w:rPr>
                    <w:t>HW08</w:t>
                  </w:r>
                </w:p>
              </w:tc>
              <w:tc>
                <w:tcPr>
                  <w:tcW w:w="911" w:type="pct"/>
                  <w:noWrap w:val="0"/>
                  <w:vAlign w:val="center"/>
                </w:tcPr>
                <w:p w14:paraId="30C250F3">
                  <w:pPr>
                    <w:spacing w:line="340" w:lineRule="exact"/>
                    <w:ind w:firstLine="0" w:firstLineChars="0"/>
                    <w:jc w:val="center"/>
                    <w:rPr>
                      <w:color w:val="auto"/>
                      <w:sz w:val="21"/>
                      <w:szCs w:val="21"/>
                      <w:highlight w:val="none"/>
                      <w:lang w:bidi="ar"/>
                    </w:rPr>
                  </w:pPr>
                  <w:r>
                    <w:rPr>
                      <w:rFonts w:hint="eastAsia"/>
                      <w:color w:val="auto"/>
                      <w:sz w:val="21"/>
                      <w:szCs w:val="21"/>
                      <w:highlight w:val="none"/>
                      <w:lang w:bidi="ar"/>
                    </w:rPr>
                    <w:t>900-</w:t>
                  </w:r>
                  <w:r>
                    <w:rPr>
                      <w:rFonts w:hint="eastAsia"/>
                      <w:color w:val="auto"/>
                      <w:sz w:val="21"/>
                      <w:szCs w:val="21"/>
                      <w:highlight w:val="none"/>
                      <w:lang w:val="en-US" w:eastAsia="zh-CN" w:bidi="ar"/>
                    </w:rPr>
                    <w:t>249</w:t>
                  </w:r>
                  <w:r>
                    <w:rPr>
                      <w:rFonts w:hint="eastAsia"/>
                      <w:color w:val="auto"/>
                      <w:sz w:val="21"/>
                      <w:szCs w:val="21"/>
                      <w:highlight w:val="none"/>
                      <w:lang w:bidi="ar"/>
                    </w:rPr>
                    <w:t>-08</w:t>
                  </w:r>
                </w:p>
              </w:tc>
              <w:tc>
                <w:tcPr>
                  <w:tcW w:w="496" w:type="pct"/>
                  <w:noWrap w:val="0"/>
                  <w:vAlign w:val="center"/>
                </w:tcPr>
                <w:p w14:paraId="649B87E3">
                  <w:pPr>
                    <w:spacing w:line="340" w:lineRule="exact"/>
                    <w:ind w:firstLine="0" w:firstLineChars="0"/>
                    <w:jc w:val="center"/>
                    <w:rPr>
                      <w:color w:val="auto"/>
                      <w:sz w:val="21"/>
                      <w:szCs w:val="21"/>
                      <w:highlight w:val="none"/>
                      <w:lang w:bidi="ar"/>
                    </w:rPr>
                  </w:pPr>
                  <w:r>
                    <w:rPr>
                      <w:rFonts w:hint="eastAsia"/>
                      <w:color w:val="auto"/>
                      <w:sz w:val="21"/>
                      <w:szCs w:val="21"/>
                      <w:highlight w:val="none"/>
                      <w:lang w:bidi="ar"/>
                    </w:rPr>
                    <w:t>T、I</w:t>
                  </w:r>
                </w:p>
              </w:tc>
              <w:tc>
                <w:tcPr>
                  <w:tcW w:w="766" w:type="pct"/>
                  <w:vMerge w:val="restart"/>
                  <w:noWrap w:val="0"/>
                  <w:vAlign w:val="center"/>
                </w:tcPr>
                <w:p w14:paraId="7F5E4F20">
                  <w:pPr>
                    <w:spacing w:line="340" w:lineRule="exact"/>
                    <w:ind w:firstLine="0" w:firstLineChars="0"/>
                    <w:jc w:val="center"/>
                    <w:rPr>
                      <w:color w:val="auto"/>
                      <w:sz w:val="21"/>
                      <w:szCs w:val="21"/>
                      <w:highlight w:val="none"/>
                      <w:lang w:bidi="ar"/>
                    </w:rPr>
                  </w:pPr>
                  <w:r>
                    <w:rPr>
                      <w:color w:val="auto"/>
                      <w:sz w:val="21"/>
                      <w:szCs w:val="21"/>
                      <w:highlight w:val="none"/>
                      <w:lang w:bidi="ar"/>
                    </w:rPr>
                    <w:t>建设规范化的</w:t>
                  </w:r>
                  <w:r>
                    <w:rPr>
                      <w:rFonts w:hint="eastAsia"/>
                      <w:color w:val="auto"/>
                      <w:sz w:val="21"/>
                      <w:szCs w:val="21"/>
                      <w:highlight w:val="none"/>
                      <w:lang w:eastAsia="zh-CN" w:bidi="ar"/>
                    </w:rPr>
                    <w:t>危险废物贮存间</w:t>
                  </w:r>
                  <w:r>
                    <w:rPr>
                      <w:color w:val="auto"/>
                      <w:sz w:val="21"/>
                      <w:szCs w:val="21"/>
                      <w:highlight w:val="none"/>
                      <w:lang w:bidi="ar"/>
                    </w:rPr>
                    <w:t>，</w:t>
                  </w:r>
                  <w:r>
                    <w:rPr>
                      <w:rFonts w:hint="eastAsia"/>
                      <w:color w:val="auto"/>
                      <w:sz w:val="21"/>
                      <w:szCs w:val="21"/>
                      <w:highlight w:val="none"/>
                      <w:lang w:bidi="ar"/>
                    </w:rPr>
                    <w:t>其中</w:t>
                  </w:r>
                  <w:r>
                    <w:rPr>
                      <w:rFonts w:hint="eastAsia" w:ascii="Times New Roman" w:hAnsi="Times New Roman" w:eastAsia="宋体" w:cs="Times New Roman"/>
                      <w:color w:val="auto"/>
                      <w:sz w:val="21"/>
                      <w:szCs w:val="21"/>
                      <w:highlight w:val="none"/>
                      <w:lang w:val="en-US" w:eastAsia="zh-CN" w:bidi="ar"/>
                    </w:rPr>
                    <w:t>废含油抹布手套</w:t>
                  </w:r>
                  <w:r>
                    <w:rPr>
                      <w:rFonts w:hint="eastAsia"/>
                      <w:color w:val="auto"/>
                      <w:sz w:val="21"/>
                      <w:szCs w:val="21"/>
                      <w:highlight w:val="none"/>
                      <w:lang w:bidi="ar"/>
                    </w:rPr>
                    <w:t>混入生活垃圾处理，其他危废</w:t>
                  </w:r>
                  <w:r>
                    <w:rPr>
                      <w:color w:val="auto"/>
                      <w:sz w:val="21"/>
                      <w:szCs w:val="21"/>
                      <w:highlight w:val="none"/>
                      <w:lang w:bidi="ar"/>
                    </w:rPr>
                    <w:t>分类收集、贮存，定期委托有资质单位统一处置</w:t>
                  </w:r>
                </w:p>
              </w:tc>
            </w:tr>
            <w:tr w14:paraId="4E24F8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387" w:type="pct"/>
                  <w:noWrap w:val="0"/>
                  <w:vAlign w:val="center"/>
                </w:tcPr>
                <w:p w14:paraId="72A6463D">
                  <w:pPr>
                    <w:spacing w:line="340" w:lineRule="exact"/>
                    <w:ind w:firstLine="0" w:firstLineChars="0"/>
                    <w:jc w:val="center"/>
                    <w:rPr>
                      <w:color w:val="auto"/>
                      <w:sz w:val="21"/>
                      <w:szCs w:val="21"/>
                      <w:highlight w:val="none"/>
                      <w:lang w:bidi="ar"/>
                    </w:rPr>
                  </w:pPr>
                  <w:r>
                    <w:rPr>
                      <w:color w:val="auto"/>
                      <w:sz w:val="21"/>
                      <w:szCs w:val="21"/>
                      <w:highlight w:val="none"/>
                      <w:lang w:bidi="ar"/>
                    </w:rPr>
                    <w:t>2</w:t>
                  </w:r>
                </w:p>
              </w:tc>
              <w:tc>
                <w:tcPr>
                  <w:tcW w:w="806" w:type="pct"/>
                  <w:noWrap w:val="0"/>
                  <w:vAlign w:val="center"/>
                </w:tcPr>
                <w:p w14:paraId="5B4505F5">
                  <w:pPr>
                    <w:spacing w:line="340" w:lineRule="exact"/>
                    <w:ind w:firstLine="0" w:firstLineChars="0"/>
                    <w:jc w:val="center"/>
                    <w:rPr>
                      <w:rFonts w:hint="default" w:eastAsia="宋体"/>
                      <w:color w:val="auto"/>
                      <w:sz w:val="21"/>
                      <w:szCs w:val="21"/>
                      <w:highlight w:val="none"/>
                      <w:lang w:val="en-US" w:eastAsia="zh-CN" w:bidi="ar"/>
                    </w:rPr>
                  </w:pPr>
                  <w:r>
                    <w:rPr>
                      <w:rFonts w:hint="eastAsia"/>
                      <w:color w:val="auto"/>
                      <w:sz w:val="21"/>
                      <w:szCs w:val="21"/>
                      <w:highlight w:val="none"/>
                      <w:lang w:bidi="ar"/>
                    </w:rPr>
                    <w:t>废机油</w:t>
                  </w:r>
                </w:p>
              </w:tc>
              <w:tc>
                <w:tcPr>
                  <w:tcW w:w="534" w:type="pct"/>
                  <w:noWrap w:val="0"/>
                  <w:vAlign w:val="center"/>
                </w:tcPr>
                <w:p w14:paraId="5B22E0D7">
                  <w:pPr>
                    <w:spacing w:line="340" w:lineRule="exact"/>
                    <w:ind w:firstLine="0" w:firstLineChars="0"/>
                    <w:jc w:val="center"/>
                    <w:rPr>
                      <w:rFonts w:hint="default" w:eastAsia="宋体"/>
                      <w:color w:val="auto"/>
                      <w:sz w:val="21"/>
                      <w:szCs w:val="21"/>
                      <w:highlight w:val="none"/>
                      <w:lang w:val="en-US" w:eastAsia="zh-CN" w:bidi="ar"/>
                    </w:rPr>
                  </w:pPr>
                  <w:r>
                    <w:rPr>
                      <w:rFonts w:hint="eastAsia"/>
                      <w:color w:val="auto"/>
                      <w:sz w:val="21"/>
                      <w:szCs w:val="21"/>
                      <w:highlight w:val="none"/>
                      <w:lang w:val="en-US" w:eastAsia="zh-CN" w:bidi="ar"/>
                    </w:rPr>
                    <w:t>0.6</w:t>
                  </w:r>
                </w:p>
              </w:tc>
              <w:tc>
                <w:tcPr>
                  <w:tcW w:w="490" w:type="pct"/>
                  <w:noWrap w:val="0"/>
                  <w:vAlign w:val="center"/>
                </w:tcPr>
                <w:p w14:paraId="0A0D94D8">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液态</w:t>
                  </w:r>
                </w:p>
              </w:tc>
              <w:tc>
                <w:tcPr>
                  <w:tcW w:w="605" w:type="pct"/>
                  <w:noWrap w:val="0"/>
                  <w:vAlign w:val="center"/>
                </w:tcPr>
                <w:p w14:paraId="26E26024">
                  <w:pPr>
                    <w:spacing w:line="340" w:lineRule="exact"/>
                    <w:ind w:firstLine="0" w:firstLineChars="0"/>
                    <w:jc w:val="center"/>
                    <w:rPr>
                      <w:rFonts w:hint="eastAsia" w:eastAsia="宋体"/>
                      <w:color w:val="auto"/>
                      <w:sz w:val="21"/>
                      <w:szCs w:val="21"/>
                      <w:highlight w:val="none"/>
                      <w:lang w:bidi="ar"/>
                    </w:rPr>
                  </w:pPr>
                  <w:r>
                    <w:rPr>
                      <w:rFonts w:hint="eastAsia" w:eastAsia="宋体"/>
                      <w:color w:val="auto"/>
                      <w:sz w:val="21"/>
                      <w:szCs w:val="21"/>
                      <w:highlight w:val="none"/>
                      <w:lang w:bidi="ar"/>
                    </w:rPr>
                    <w:t>HW08</w:t>
                  </w:r>
                </w:p>
              </w:tc>
              <w:tc>
                <w:tcPr>
                  <w:tcW w:w="911" w:type="pct"/>
                  <w:noWrap w:val="0"/>
                  <w:vAlign w:val="center"/>
                </w:tcPr>
                <w:p w14:paraId="25455E54">
                  <w:pPr>
                    <w:spacing w:line="340" w:lineRule="exact"/>
                    <w:ind w:firstLine="0" w:firstLineChars="0"/>
                    <w:jc w:val="center"/>
                    <w:rPr>
                      <w:rFonts w:hint="eastAsia" w:eastAsia="宋体"/>
                      <w:color w:val="auto"/>
                      <w:sz w:val="21"/>
                      <w:szCs w:val="21"/>
                      <w:highlight w:val="none"/>
                      <w:lang w:bidi="ar"/>
                    </w:rPr>
                  </w:pPr>
                  <w:r>
                    <w:rPr>
                      <w:rFonts w:hint="eastAsia" w:eastAsia="宋体"/>
                      <w:color w:val="auto"/>
                      <w:sz w:val="21"/>
                      <w:szCs w:val="21"/>
                      <w:highlight w:val="none"/>
                      <w:lang w:bidi="ar"/>
                    </w:rPr>
                    <w:t>900-21</w:t>
                  </w:r>
                  <w:r>
                    <w:rPr>
                      <w:rFonts w:hint="eastAsia" w:eastAsia="宋体"/>
                      <w:color w:val="auto"/>
                      <w:sz w:val="21"/>
                      <w:szCs w:val="21"/>
                      <w:highlight w:val="none"/>
                      <w:lang w:val="en-US" w:eastAsia="zh-CN" w:bidi="ar"/>
                    </w:rPr>
                    <w:t>4</w:t>
                  </w:r>
                  <w:r>
                    <w:rPr>
                      <w:rFonts w:hint="eastAsia" w:eastAsia="宋体"/>
                      <w:color w:val="auto"/>
                      <w:sz w:val="21"/>
                      <w:szCs w:val="21"/>
                      <w:highlight w:val="none"/>
                      <w:lang w:bidi="ar"/>
                    </w:rPr>
                    <w:t>-08</w:t>
                  </w:r>
                </w:p>
              </w:tc>
              <w:tc>
                <w:tcPr>
                  <w:tcW w:w="496" w:type="pct"/>
                  <w:noWrap w:val="0"/>
                  <w:vAlign w:val="center"/>
                </w:tcPr>
                <w:p w14:paraId="6E1D92F2">
                  <w:pPr>
                    <w:spacing w:line="340" w:lineRule="exact"/>
                    <w:ind w:firstLine="0" w:firstLineChars="0"/>
                    <w:jc w:val="center"/>
                    <w:rPr>
                      <w:color w:val="auto"/>
                      <w:sz w:val="21"/>
                      <w:szCs w:val="21"/>
                      <w:highlight w:val="none"/>
                      <w:lang w:bidi="ar"/>
                    </w:rPr>
                  </w:pPr>
                  <w:r>
                    <w:rPr>
                      <w:rFonts w:hint="eastAsia"/>
                      <w:color w:val="auto"/>
                      <w:sz w:val="21"/>
                      <w:szCs w:val="21"/>
                      <w:highlight w:val="none"/>
                      <w:lang w:bidi="ar"/>
                    </w:rPr>
                    <w:t>T、I</w:t>
                  </w:r>
                </w:p>
              </w:tc>
              <w:tc>
                <w:tcPr>
                  <w:tcW w:w="766" w:type="pct"/>
                  <w:vMerge w:val="continue"/>
                  <w:noWrap w:val="0"/>
                  <w:vAlign w:val="center"/>
                </w:tcPr>
                <w:p w14:paraId="3D0F69A3">
                  <w:pPr>
                    <w:spacing w:line="340" w:lineRule="exact"/>
                    <w:ind w:firstLine="0" w:firstLineChars="0"/>
                    <w:jc w:val="center"/>
                    <w:rPr>
                      <w:color w:val="auto"/>
                      <w:sz w:val="21"/>
                      <w:szCs w:val="21"/>
                      <w:highlight w:val="none"/>
                      <w:lang w:bidi="ar"/>
                    </w:rPr>
                  </w:pPr>
                </w:p>
              </w:tc>
            </w:tr>
            <w:tr w14:paraId="26A073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387" w:type="pct"/>
                  <w:shd w:val="clear" w:color="auto" w:fill="auto"/>
                  <w:noWrap w:val="0"/>
                  <w:vAlign w:val="center"/>
                </w:tcPr>
                <w:p w14:paraId="1FA77DF8">
                  <w:pPr>
                    <w:spacing w:line="340" w:lineRule="exact"/>
                    <w:ind w:firstLine="0" w:firstLineChars="0"/>
                    <w:jc w:val="center"/>
                    <w:rPr>
                      <w:rFonts w:hint="eastAsia" w:ascii="Times New Roman" w:hAnsi="Times New Roman" w:eastAsia="宋体" w:cs="Times New Roman"/>
                      <w:color w:val="auto"/>
                      <w:kern w:val="2"/>
                      <w:sz w:val="21"/>
                      <w:szCs w:val="21"/>
                      <w:highlight w:val="none"/>
                      <w:lang w:val="en-US" w:eastAsia="zh-CN" w:bidi="ar"/>
                    </w:rPr>
                  </w:pPr>
                  <w:r>
                    <w:rPr>
                      <w:rFonts w:hint="eastAsia"/>
                      <w:color w:val="auto"/>
                      <w:sz w:val="21"/>
                      <w:szCs w:val="21"/>
                      <w:highlight w:val="none"/>
                      <w:lang w:val="en-US" w:eastAsia="zh-CN" w:bidi="ar"/>
                    </w:rPr>
                    <w:t>3</w:t>
                  </w:r>
                </w:p>
              </w:tc>
              <w:tc>
                <w:tcPr>
                  <w:tcW w:w="806" w:type="pct"/>
                  <w:noWrap w:val="0"/>
                  <w:vAlign w:val="center"/>
                </w:tcPr>
                <w:p w14:paraId="7A6B345B">
                  <w:pPr>
                    <w:spacing w:line="340" w:lineRule="exact"/>
                    <w:ind w:firstLine="0" w:firstLineChars="0"/>
                    <w:jc w:val="center"/>
                    <w:rPr>
                      <w:rFonts w:hint="default" w:eastAsia="宋体"/>
                      <w:color w:val="auto"/>
                      <w:sz w:val="21"/>
                      <w:szCs w:val="21"/>
                      <w:highlight w:val="none"/>
                      <w:lang w:val="en-US" w:eastAsia="zh-CN" w:bidi="ar"/>
                    </w:rPr>
                  </w:pPr>
                  <w:r>
                    <w:rPr>
                      <w:rFonts w:hint="eastAsia"/>
                      <w:color w:val="auto"/>
                      <w:sz w:val="21"/>
                      <w:szCs w:val="21"/>
                      <w:highlight w:val="none"/>
                      <w:lang w:val="en-US" w:eastAsia="zh-CN" w:bidi="ar"/>
                    </w:rPr>
                    <w:t>废油桶</w:t>
                  </w:r>
                </w:p>
              </w:tc>
              <w:tc>
                <w:tcPr>
                  <w:tcW w:w="534" w:type="pct"/>
                  <w:noWrap w:val="0"/>
                  <w:vAlign w:val="center"/>
                </w:tcPr>
                <w:p w14:paraId="775F960E">
                  <w:pPr>
                    <w:spacing w:line="340" w:lineRule="exact"/>
                    <w:ind w:firstLine="0" w:firstLineChars="0"/>
                    <w:jc w:val="center"/>
                    <w:rPr>
                      <w:rFonts w:hint="default"/>
                      <w:color w:val="auto"/>
                      <w:sz w:val="21"/>
                      <w:szCs w:val="21"/>
                      <w:highlight w:val="none"/>
                      <w:lang w:val="en-US" w:eastAsia="zh-CN" w:bidi="ar"/>
                    </w:rPr>
                  </w:pPr>
                  <w:r>
                    <w:rPr>
                      <w:rFonts w:hint="eastAsia"/>
                      <w:color w:val="auto"/>
                      <w:sz w:val="21"/>
                      <w:szCs w:val="21"/>
                      <w:highlight w:val="none"/>
                      <w:lang w:val="en-US" w:eastAsia="zh-CN" w:bidi="ar"/>
                    </w:rPr>
                    <w:t>0.03</w:t>
                  </w:r>
                </w:p>
              </w:tc>
              <w:tc>
                <w:tcPr>
                  <w:tcW w:w="490" w:type="pct"/>
                  <w:noWrap w:val="0"/>
                  <w:vAlign w:val="center"/>
                </w:tcPr>
                <w:p w14:paraId="5A9508A0">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固态</w:t>
                  </w:r>
                </w:p>
              </w:tc>
              <w:tc>
                <w:tcPr>
                  <w:tcW w:w="605" w:type="pct"/>
                  <w:noWrap w:val="0"/>
                  <w:vAlign w:val="center"/>
                </w:tcPr>
                <w:p w14:paraId="1B9D1E4D">
                  <w:pPr>
                    <w:spacing w:line="340" w:lineRule="exact"/>
                    <w:ind w:firstLine="0" w:firstLineChars="0"/>
                    <w:jc w:val="center"/>
                    <w:rPr>
                      <w:rFonts w:hint="eastAsia" w:eastAsia="宋体"/>
                      <w:color w:val="auto"/>
                      <w:sz w:val="21"/>
                      <w:szCs w:val="21"/>
                      <w:highlight w:val="none"/>
                      <w:lang w:bidi="ar"/>
                    </w:rPr>
                  </w:pPr>
                  <w:r>
                    <w:rPr>
                      <w:rFonts w:hint="default" w:eastAsia="宋体"/>
                      <w:color w:val="auto"/>
                      <w:sz w:val="21"/>
                      <w:szCs w:val="21"/>
                      <w:highlight w:val="none"/>
                      <w:lang w:val="en-US" w:eastAsia="zh-CN" w:bidi="ar"/>
                    </w:rPr>
                    <w:t>HW08</w:t>
                  </w:r>
                </w:p>
              </w:tc>
              <w:tc>
                <w:tcPr>
                  <w:tcW w:w="911" w:type="pct"/>
                  <w:noWrap w:val="0"/>
                  <w:vAlign w:val="center"/>
                </w:tcPr>
                <w:p w14:paraId="20C979F2">
                  <w:pPr>
                    <w:spacing w:line="340" w:lineRule="exact"/>
                    <w:ind w:firstLine="0" w:firstLineChars="0"/>
                    <w:jc w:val="center"/>
                    <w:rPr>
                      <w:rFonts w:hint="eastAsia" w:eastAsia="宋体"/>
                      <w:color w:val="auto"/>
                      <w:sz w:val="21"/>
                      <w:szCs w:val="21"/>
                      <w:highlight w:val="none"/>
                      <w:lang w:bidi="ar"/>
                    </w:rPr>
                  </w:pPr>
                  <w:r>
                    <w:rPr>
                      <w:rFonts w:hint="default" w:eastAsia="宋体"/>
                      <w:color w:val="auto"/>
                      <w:sz w:val="21"/>
                      <w:szCs w:val="21"/>
                      <w:highlight w:val="none"/>
                      <w:lang w:val="en-US" w:eastAsia="zh-CN" w:bidi="ar"/>
                    </w:rPr>
                    <w:t>900-249-08</w:t>
                  </w:r>
                </w:p>
              </w:tc>
              <w:tc>
                <w:tcPr>
                  <w:tcW w:w="496" w:type="pct"/>
                  <w:noWrap w:val="0"/>
                  <w:vAlign w:val="center"/>
                </w:tcPr>
                <w:p w14:paraId="0704C039">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T、I</w:t>
                  </w:r>
                </w:p>
              </w:tc>
              <w:tc>
                <w:tcPr>
                  <w:tcW w:w="766" w:type="pct"/>
                  <w:vMerge w:val="continue"/>
                  <w:noWrap w:val="0"/>
                  <w:vAlign w:val="center"/>
                </w:tcPr>
                <w:p w14:paraId="12785A87">
                  <w:pPr>
                    <w:spacing w:line="340" w:lineRule="exact"/>
                    <w:ind w:firstLine="0" w:firstLineChars="0"/>
                    <w:jc w:val="center"/>
                    <w:rPr>
                      <w:color w:val="auto"/>
                      <w:sz w:val="21"/>
                      <w:szCs w:val="21"/>
                      <w:highlight w:val="none"/>
                      <w:lang w:bidi="ar"/>
                    </w:rPr>
                  </w:pPr>
                </w:p>
              </w:tc>
            </w:tr>
            <w:tr w14:paraId="1734BE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387" w:type="pct"/>
                  <w:shd w:val="clear" w:color="auto" w:fill="auto"/>
                  <w:noWrap w:val="0"/>
                  <w:vAlign w:val="center"/>
                </w:tcPr>
                <w:p w14:paraId="16FEA0B7">
                  <w:pPr>
                    <w:spacing w:line="340" w:lineRule="exact"/>
                    <w:ind w:firstLine="0" w:firstLineChars="0"/>
                    <w:jc w:val="center"/>
                    <w:rPr>
                      <w:rFonts w:hint="eastAsia" w:ascii="Times New Roman" w:hAnsi="Times New Roman" w:eastAsia="宋体" w:cs="Times New Roman"/>
                      <w:color w:val="auto"/>
                      <w:kern w:val="2"/>
                      <w:sz w:val="21"/>
                      <w:szCs w:val="21"/>
                      <w:highlight w:val="none"/>
                      <w:lang w:val="en-US" w:eastAsia="zh-CN" w:bidi="ar"/>
                    </w:rPr>
                  </w:pPr>
                  <w:r>
                    <w:rPr>
                      <w:rFonts w:hint="eastAsia" w:eastAsia="宋体"/>
                      <w:color w:val="auto"/>
                      <w:sz w:val="21"/>
                      <w:szCs w:val="21"/>
                      <w:highlight w:val="none"/>
                      <w:lang w:val="en-US" w:eastAsia="zh-CN" w:bidi="ar"/>
                    </w:rPr>
                    <w:t>4</w:t>
                  </w:r>
                </w:p>
              </w:tc>
              <w:tc>
                <w:tcPr>
                  <w:tcW w:w="806" w:type="pct"/>
                  <w:noWrap w:val="0"/>
                  <w:vAlign w:val="center"/>
                </w:tcPr>
                <w:p w14:paraId="026EA44D">
                  <w:pPr>
                    <w:spacing w:line="340" w:lineRule="exact"/>
                    <w:ind w:firstLine="0" w:firstLineChars="0"/>
                    <w:jc w:val="center"/>
                    <w:rPr>
                      <w:rFonts w:hint="eastAsia"/>
                      <w:color w:val="auto"/>
                      <w:sz w:val="21"/>
                      <w:szCs w:val="21"/>
                      <w:highlight w:val="none"/>
                      <w:lang w:bidi="ar"/>
                    </w:rPr>
                  </w:pPr>
                  <w:r>
                    <w:rPr>
                      <w:rFonts w:hint="eastAsia" w:ascii="Times New Roman" w:hAnsi="Times New Roman" w:eastAsia="宋体" w:cs="Times New Roman"/>
                      <w:color w:val="auto"/>
                      <w:sz w:val="21"/>
                      <w:szCs w:val="21"/>
                      <w:highlight w:val="none"/>
                      <w:lang w:val="en-US" w:eastAsia="zh-CN" w:bidi="ar"/>
                    </w:rPr>
                    <w:t>废含油抹布手套</w:t>
                  </w:r>
                </w:p>
              </w:tc>
              <w:tc>
                <w:tcPr>
                  <w:tcW w:w="534" w:type="pct"/>
                  <w:noWrap w:val="0"/>
                  <w:vAlign w:val="center"/>
                </w:tcPr>
                <w:p w14:paraId="15AD6CA5">
                  <w:pPr>
                    <w:spacing w:line="340" w:lineRule="exact"/>
                    <w:ind w:firstLine="0" w:firstLineChars="0"/>
                    <w:jc w:val="center"/>
                    <w:rPr>
                      <w:rFonts w:hint="default"/>
                      <w:color w:val="auto"/>
                      <w:sz w:val="21"/>
                      <w:szCs w:val="21"/>
                      <w:highlight w:val="none"/>
                      <w:lang w:val="en-US" w:eastAsia="zh-CN" w:bidi="ar"/>
                    </w:rPr>
                  </w:pPr>
                  <w:r>
                    <w:rPr>
                      <w:rFonts w:hint="eastAsia"/>
                      <w:color w:val="auto"/>
                      <w:sz w:val="21"/>
                      <w:szCs w:val="21"/>
                      <w:highlight w:val="none"/>
                      <w:lang w:val="en-US" w:eastAsia="zh-CN" w:bidi="ar"/>
                    </w:rPr>
                    <w:t>0.01</w:t>
                  </w:r>
                </w:p>
              </w:tc>
              <w:tc>
                <w:tcPr>
                  <w:tcW w:w="490" w:type="pct"/>
                  <w:noWrap w:val="0"/>
                  <w:vAlign w:val="center"/>
                </w:tcPr>
                <w:p w14:paraId="17022F7C">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固态</w:t>
                  </w:r>
                </w:p>
              </w:tc>
              <w:tc>
                <w:tcPr>
                  <w:tcW w:w="605" w:type="pct"/>
                  <w:noWrap w:val="0"/>
                  <w:vAlign w:val="center"/>
                </w:tcPr>
                <w:p w14:paraId="291B2D08">
                  <w:pPr>
                    <w:spacing w:line="340" w:lineRule="exact"/>
                    <w:ind w:firstLine="0" w:firstLineChars="0"/>
                    <w:jc w:val="center"/>
                    <w:rPr>
                      <w:rFonts w:hint="eastAsia"/>
                      <w:color w:val="auto"/>
                      <w:sz w:val="21"/>
                      <w:szCs w:val="21"/>
                      <w:highlight w:val="none"/>
                      <w:lang w:bidi="ar"/>
                    </w:rPr>
                  </w:pPr>
                  <w:r>
                    <w:rPr>
                      <w:color w:val="auto"/>
                      <w:sz w:val="21"/>
                      <w:szCs w:val="21"/>
                      <w:highlight w:val="none"/>
                      <w:lang w:bidi="ar"/>
                    </w:rPr>
                    <w:t>HW49</w:t>
                  </w:r>
                </w:p>
              </w:tc>
              <w:tc>
                <w:tcPr>
                  <w:tcW w:w="911" w:type="pct"/>
                  <w:noWrap w:val="0"/>
                  <w:vAlign w:val="center"/>
                </w:tcPr>
                <w:p w14:paraId="012B19FA">
                  <w:pPr>
                    <w:spacing w:line="340" w:lineRule="exact"/>
                    <w:ind w:firstLine="0" w:firstLineChars="0"/>
                    <w:jc w:val="center"/>
                    <w:rPr>
                      <w:rFonts w:hint="eastAsia"/>
                      <w:color w:val="auto"/>
                      <w:sz w:val="21"/>
                      <w:szCs w:val="21"/>
                      <w:highlight w:val="none"/>
                      <w:lang w:bidi="ar"/>
                    </w:rPr>
                  </w:pPr>
                  <w:r>
                    <w:rPr>
                      <w:color w:val="auto"/>
                      <w:sz w:val="21"/>
                      <w:szCs w:val="21"/>
                      <w:highlight w:val="none"/>
                      <w:lang w:bidi="ar"/>
                    </w:rPr>
                    <w:t>900-041-49</w:t>
                  </w:r>
                </w:p>
              </w:tc>
              <w:tc>
                <w:tcPr>
                  <w:tcW w:w="496" w:type="pct"/>
                  <w:noWrap w:val="0"/>
                  <w:vAlign w:val="center"/>
                </w:tcPr>
                <w:p w14:paraId="768128B2">
                  <w:pPr>
                    <w:spacing w:line="340" w:lineRule="exact"/>
                    <w:ind w:firstLine="0" w:firstLineChars="0"/>
                    <w:jc w:val="center"/>
                    <w:rPr>
                      <w:rFonts w:hint="eastAsia" w:eastAsia="宋体"/>
                      <w:color w:val="auto"/>
                      <w:sz w:val="21"/>
                      <w:szCs w:val="21"/>
                      <w:highlight w:val="none"/>
                      <w:lang w:bidi="ar"/>
                    </w:rPr>
                  </w:pPr>
                  <w:r>
                    <w:rPr>
                      <w:rFonts w:hint="eastAsia" w:eastAsia="宋体"/>
                      <w:color w:val="auto"/>
                      <w:sz w:val="21"/>
                      <w:szCs w:val="21"/>
                      <w:highlight w:val="none"/>
                      <w:lang w:bidi="ar"/>
                    </w:rPr>
                    <w:t>T、In</w:t>
                  </w:r>
                </w:p>
              </w:tc>
              <w:tc>
                <w:tcPr>
                  <w:tcW w:w="766" w:type="pct"/>
                  <w:vMerge w:val="continue"/>
                  <w:noWrap w:val="0"/>
                  <w:vAlign w:val="center"/>
                </w:tcPr>
                <w:p w14:paraId="45C9FC27">
                  <w:pPr>
                    <w:spacing w:line="340" w:lineRule="exact"/>
                    <w:ind w:firstLine="0" w:firstLineChars="0"/>
                    <w:jc w:val="center"/>
                    <w:rPr>
                      <w:color w:val="auto"/>
                      <w:sz w:val="21"/>
                      <w:szCs w:val="21"/>
                      <w:highlight w:val="none"/>
                      <w:lang w:bidi="ar"/>
                    </w:rPr>
                  </w:pPr>
                </w:p>
              </w:tc>
            </w:tr>
            <w:tr w14:paraId="39494C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387" w:type="pct"/>
                  <w:noWrap w:val="0"/>
                  <w:vAlign w:val="center"/>
                </w:tcPr>
                <w:p w14:paraId="4AFC2277">
                  <w:pPr>
                    <w:spacing w:line="340" w:lineRule="exact"/>
                    <w:ind w:firstLine="0" w:firstLineChars="0"/>
                    <w:jc w:val="center"/>
                    <w:rPr>
                      <w:rFonts w:hint="default" w:eastAsia="宋体"/>
                      <w:color w:val="auto"/>
                      <w:sz w:val="21"/>
                      <w:szCs w:val="21"/>
                      <w:highlight w:val="none"/>
                      <w:lang w:val="en-US" w:eastAsia="zh-CN" w:bidi="ar"/>
                    </w:rPr>
                  </w:pPr>
                  <w:r>
                    <w:rPr>
                      <w:rFonts w:hint="eastAsia"/>
                      <w:color w:val="auto"/>
                      <w:sz w:val="21"/>
                      <w:szCs w:val="21"/>
                      <w:highlight w:val="none"/>
                      <w:lang w:val="en-US" w:eastAsia="zh-CN" w:bidi="ar"/>
                    </w:rPr>
                    <w:t>5</w:t>
                  </w:r>
                </w:p>
              </w:tc>
              <w:tc>
                <w:tcPr>
                  <w:tcW w:w="806" w:type="pct"/>
                  <w:noWrap w:val="0"/>
                  <w:vAlign w:val="center"/>
                </w:tcPr>
                <w:p w14:paraId="79EE910F">
                  <w:pPr>
                    <w:spacing w:line="340" w:lineRule="exact"/>
                    <w:ind w:firstLine="0" w:firstLineChars="0"/>
                    <w:jc w:val="center"/>
                    <w:rPr>
                      <w:rFonts w:hint="eastAsia"/>
                      <w:color w:val="auto"/>
                      <w:sz w:val="21"/>
                      <w:szCs w:val="21"/>
                      <w:highlight w:val="none"/>
                      <w:lang w:bidi="ar"/>
                    </w:rPr>
                  </w:pPr>
                  <w:r>
                    <w:rPr>
                      <w:color w:val="auto"/>
                      <w:sz w:val="21"/>
                      <w:szCs w:val="21"/>
                      <w:highlight w:val="none"/>
                      <w:lang w:bidi="ar"/>
                    </w:rPr>
                    <w:t>废活性炭</w:t>
                  </w:r>
                </w:p>
              </w:tc>
              <w:tc>
                <w:tcPr>
                  <w:tcW w:w="534" w:type="pct"/>
                  <w:noWrap w:val="0"/>
                  <w:vAlign w:val="center"/>
                </w:tcPr>
                <w:p w14:paraId="7459635B">
                  <w:pPr>
                    <w:spacing w:line="340" w:lineRule="exact"/>
                    <w:ind w:firstLine="0" w:firstLineChars="0"/>
                    <w:jc w:val="center"/>
                    <w:rPr>
                      <w:rFonts w:hint="default" w:eastAsia="宋体"/>
                      <w:color w:val="auto"/>
                      <w:sz w:val="21"/>
                      <w:szCs w:val="21"/>
                      <w:highlight w:val="none"/>
                      <w:lang w:val="en-US" w:eastAsia="zh-CN" w:bidi="ar"/>
                    </w:rPr>
                  </w:pPr>
                  <w:r>
                    <w:rPr>
                      <w:rFonts w:hint="eastAsia"/>
                      <w:color w:val="auto"/>
                      <w:sz w:val="21"/>
                      <w:szCs w:val="21"/>
                      <w:highlight w:val="none"/>
                      <w:lang w:val="en-US" w:eastAsia="zh-CN" w:bidi="ar"/>
                    </w:rPr>
                    <w:t>1.6812</w:t>
                  </w:r>
                </w:p>
              </w:tc>
              <w:tc>
                <w:tcPr>
                  <w:tcW w:w="490" w:type="pct"/>
                  <w:noWrap w:val="0"/>
                  <w:vAlign w:val="center"/>
                </w:tcPr>
                <w:p w14:paraId="57E6750E">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固态</w:t>
                  </w:r>
                </w:p>
              </w:tc>
              <w:tc>
                <w:tcPr>
                  <w:tcW w:w="605" w:type="pct"/>
                  <w:noWrap w:val="0"/>
                  <w:vAlign w:val="center"/>
                </w:tcPr>
                <w:p w14:paraId="35E4699E">
                  <w:pPr>
                    <w:spacing w:line="340" w:lineRule="exact"/>
                    <w:ind w:firstLine="0" w:firstLineChars="0"/>
                    <w:jc w:val="center"/>
                    <w:rPr>
                      <w:rFonts w:hint="eastAsia" w:eastAsia="宋体"/>
                      <w:color w:val="auto"/>
                      <w:sz w:val="21"/>
                      <w:szCs w:val="21"/>
                      <w:highlight w:val="none"/>
                      <w:lang w:bidi="ar"/>
                    </w:rPr>
                  </w:pPr>
                  <w:r>
                    <w:rPr>
                      <w:rFonts w:hint="eastAsia" w:eastAsia="宋体"/>
                      <w:color w:val="auto"/>
                      <w:sz w:val="21"/>
                      <w:szCs w:val="21"/>
                      <w:highlight w:val="none"/>
                      <w:lang w:bidi="ar"/>
                    </w:rPr>
                    <w:t>HW49</w:t>
                  </w:r>
                </w:p>
              </w:tc>
              <w:tc>
                <w:tcPr>
                  <w:tcW w:w="911" w:type="pct"/>
                  <w:noWrap w:val="0"/>
                  <w:vAlign w:val="center"/>
                </w:tcPr>
                <w:p w14:paraId="36E5986B">
                  <w:pPr>
                    <w:spacing w:line="340" w:lineRule="exact"/>
                    <w:ind w:firstLine="0" w:firstLineChars="0"/>
                    <w:jc w:val="center"/>
                    <w:rPr>
                      <w:rFonts w:hint="eastAsia" w:eastAsia="宋体"/>
                      <w:color w:val="auto"/>
                      <w:sz w:val="21"/>
                      <w:szCs w:val="21"/>
                      <w:highlight w:val="none"/>
                      <w:lang w:bidi="ar"/>
                    </w:rPr>
                  </w:pPr>
                  <w:r>
                    <w:rPr>
                      <w:rFonts w:hint="eastAsia" w:eastAsia="宋体"/>
                      <w:color w:val="auto"/>
                      <w:sz w:val="21"/>
                      <w:szCs w:val="21"/>
                      <w:highlight w:val="none"/>
                      <w:lang w:bidi="ar"/>
                    </w:rPr>
                    <w:t>900-039-49</w:t>
                  </w:r>
                </w:p>
              </w:tc>
              <w:tc>
                <w:tcPr>
                  <w:tcW w:w="496" w:type="pct"/>
                  <w:noWrap w:val="0"/>
                  <w:vAlign w:val="center"/>
                </w:tcPr>
                <w:p w14:paraId="71EB35A9">
                  <w:pPr>
                    <w:spacing w:line="340" w:lineRule="exact"/>
                    <w:ind w:firstLine="0" w:firstLineChars="0"/>
                    <w:jc w:val="center"/>
                    <w:rPr>
                      <w:rFonts w:hint="eastAsia" w:eastAsia="宋体"/>
                      <w:color w:val="auto"/>
                      <w:sz w:val="21"/>
                      <w:szCs w:val="21"/>
                      <w:highlight w:val="none"/>
                      <w:lang w:bidi="ar"/>
                    </w:rPr>
                  </w:pPr>
                  <w:r>
                    <w:rPr>
                      <w:rFonts w:hint="eastAsia" w:eastAsia="宋体"/>
                      <w:color w:val="auto"/>
                      <w:sz w:val="21"/>
                      <w:szCs w:val="21"/>
                      <w:highlight w:val="none"/>
                      <w:lang w:bidi="ar"/>
                    </w:rPr>
                    <w:t>T</w:t>
                  </w:r>
                </w:p>
              </w:tc>
              <w:tc>
                <w:tcPr>
                  <w:tcW w:w="766" w:type="pct"/>
                  <w:vMerge w:val="continue"/>
                  <w:noWrap w:val="0"/>
                  <w:vAlign w:val="center"/>
                </w:tcPr>
                <w:p w14:paraId="3F97C060">
                  <w:pPr>
                    <w:spacing w:line="340" w:lineRule="exact"/>
                    <w:ind w:firstLine="0" w:firstLineChars="0"/>
                    <w:jc w:val="center"/>
                    <w:rPr>
                      <w:color w:val="auto"/>
                      <w:sz w:val="21"/>
                      <w:szCs w:val="21"/>
                      <w:highlight w:val="none"/>
                      <w:lang w:bidi="ar"/>
                    </w:rPr>
                  </w:pPr>
                </w:p>
              </w:tc>
            </w:tr>
            <w:tr w14:paraId="236D21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7" w:type="pct"/>
                  <w:noWrap w:val="0"/>
                  <w:vAlign w:val="center"/>
                </w:tcPr>
                <w:p w14:paraId="6C35053B">
                  <w:pPr>
                    <w:spacing w:line="340" w:lineRule="exact"/>
                    <w:ind w:firstLine="0" w:firstLineChars="0"/>
                    <w:jc w:val="center"/>
                    <w:rPr>
                      <w:rFonts w:hint="default" w:eastAsia="宋体"/>
                      <w:color w:val="auto"/>
                      <w:sz w:val="21"/>
                      <w:szCs w:val="21"/>
                      <w:highlight w:val="none"/>
                      <w:lang w:val="en-US" w:eastAsia="zh-CN" w:bidi="ar"/>
                    </w:rPr>
                  </w:pPr>
                  <w:r>
                    <w:rPr>
                      <w:rFonts w:hint="eastAsia"/>
                      <w:color w:val="auto"/>
                      <w:sz w:val="21"/>
                      <w:szCs w:val="21"/>
                      <w:highlight w:val="none"/>
                      <w:lang w:val="en-US" w:eastAsia="zh-CN" w:bidi="ar"/>
                    </w:rPr>
                    <w:t>6</w:t>
                  </w:r>
                </w:p>
              </w:tc>
              <w:tc>
                <w:tcPr>
                  <w:tcW w:w="806" w:type="pct"/>
                  <w:noWrap w:val="0"/>
                  <w:vAlign w:val="center"/>
                </w:tcPr>
                <w:p w14:paraId="771A182F">
                  <w:pPr>
                    <w:spacing w:line="340" w:lineRule="exact"/>
                    <w:ind w:firstLine="0" w:firstLineChars="0"/>
                    <w:jc w:val="center"/>
                    <w:rPr>
                      <w:color w:val="auto"/>
                      <w:sz w:val="21"/>
                      <w:szCs w:val="21"/>
                      <w:highlight w:val="none"/>
                      <w:lang w:bidi="ar"/>
                    </w:rPr>
                  </w:pPr>
                  <w:r>
                    <w:rPr>
                      <w:rFonts w:hint="eastAsia"/>
                      <w:color w:val="auto"/>
                      <w:sz w:val="21"/>
                      <w:szCs w:val="21"/>
                      <w:highlight w:val="none"/>
                      <w:lang w:val="en-US" w:eastAsia="zh-CN" w:bidi="ar"/>
                    </w:rPr>
                    <w:t>喷淋废液</w:t>
                  </w:r>
                </w:p>
              </w:tc>
              <w:tc>
                <w:tcPr>
                  <w:tcW w:w="534" w:type="pct"/>
                  <w:noWrap w:val="0"/>
                  <w:vAlign w:val="center"/>
                </w:tcPr>
                <w:p w14:paraId="07F0EB2A">
                  <w:pPr>
                    <w:spacing w:line="340" w:lineRule="exact"/>
                    <w:ind w:firstLine="0" w:firstLineChars="0"/>
                    <w:jc w:val="center"/>
                    <w:rPr>
                      <w:rFonts w:hint="default"/>
                      <w:color w:val="auto"/>
                      <w:sz w:val="21"/>
                      <w:szCs w:val="21"/>
                      <w:highlight w:val="none"/>
                      <w:lang w:val="en-US" w:eastAsia="zh-CN" w:bidi="ar"/>
                    </w:rPr>
                  </w:pPr>
                  <w:r>
                    <w:rPr>
                      <w:rFonts w:hint="eastAsia"/>
                      <w:color w:val="auto"/>
                      <w:sz w:val="21"/>
                      <w:szCs w:val="21"/>
                      <w:highlight w:val="none"/>
                      <w:lang w:val="en-US" w:eastAsia="zh-CN" w:bidi="ar"/>
                    </w:rPr>
                    <w:t>24</w:t>
                  </w:r>
                </w:p>
              </w:tc>
              <w:tc>
                <w:tcPr>
                  <w:tcW w:w="490" w:type="pct"/>
                  <w:noWrap w:val="0"/>
                  <w:vAlign w:val="center"/>
                </w:tcPr>
                <w:p w14:paraId="45FA4FA2">
                  <w:pPr>
                    <w:spacing w:line="340" w:lineRule="exact"/>
                    <w:ind w:firstLine="0" w:firstLineChars="0"/>
                    <w:jc w:val="center"/>
                    <w:rPr>
                      <w:rFonts w:hint="eastAsia" w:eastAsia="宋体"/>
                      <w:color w:val="auto"/>
                      <w:sz w:val="21"/>
                      <w:szCs w:val="21"/>
                      <w:highlight w:val="none"/>
                      <w:lang w:val="en-US" w:eastAsia="zh-CN" w:bidi="ar"/>
                    </w:rPr>
                  </w:pPr>
                  <w:r>
                    <w:rPr>
                      <w:rFonts w:hint="eastAsia"/>
                      <w:color w:val="auto"/>
                      <w:sz w:val="21"/>
                      <w:szCs w:val="21"/>
                      <w:highlight w:val="none"/>
                      <w:lang w:val="en-US" w:eastAsia="zh-CN" w:bidi="ar"/>
                    </w:rPr>
                    <w:t>液态</w:t>
                  </w:r>
                </w:p>
              </w:tc>
              <w:tc>
                <w:tcPr>
                  <w:tcW w:w="605" w:type="pct"/>
                  <w:noWrap w:val="0"/>
                  <w:vAlign w:val="center"/>
                </w:tcPr>
                <w:p w14:paraId="354786B2">
                  <w:pPr>
                    <w:spacing w:line="340" w:lineRule="exact"/>
                    <w:ind w:firstLine="0" w:firstLineChars="0"/>
                    <w:jc w:val="center"/>
                    <w:rPr>
                      <w:rFonts w:hint="eastAsia" w:eastAsia="宋体"/>
                      <w:color w:val="auto"/>
                      <w:sz w:val="21"/>
                      <w:szCs w:val="21"/>
                      <w:highlight w:val="none"/>
                      <w:lang w:bidi="ar"/>
                    </w:rPr>
                  </w:pPr>
                  <w:r>
                    <w:rPr>
                      <w:rFonts w:hint="default" w:eastAsia="宋体"/>
                      <w:color w:val="auto"/>
                      <w:sz w:val="21"/>
                      <w:szCs w:val="21"/>
                      <w:highlight w:val="none"/>
                      <w:lang w:val="en-US" w:eastAsia="zh-CN" w:bidi="ar"/>
                    </w:rPr>
                    <w:t>HW49</w:t>
                  </w:r>
                </w:p>
              </w:tc>
              <w:tc>
                <w:tcPr>
                  <w:tcW w:w="911" w:type="pct"/>
                  <w:noWrap w:val="0"/>
                  <w:vAlign w:val="center"/>
                </w:tcPr>
                <w:p w14:paraId="760A8CCF">
                  <w:pPr>
                    <w:spacing w:line="340" w:lineRule="exact"/>
                    <w:ind w:firstLine="0" w:firstLineChars="0"/>
                    <w:jc w:val="center"/>
                    <w:rPr>
                      <w:rFonts w:hint="eastAsia" w:eastAsia="宋体"/>
                      <w:color w:val="auto"/>
                      <w:sz w:val="21"/>
                      <w:szCs w:val="21"/>
                      <w:highlight w:val="none"/>
                      <w:lang w:bidi="ar"/>
                    </w:rPr>
                  </w:pPr>
                  <w:r>
                    <w:rPr>
                      <w:rFonts w:hint="default" w:eastAsia="宋体"/>
                      <w:color w:val="auto"/>
                      <w:sz w:val="21"/>
                      <w:szCs w:val="21"/>
                      <w:highlight w:val="none"/>
                      <w:lang w:val="en-US" w:eastAsia="zh-CN" w:bidi="ar"/>
                    </w:rPr>
                    <w:t>900-04</w:t>
                  </w:r>
                  <w:r>
                    <w:rPr>
                      <w:rFonts w:hint="eastAsia"/>
                      <w:color w:val="auto"/>
                      <w:sz w:val="21"/>
                      <w:szCs w:val="21"/>
                      <w:highlight w:val="none"/>
                      <w:lang w:val="en-US" w:eastAsia="zh-CN" w:bidi="ar"/>
                    </w:rPr>
                    <w:t>1</w:t>
                  </w:r>
                  <w:r>
                    <w:rPr>
                      <w:rFonts w:hint="default" w:eastAsia="宋体"/>
                      <w:color w:val="auto"/>
                      <w:sz w:val="21"/>
                      <w:szCs w:val="21"/>
                      <w:highlight w:val="none"/>
                      <w:lang w:val="en-US" w:eastAsia="zh-CN" w:bidi="ar"/>
                    </w:rPr>
                    <w:t>-49</w:t>
                  </w:r>
                </w:p>
              </w:tc>
              <w:tc>
                <w:tcPr>
                  <w:tcW w:w="496" w:type="pct"/>
                  <w:noWrap w:val="0"/>
                  <w:vAlign w:val="center"/>
                </w:tcPr>
                <w:p w14:paraId="3FA2F909">
                  <w:pPr>
                    <w:spacing w:line="340" w:lineRule="exact"/>
                    <w:ind w:firstLine="0" w:firstLineChars="0"/>
                    <w:jc w:val="center"/>
                    <w:rPr>
                      <w:rFonts w:hint="eastAsia" w:eastAsia="宋体"/>
                      <w:color w:val="auto"/>
                      <w:sz w:val="21"/>
                      <w:szCs w:val="21"/>
                      <w:highlight w:val="none"/>
                      <w:lang w:bidi="ar"/>
                    </w:rPr>
                  </w:pPr>
                  <w:r>
                    <w:rPr>
                      <w:rFonts w:hint="eastAsia" w:eastAsia="宋体"/>
                      <w:color w:val="auto"/>
                      <w:sz w:val="21"/>
                      <w:szCs w:val="21"/>
                      <w:highlight w:val="none"/>
                      <w:lang w:bidi="ar"/>
                    </w:rPr>
                    <w:t>T、In</w:t>
                  </w:r>
                </w:p>
              </w:tc>
              <w:tc>
                <w:tcPr>
                  <w:tcW w:w="766" w:type="pct"/>
                  <w:vMerge w:val="continue"/>
                  <w:noWrap w:val="0"/>
                  <w:vAlign w:val="center"/>
                </w:tcPr>
                <w:p w14:paraId="7EFAD3F5">
                  <w:pPr>
                    <w:spacing w:line="340" w:lineRule="exact"/>
                    <w:ind w:firstLine="0" w:firstLineChars="0"/>
                    <w:jc w:val="center"/>
                    <w:rPr>
                      <w:color w:val="auto"/>
                      <w:sz w:val="21"/>
                      <w:szCs w:val="21"/>
                      <w:highlight w:val="none"/>
                      <w:lang w:bidi="ar"/>
                    </w:rPr>
                  </w:pPr>
                </w:p>
              </w:tc>
            </w:tr>
          </w:tbl>
          <w:p w14:paraId="5C3E4EBE">
            <w:pPr>
              <w:pStyle w:val="5"/>
              <w:rPr>
                <w:color w:val="auto"/>
                <w:highlight w:val="none"/>
              </w:rPr>
            </w:pPr>
            <w:r>
              <w:rPr>
                <w:rFonts w:hint="eastAsia"/>
                <w:color w:val="auto"/>
                <w:highlight w:val="none"/>
              </w:rPr>
              <w:t>4</w:t>
            </w:r>
            <w:r>
              <w:rPr>
                <w:color w:val="auto"/>
                <w:highlight w:val="none"/>
              </w:rPr>
              <w:t>.</w:t>
            </w:r>
            <w:r>
              <w:rPr>
                <w:rFonts w:hint="eastAsia"/>
                <w:color w:val="auto"/>
                <w:highlight w:val="none"/>
              </w:rPr>
              <w:t>2.4.2</w:t>
            </w:r>
            <w:r>
              <w:rPr>
                <w:color w:val="auto"/>
                <w:highlight w:val="none"/>
              </w:rPr>
              <w:t xml:space="preserve"> 运营期固体废物影响分析及环境管理要求</w:t>
            </w:r>
          </w:p>
          <w:p w14:paraId="5C24DEF8">
            <w:pPr>
              <w:pStyle w:val="5"/>
              <w:rPr>
                <w:color w:val="auto"/>
                <w:highlight w:val="none"/>
              </w:rPr>
            </w:pPr>
            <w:r>
              <w:rPr>
                <w:rFonts w:hint="eastAsia"/>
                <w:color w:val="auto"/>
                <w:highlight w:val="none"/>
              </w:rPr>
              <w:t>（一）</w:t>
            </w:r>
            <w:r>
              <w:rPr>
                <w:color w:val="auto"/>
                <w:highlight w:val="none"/>
              </w:rPr>
              <w:t>一般工业固废</w:t>
            </w:r>
          </w:p>
          <w:p w14:paraId="16B05F09">
            <w:pPr>
              <w:ind w:firstLine="482"/>
              <w:rPr>
                <w:color w:val="auto"/>
                <w:highlight w:val="none"/>
              </w:rPr>
            </w:pPr>
            <w:r>
              <w:rPr>
                <w:rFonts w:hint="eastAsia"/>
                <w:b/>
                <w:bCs/>
                <w:color w:val="auto"/>
                <w:highlight w:val="none"/>
              </w:rPr>
              <w:t>（1）一般固废暂存间建设要求</w:t>
            </w:r>
            <w:r>
              <w:rPr>
                <w:rFonts w:hint="eastAsia"/>
                <w:color w:val="auto"/>
                <w:highlight w:val="none"/>
              </w:rPr>
              <w:t xml:space="preserve"> </w:t>
            </w:r>
          </w:p>
          <w:p w14:paraId="241D6E77">
            <w:pPr>
              <w:ind w:firstLine="480"/>
              <w:rPr>
                <w:rFonts w:hint="eastAsia"/>
                <w:color w:val="auto"/>
                <w:highlight w:val="none"/>
              </w:rPr>
            </w:pPr>
            <w:r>
              <w:rPr>
                <w:rFonts w:hint="eastAsia"/>
                <w:color w:val="auto"/>
                <w:highlight w:val="none"/>
              </w:rPr>
              <w:t>①防洪标准应按重现期不小于50年一遇的洪水位设计；</w:t>
            </w:r>
          </w:p>
          <w:p w14:paraId="4E88C234">
            <w:pPr>
              <w:ind w:firstLine="480"/>
              <w:rPr>
                <w:rFonts w:hint="eastAsia"/>
                <w:color w:val="auto"/>
                <w:highlight w:val="none"/>
              </w:rPr>
            </w:pPr>
            <w:r>
              <w:rPr>
                <w:rFonts w:hint="eastAsia"/>
                <w:color w:val="auto"/>
                <w:highlight w:val="none"/>
              </w:rPr>
              <w:t>②不相容的一般工业固体废物应设置不同的分区进行贮存；</w:t>
            </w:r>
          </w:p>
          <w:p w14:paraId="27E25161">
            <w:pPr>
              <w:ind w:firstLine="480"/>
              <w:rPr>
                <w:color w:val="auto"/>
                <w:highlight w:val="none"/>
              </w:rPr>
            </w:pPr>
            <w:r>
              <w:rPr>
                <w:rFonts w:hint="eastAsia"/>
                <w:color w:val="auto"/>
                <w:highlight w:val="none"/>
              </w:rPr>
              <w:t>③危险废物和生活垃圾不得进入一般工业固体废物贮存场；</w:t>
            </w:r>
          </w:p>
          <w:p w14:paraId="6C7B4B19">
            <w:pPr>
              <w:ind w:firstLine="480"/>
              <w:rPr>
                <w:color w:val="auto"/>
                <w:highlight w:val="none"/>
              </w:rPr>
            </w:pPr>
            <w:r>
              <w:rPr>
                <w:rFonts w:hint="eastAsia"/>
                <w:color w:val="auto"/>
                <w:highlight w:val="none"/>
              </w:rPr>
              <w:t>④</w:t>
            </w:r>
            <w:r>
              <w:rPr>
                <w:color w:val="auto"/>
                <w:highlight w:val="none"/>
              </w:rPr>
              <w:t>项目一般固废堆放场所必须建有雨棚，不允许露天堆放，以防止雨水冲刷，雨水应通过场地四周导流渠流向雨水排放管；一般固废堆放场所地采取防渗处理，防渗层为不小于0.75m厚的粘土层（渗透系数≤10</w:t>
            </w:r>
            <w:r>
              <w:rPr>
                <w:color w:val="auto"/>
                <w:highlight w:val="none"/>
                <w:vertAlign w:val="superscript"/>
              </w:rPr>
              <w:t>-7</w:t>
            </w:r>
            <w:r>
              <w:rPr>
                <w:color w:val="auto"/>
                <w:highlight w:val="none"/>
              </w:rPr>
              <w:t>cm/s），或不小于1.5mm厚的高密度聚乙烯，采用其它人工合成材料的，其渗透性能至少相当于1.5mm厚的高密度聚乙烯膜的防渗性能，地面并刷环氧树脂防渗。</w:t>
            </w:r>
          </w:p>
          <w:p w14:paraId="3C551B30">
            <w:pPr>
              <w:ind w:firstLine="480"/>
              <w:rPr>
                <w:color w:val="auto"/>
                <w:highlight w:val="none"/>
              </w:rPr>
            </w:pPr>
            <w:r>
              <w:rPr>
                <w:rFonts w:hint="eastAsia"/>
                <w:color w:val="auto"/>
                <w:highlight w:val="none"/>
              </w:rPr>
              <w:t>⑤贮存、处置场的环境保护图形标志，应按《环境保护图形标志—固体废物贮存（处置）场》（GB15562.2-2020）文件要求设置标识。</w:t>
            </w:r>
          </w:p>
          <w:p w14:paraId="15A05566">
            <w:pPr>
              <w:ind w:firstLine="482"/>
              <w:rPr>
                <w:b/>
                <w:bCs/>
                <w:color w:val="auto"/>
                <w:highlight w:val="none"/>
              </w:rPr>
            </w:pPr>
            <w:r>
              <w:rPr>
                <w:b/>
                <w:bCs/>
                <w:color w:val="auto"/>
                <w:highlight w:val="none"/>
              </w:rPr>
              <w:t>（2）一般固废收集区日常管理要求</w:t>
            </w:r>
          </w:p>
          <w:p w14:paraId="6E6ED24E">
            <w:pPr>
              <w:ind w:firstLine="480"/>
              <w:rPr>
                <w:rFonts w:hint="eastAsia"/>
                <w:color w:val="auto"/>
                <w:highlight w:val="none"/>
              </w:rPr>
            </w:pPr>
            <w:r>
              <w:rPr>
                <w:rFonts w:hint="eastAsia"/>
                <w:color w:val="auto"/>
                <w:highlight w:val="none"/>
              </w:rPr>
              <w:t>①制定运行计划，运行管理人员应定期参加企业的岗位培训。</w:t>
            </w:r>
          </w:p>
          <w:p w14:paraId="155741AC">
            <w:pPr>
              <w:ind w:firstLine="480"/>
              <w:rPr>
                <w:rFonts w:hint="eastAsia"/>
                <w:color w:val="auto"/>
                <w:highlight w:val="none"/>
              </w:rPr>
            </w:pPr>
            <w:r>
              <w:rPr>
                <w:rFonts w:hint="eastAsia"/>
                <w:color w:val="auto"/>
                <w:highlight w:val="none"/>
              </w:rPr>
              <w:t>②建立档案管理制度，加强管理监督。</w:t>
            </w:r>
          </w:p>
          <w:p w14:paraId="6C5180CF">
            <w:pPr>
              <w:ind w:firstLine="480"/>
              <w:rPr>
                <w:rFonts w:hint="eastAsia"/>
                <w:color w:val="auto"/>
                <w:highlight w:val="none"/>
              </w:rPr>
            </w:pPr>
            <w:r>
              <w:rPr>
                <w:rFonts w:hint="eastAsia"/>
                <w:color w:val="auto"/>
                <w:highlight w:val="none"/>
              </w:rPr>
              <w:t>③定期进行检查，发现破损，应及时进行修理。</w:t>
            </w:r>
          </w:p>
          <w:p w14:paraId="6B11CB89">
            <w:pPr>
              <w:pStyle w:val="5"/>
              <w:rPr>
                <w:color w:val="auto"/>
                <w:highlight w:val="none"/>
              </w:rPr>
            </w:pPr>
            <w:r>
              <w:rPr>
                <w:rFonts w:hint="eastAsia"/>
                <w:color w:val="auto"/>
                <w:highlight w:val="none"/>
              </w:rPr>
              <w:t>（二）</w:t>
            </w:r>
            <w:r>
              <w:rPr>
                <w:color w:val="auto"/>
                <w:highlight w:val="none"/>
              </w:rPr>
              <w:t>危险废物</w:t>
            </w:r>
          </w:p>
          <w:p w14:paraId="51593D3F">
            <w:pPr>
              <w:bidi w:val="0"/>
              <w:rPr>
                <w:rFonts w:hint="eastAsia"/>
                <w:color w:val="auto"/>
                <w:highlight w:val="none"/>
              </w:rPr>
            </w:pPr>
            <w:r>
              <w:rPr>
                <w:rFonts w:hint="eastAsia"/>
                <w:color w:val="auto"/>
                <w:highlight w:val="none"/>
              </w:rPr>
              <w:t>根据《国家危险废物名录（</w:t>
            </w:r>
            <w:r>
              <w:rPr>
                <w:color w:val="auto"/>
                <w:highlight w:val="none"/>
              </w:rPr>
              <w:t>202</w:t>
            </w:r>
            <w:r>
              <w:rPr>
                <w:rFonts w:hint="eastAsia"/>
                <w:color w:val="auto"/>
                <w:highlight w:val="none"/>
                <w:lang w:val="en-US" w:eastAsia="zh-CN"/>
              </w:rPr>
              <w:t>5</w:t>
            </w:r>
            <w:r>
              <w:rPr>
                <w:rFonts w:hint="eastAsia"/>
                <w:color w:val="auto"/>
                <w:highlight w:val="none"/>
              </w:rPr>
              <w:t>年版）》</w:t>
            </w:r>
            <w:r>
              <w:rPr>
                <w:rFonts w:hint="eastAsia"/>
                <w:color w:val="auto"/>
                <w:highlight w:val="none"/>
                <w:lang w:val="en-US" w:eastAsia="zh-CN"/>
              </w:rPr>
              <w:t>中的</w:t>
            </w:r>
            <w:r>
              <w:rPr>
                <w:color w:val="auto"/>
                <w:highlight w:val="none"/>
                <w:lang w:val="en-US" w:eastAsia="zh-CN"/>
              </w:rPr>
              <w:t>危险废物豁免管理清单</w:t>
            </w:r>
            <w:r>
              <w:rPr>
                <w:rFonts w:hint="eastAsia"/>
                <w:color w:val="auto"/>
                <w:highlight w:val="none"/>
              </w:rPr>
              <w:t>，未分类收集的“废弃的含油抹布、劳保用品”全过程不按危险废物管理</w:t>
            </w:r>
            <w:r>
              <w:rPr>
                <w:rFonts w:hint="eastAsia"/>
                <w:color w:val="auto"/>
                <w:highlight w:val="none"/>
                <w:lang w:eastAsia="zh-CN"/>
              </w:rPr>
              <w:t>，</w:t>
            </w:r>
            <w:r>
              <w:rPr>
                <w:rFonts w:hint="eastAsia"/>
                <w:color w:val="auto"/>
                <w:highlight w:val="none"/>
                <w:lang w:val="en-US" w:eastAsia="zh-CN"/>
              </w:rPr>
              <w:t>因此本项目</w:t>
            </w:r>
            <w:r>
              <w:rPr>
                <w:rFonts w:hint="eastAsia"/>
                <w:color w:val="auto"/>
                <w:highlight w:val="none"/>
              </w:rPr>
              <w:t>设备维护过程产生的</w:t>
            </w:r>
            <w:r>
              <w:rPr>
                <w:rFonts w:hint="eastAsia"/>
                <w:color w:val="auto"/>
                <w:highlight w:val="none"/>
                <w:lang w:val="en-US" w:eastAsia="zh-CN"/>
              </w:rPr>
              <w:t>废含油抹布手套可混入</w:t>
            </w:r>
            <w:r>
              <w:rPr>
                <w:rFonts w:hint="eastAsia"/>
                <w:color w:val="auto"/>
                <w:highlight w:val="none"/>
              </w:rPr>
              <w:t>生活垃圾一并</w:t>
            </w:r>
            <w:r>
              <w:rPr>
                <w:rFonts w:hint="eastAsia"/>
                <w:color w:val="auto"/>
                <w:highlight w:val="none"/>
                <w:lang w:val="en-US" w:eastAsia="zh-CN"/>
              </w:rPr>
              <w:t>由环卫部门统一</w:t>
            </w:r>
            <w:r>
              <w:rPr>
                <w:rFonts w:hint="eastAsia"/>
                <w:color w:val="auto"/>
                <w:highlight w:val="none"/>
              </w:rPr>
              <w:t>处理。</w:t>
            </w:r>
          </w:p>
          <w:p w14:paraId="37003A9C">
            <w:pPr>
              <w:ind w:firstLine="480"/>
              <w:rPr>
                <w:color w:val="auto"/>
                <w:highlight w:val="none"/>
              </w:rPr>
            </w:pPr>
            <w:r>
              <w:rPr>
                <w:rFonts w:hint="eastAsia"/>
                <w:color w:val="auto"/>
                <w:highlight w:val="none"/>
              </w:rPr>
              <w:t>危险废物临时暂存于</w:t>
            </w:r>
            <w:r>
              <w:rPr>
                <w:rFonts w:hint="eastAsia"/>
                <w:color w:val="auto"/>
                <w:highlight w:val="none"/>
                <w:lang w:eastAsia="zh-CN"/>
              </w:rPr>
              <w:t>危险废物贮存间</w:t>
            </w:r>
            <w:r>
              <w:rPr>
                <w:rFonts w:hint="eastAsia"/>
                <w:color w:val="auto"/>
                <w:highlight w:val="none"/>
              </w:rPr>
              <w:t>，定期委托有资质单位外运安全处置，本评价要求建设单位根据</w:t>
            </w:r>
            <w:r>
              <w:rPr>
                <w:color w:val="auto"/>
                <w:highlight w:val="none"/>
              </w:rPr>
              <w:t>《危险废物贮存污染控制标准》</w:t>
            </w:r>
            <w:r>
              <w:rPr>
                <w:rFonts w:hint="eastAsia"/>
                <w:color w:val="auto"/>
                <w:highlight w:val="none"/>
              </w:rPr>
              <w:t>（GB 18597—2023）相关要求，于</w:t>
            </w:r>
            <w:r>
              <w:rPr>
                <w:rFonts w:hint="eastAsia"/>
                <w:color w:val="auto"/>
                <w:highlight w:val="none"/>
                <w:lang w:val="en-US" w:eastAsia="zh-CN"/>
              </w:rPr>
              <w:t>生产车间</w:t>
            </w:r>
            <w:r>
              <w:rPr>
                <w:rFonts w:hint="eastAsia"/>
                <w:color w:val="auto"/>
                <w:highlight w:val="none"/>
              </w:rPr>
              <w:t>设立</w:t>
            </w:r>
            <w:r>
              <w:rPr>
                <w:rFonts w:hint="eastAsia"/>
                <w:color w:val="auto"/>
                <w:highlight w:val="none"/>
                <w:lang w:eastAsia="zh-CN"/>
              </w:rPr>
              <w:t>危险废物贮存间</w:t>
            </w:r>
            <w:r>
              <w:rPr>
                <w:rFonts w:hint="eastAsia"/>
                <w:color w:val="auto"/>
                <w:highlight w:val="none"/>
              </w:rPr>
              <w:t xml:space="preserve">。具体要求如下： </w:t>
            </w:r>
          </w:p>
          <w:p w14:paraId="10C6ACD7">
            <w:pPr>
              <w:ind w:firstLine="482"/>
              <w:rPr>
                <w:rFonts w:hint="eastAsia"/>
                <w:b/>
                <w:bCs/>
                <w:color w:val="auto"/>
                <w:highlight w:val="none"/>
              </w:rPr>
            </w:pPr>
            <w:r>
              <w:rPr>
                <w:rFonts w:hint="eastAsia"/>
                <w:b/>
                <w:bCs/>
                <w:color w:val="auto"/>
                <w:highlight w:val="none"/>
              </w:rPr>
              <w:t>（1）</w:t>
            </w:r>
            <w:r>
              <w:rPr>
                <w:rFonts w:hint="eastAsia"/>
                <w:b/>
                <w:bCs/>
                <w:color w:val="auto"/>
                <w:highlight w:val="none"/>
                <w:lang w:eastAsia="zh-CN"/>
              </w:rPr>
              <w:t>危险废物贮存间</w:t>
            </w:r>
            <w:r>
              <w:rPr>
                <w:rFonts w:hint="eastAsia"/>
                <w:b/>
                <w:bCs/>
                <w:color w:val="auto"/>
                <w:highlight w:val="none"/>
              </w:rPr>
              <w:t xml:space="preserve">建设要求 </w:t>
            </w:r>
          </w:p>
          <w:p w14:paraId="5F3E077B">
            <w:pPr>
              <w:ind w:firstLine="480"/>
              <w:rPr>
                <w:color w:val="auto"/>
                <w:highlight w:val="none"/>
              </w:rPr>
            </w:pPr>
            <w:r>
              <w:rPr>
                <w:rFonts w:hint="eastAsia"/>
                <w:color w:val="auto"/>
                <w:highlight w:val="none"/>
              </w:rPr>
              <w:t>①</w:t>
            </w:r>
            <w:r>
              <w:rPr>
                <w:color w:val="auto"/>
                <w:highlight w:val="none"/>
              </w:rPr>
              <w:t>应根据危险废物的形态、物理化学性质、包装形式和污染物迁移途径，采取必要的防风、防晒、防雨、防漏、防渗、防腐以及其他环境污染防治措施。</w:t>
            </w:r>
          </w:p>
          <w:p w14:paraId="6A28E5C4">
            <w:pPr>
              <w:ind w:firstLine="480"/>
              <w:rPr>
                <w:color w:val="auto"/>
                <w:highlight w:val="none"/>
              </w:rPr>
            </w:pPr>
            <w:r>
              <w:rPr>
                <w:rFonts w:hint="eastAsia"/>
                <w:color w:val="auto"/>
                <w:highlight w:val="none"/>
              </w:rPr>
              <w:t>②</w:t>
            </w:r>
            <w:r>
              <w:rPr>
                <w:color w:val="auto"/>
                <w:highlight w:val="none"/>
              </w:rPr>
              <w:t xml:space="preserve">应根据危险废物的类别、数量、形态、物理化学性质和污染防治等要求设置必要的贮存分区，避免不相容的危险废物接触、混合。 </w:t>
            </w:r>
          </w:p>
          <w:p w14:paraId="6CC24668">
            <w:pPr>
              <w:ind w:firstLine="480"/>
              <w:rPr>
                <w:color w:val="auto"/>
                <w:highlight w:val="none"/>
              </w:rPr>
            </w:pPr>
            <w:r>
              <w:rPr>
                <w:rFonts w:hint="eastAsia"/>
                <w:color w:val="auto"/>
                <w:highlight w:val="none"/>
              </w:rPr>
              <w:t>③</w:t>
            </w:r>
            <w:r>
              <w:rPr>
                <w:color w:val="auto"/>
                <w:highlight w:val="none"/>
              </w:rPr>
              <w:t xml:space="preserve">地面、墙面裙脚、堵截泄漏的围堰、接触危险废物的隔板和墙体等应采用坚固的材料建造，表面无裂缝。 </w:t>
            </w:r>
          </w:p>
          <w:p w14:paraId="28528724">
            <w:pPr>
              <w:ind w:firstLine="480"/>
              <w:rPr>
                <w:color w:val="auto"/>
                <w:highlight w:val="none"/>
              </w:rPr>
            </w:pPr>
            <w:r>
              <w:rPr>
                <w:rFonts w:hint="eastAsia"/>
                <w:color w:val="auto"/>
                <w:highlight w:val="none"/>
              </w:rPr>
              <w:t>④</w:t>
            </w:r>
            <w:r>
              <w:rPr>
                <w:color w:val="auto"/>
                <w:highlight w:val="none"/>
              </w:rPr>
              <w:t>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 m厚黏土层（渗透系数不大于10</w:t>
            </w:r>
            <w:r>
              <w:rPr>
                <w:color w:val="auto"/>
                <w:highlight w:val="none"/>
                <w:vertAlign w:val="superscript"/>
              </w:rPr>
              <w:t>-7</w:t>
            </w:r>
            <w:r>
              <w:rPr>
                <w:color w:val="auto"/>
                <w:highlight w:val="none"/>
              </w:rPr>
              <w:t>cm/s），或至少2 mm厚高密度聚乙烯膜等人工防渗材料（渗透系数不大于10</w:t>
            </w:r>
            <w:r>
              <w:rPr>
                <w:color w:val="auto"/>
                <w:highlight w:val="none"/>
                <w:vertAlign w:val="superscript"/>
              </w:rPr>
              <w:t>-10</w:t>
            </w:r>
            <w:r>
              <w:rPr>
                <w:color w:val="auto"/>
                <w:highlight w:val="none"/>
              </w:rPr>
              <w:t>cm/s），或其他防渗性能等效的材料。</w:t>
            </w:r>
          </w:p>
          <w:p w14:paraId="01613F0F">
            <w:pPr>
              <w:ind w:firstLine="480"/>
              <w:rPr>
                <w:color w:val="auto"/>
                <w:highlight w:val="none"/>
              </w:rPr>
            </w:pPr>
            <w:r>
              <w:rPr>
                <w:rFonts w:hint="eastAsia"/>
                <w:color w:val="auto"/>
                <w:highlight w:val="none"/>
              </w:rPr>
              <w:t>⑤</w:t>
            </w:r>
            <w:r>
              <w:rPr>
                <w:color w:val="auto"/>
                <w:highlight w:val="none"/>
              </w:rPr>
              <w:t xml:space="preserve">宜采用相同的防渗、防腐工艺（包括防渗、防腐结构或材料），防渗、防腐材料应覆盖所有可能与废物及其渗滤液、渗漏液等接触的构筑物表面；采用不同防渗、防腐工艺应分别建设贮存分区。 </w:t>
            </w:r>
          </w:p>
          <w:p w14:paraId="247DD970">
            <w:pPr>
              <w:ind w:firstLine="480"/>
              <w:rPr>
                <w:rFonts w:hint="eastAsia"/>
                <w:color w:val="auto"/>
                <w:highlight w:val="none"/>
              </w:rPr>
            </w:pPr>
            <w:r>
              <w:rPr>
                <w:rFonts w:hint="eastAsia"/>
                <w:color w:val="auto"/>
                <w:highlight w:val="none"/>
              </w:rPr>
              <w:t>⑥</w:t>
            </w:r>
            <w:r>
              <w:rPr>
                <w:color w:val="auto"/>
                <w:highlight w:val="none"/>
              </w:rPr>
              <w:t>应采取技术和管理措施防止无关人员进入。</w:t>
            </w:r>
          </w:p>
          <w:p w14:paraId="599DCA00">
            <w:pPr>
              <w:ind w:firstLine="480"/>
              <w:rPr>
                <w:color w:val="auto"/>
                <w:highlight w:val="none"/>
              </w:rPr>
            </w:pPr>
            <w:r>
              <w:rPr>
                <w:rFonts w:hint="eastAsia"/>
                <w:color w:val="auto"/>
                <w:highlight w:val="none"/>
              </w:rPr>
              <w:t>⑦按《</w:t>
            </w:r>
            <w:r>
              <w:rPr>
                <w:color w:val="auto"/>
                <w:highlight w:val="none"/>
              </w:rPr>
              <w:t>危险废物识别标志设置技术规范</w:t>
            </w:r>
            <w:r>
              <w:rPr>
                <w:rFonts w:hint="eastAsia"/>
                <w:color w:val="auto"/>
                <w:highlight w:val="none"/>
              </w:rPr>
              <w:t>》</w:t>
            </w:r>
            <w:r>
              <w:rPr>
                <w:color w:val="auto"/>
                <w:highlight w:val="none"/>
              </w:rPr>
              <w:t>（HJ 1276-2022）</w:t>
            </w:r>
            <w:r>
              <w:rPr>
                <w:rFonts w:hint="eastAsia"/>
                <w:color w:val="auto"/>
                <w:highlight w:val="none"/>
              </w:rPr>
              <w:t xml:space="preserve">的规定设置警示标志； </w:t>
            </w:r>
          </w:p>
          <w:p w14:paraId="2CCB97BE">
            <w:pPr>
              <w:ind w:firstLine="480"/>
              <w:rPr>
                <w:color w:val="auto"/>
                <w:highlight w:val="none"/>
              </w:rPr>
            </w:pPr>
            <w:r>
              <w:rPr>
                <w:rFonts w:hint="eastAsia"/>
                <w:color w:val="auto"/>
                <w:highlight w:val="none"/>
              </w:rPr>
              <w:t xml:space="preserve">⑧配备通讯设备、安全防护服装及工具，并设有应急防护。 </w:t>
            </w:r>
          </w:p>
          <w:p w14:paraId="461CD857">
            <w:pPr>
              <w:ind w:firstLine="482"/>
              <w:rPr>
                <w:rFonts w:hint="eastAsia"/>
                <w:color w:val="auto"/>
                <w:highlight w:val="none"/>
              </w:rPr>
            </w:pPr>
            <w:r>
              <w:rPr>
                <w:rFonts w:hint="eastAsia"/>
                <w:b/>
                <w:bCs/>
                <w:color w:val="auto"/>
                <w:highlight w:val="none"/>
              </w:rPr>
              <w:t xml:space="preserve">（2）危险废物暂存环境管理要求 </w:t>
            </w:r>
          </w:p>
          <w:p w14:paraId="4F93AC57">
            <w:pPr>
              <w:ind w:firstLine="480"/>
              <w:rPr>
                <w:color w:val="auto"/>
                <w:highlight w:val="none"/>
              </w:rPr>
            </w:pPr>
            <w:r>
              <w:rPr>
                <w:rFonts w:hint="eastAsia"/>
                <w:color w:val="auto"/>
                <w:highlight w:val="none"/>
              </w:rPr>
              <w:t xml:space="preserve">①不得将不相容的废物混合或合并存放； </w:t>
            </w:r>
          </w:p>
          <w:p w14:paraId="7EE06A00">
            <w:pPr>
              <w:ind w:firstLine="480"/>
              <w:rPr>
                <w:color w:val="auto"/>
                <w:highlight w:val="none"/>
              </w:rPr>
            </w:pPr>
            <w:r>
              <w:rPr>
                <w:rFonts w:hint="eastAsia"/>
                <w:color w:val="auto"/>
                <w:highlight w:val="none"/>
              </w:rPr>
              <w:t>②必须做好危险废物情况的记录，记录上须注明危险废物的名称、来源、数量、特性和包装容器的类别，入库日期、存放库位、废物出库日期及接收单位名称，该记录应保留至少</w:t>
            </w:r>
            <w:r>
              <w:rPr>
                <w:color w:val="auto"/>
                <w:highlight w:val="none"/>
              </w:rPr>
              <w:t>3</w:t>
            </w:r>
            <w:r>
              <w:rPr>
                <w:rFonts w:hint="eastAsia"/>
                <w:color w:val="auto"/>
                <w:highlight w:val="none"/>
              </w:rPr>
              <w:t xml:space="preserve">年； </w:t>
            </w:r>
          </w:p>
          <w:p w14:paraId="3A85D13B">
            <w:pPr>
              <w:ind w:firstLine="480"/>
              <w:rPr>
                <w:color w:val="auto"/>
                <w:highlight w:val="none"/>
              </w:rPr>
            </w:pPr>
            <w:r>
              <w:rPr>
                <w:rFonts w:hint="eastAsia"/>
                <w:color w:val="auto"/>
                <w:highlight w:val="none"/>
              </w:rPr>
              <w:t xml:space="preserve">③必须定期对所贮存的危险废物包装容器及贮存设施进行检查，发现破损，应及时采取措施清理更换； </w:t>
            </w:r>
          </w:p>
          <w:p w14:paraId="6F9100BD">
            <w:pPr>
              <w:ind w:firstLine="480"/>
              <w:rPr>
                <w:rFonts w:hint="eastAsia"/>
                <w:color w:val="auto"/>
                <w:highlight w:val="none"/>
              </w:rPr>
            </w:pPr>
            <w:r>
              <w:rPr>
                <w:rFonts w:hint="eastAsia"/>
                <w:color w:val="auto"/>
                <w:highlight w:val="none"/>
              </w:rPr>
              <w:t>④与有资质单位签订委托处置协议，危险废物收集、贮存、运输严格按照《危险废物收集、贮存、运输技术规范》（</w:t>
            </w:r>
            <w:r>
              <w:rPr>
                <w:color w:val="auto"/>
                <w:highlight w:val="none"/>
              </w:rPr>
              <w:t>HJ2025-2012</w:t>
            </w:r>
            <w:r>
              <w:rPr>
                <w:rFonts w:hint="eastAsia"/>
                <w:color w:val="auto"/>
                <w:highlight w:val="none"/>
              </w:rPr>
              <w:t>）及《</w:t>
            </w:r>
            <w:r>
              <w:rPr>
                <w:color w:val="auto"/>
                <w:highlight w:val="none"/>
              </w:rPr>
              <w:t>危险废物转移管理办法</w:t>
            </w:r>
            <w:r>
              <w:rPr>
                <w:rFonts w:hint="eastAsia"/>
                <w:color w:val="auto"/>
                <w:highlight w:val="none"/>
              </w:rPr>
              <w:t>》要求执行。</w:t>
            </w:r>
          </w:p>
          <w:p w14:paraId="6F8AB00C">
            <w:pPr>
              <w:ind w:firstLine="482"/>
              <w:rPr>
                <w:rFonts w:hint="eastAsia"/>
                <w:b/>
                <w:bCs/>
                <w:color w:val="auto"/>
                <w:highlight w:val="none"/>
              </w:rPr>
            </w:pPr>
            <w:r>
              <w:rPr>
                <w:rFonts w:hint="eastAsia"/>
                <w:b/>
                <w:bCs/>
                <w:color w:val="auto"/>
                <w:highlight w:val="none"/>
              </w:rPr>
              <w:t>（3）危险废物贮存场所基本情况</w:t>
            </w:r>
          </w:p>
          <w:p w14:paraId="44CFD014">
            <w:pPr>
              <w:pStyle w:val="123"/>
              <w:ind w:firstLine="0" w:firstLineChars="0"/>
              <w:jc w:val="center"/>
              <w:rPr>
                <w:rFonts w:hint="eastAsia"/>
                <w:b/>
                <w:color w:val="auto"/>
                <w:kern w:val="0"/>
                <w:szCs w:val="24"/>
                <w:highlight w:val="none"/>
              </w:rPr>
            </w:pPr>
            <w:r>
              <w:rPr>
                <w:rFonts w:hint="eastAsia"/>
                <w:b/>
                <w:color w:val="auto"/>
                <w:kern w:val="0"/>
                <w:szCs w:val="24"/>
                <w:highlight w:val="none"/>
              </w:rPr>
              <w:t>表4.2-</w:t>
            </w:r>
            <w:r>
              <w:rPr>
                <w:rFonts w:hint="eastAsia"/>
                <w:b/>
                <w:color w:val="auto"/>
                <w:kern w:val="0"/>
                <w:szCs w:val="24"/>
                <w:highlight w:val="none"/>
                <w:lang w:val="en-US" w:eastAsia="zh-CN"/>
              </w:rPr>
              <w:t>26</w:t>
            </w:r>
            <w:r>
              <w:rPr>
                <w:rFonts w:hint="eastAsia"/>
                <w:b/>
                <w:color w:val="auto"/>
                <w:kern w:val="0"/>
                <w:szCs w:val="24"/>
                <w:highlight w:val="none"/>
              </w:rPr>
              <w:t xml:space="preserve">  </w:t>
            </w:r>
            <w:r>
              <w:rPr>
                <w:b/>
                <w:color w:val="auto"/>
                <w:kern w:val="0"/>
                <w:szCs w:val="24"/>
                <w:highlight w:val="none"/>
              </w:rPr>
              <w:t>本项目危险废物贮存场所（设施）基本情况表</w:t>
            </w:r>
          </w:p>
          <w:tbl>
            <w:tblPr>
              <w:tblStyle w:val="27"/>
              <w:tblW w:w="847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72"/>
              <w:gridCol w:w="1292"/>
              <w:gridCol w:w="976"/>
              <w:gridCol w:w="795"/>
              <w:gridCol w:w="1227"/>
              <w:gridCol w:w="581"/>
              <w:gridCol w:w="688"/>
              <w:gridCol w:w="681"/>
              <w:gridCol w:w="682"/>
              <w:gridCol w:w="681"/>
            </w:tblGrid>
            <w:tr w14:paraId="3AD868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02" w:hRule="atLeast"/>
                <w:jc w:val="center"/>
              </w:trPr>
              <w:tc>
                <w:tcPr>
                  <w:tcW w:w="872" w:type="dxa"/>
                  <w:noWrap w:val="0"/>
                  <w:vAlign w:val="center"/>
                </w:tcPr>
                <w:p w14:paraId="1A56A052">
                  <w:pPr>
                    <w:spacing w:line="340" w:lineRule="exact"/>
                    <w:ind w:firstLine="0" w:firstLineChars="0"/>
                    <w:jc w:val="center"/>
                    <w:rPr>
                      <w:rFonts w:hint="eastAsia"/>
                      <w:b/>
                      <w:bCs/>
                      <w:color w:val="auto"/>
                      <w:sz w:val="21"/>
                      <w:szCs w:val="21"/>
                      <w:highlight w:val="none"/>
                      <w:lang w:bidi="ar"/>
                    </w:rPr>
                  </w:pPr>
                  <w:r>
                    <w:rPr>
                      <w:rFonts w:hint="eastAsia"/>
                      <w:b/>
                      <w:bCs/>
                      <w:color w:val="auto"/>
                      <w:sz w:val="21"/>
                      <w:szCs w:val="21"/>
                      <w:highlight w:val="none"/>
                      <w:lang w:bidi="ar"/>
                    </w:rPr>
                    <w:t>贮存场所名称</w:t>
                  </w:r>
                </w:p>
              </w:tc>
              <w:tc>
                <w:tcPr>
                  <w:tcW w:w="1292" w:type="dxa"/>
                  <w:noWrap w:val="0"/>
                  <w:vAlign w:val="center"/>
                </w:tcPr>
                <w:p w14:paraId="0AC21196">
                  <w:pPr>
                    <w:spacing w:line="340" w:lineRule="exact"/>
                    <w:ind w:firstLine="0" w:firstLineChars="0"/>
                    <w:jc w:val="center"/>
                    <w:rPr>
                      <w:rFonts w:hint="eastAsia"/>
                      <w:b/>
                      <w:bCs/>
                      <w:color w:val="auto"/>
                      <w:sz w:val="21"/>
                      <w:szCs w:val="21"/>
                      <w:highlight w:val="none"/>
                      <w:lang w:bidi="ar"/>
                    </w:rPr>
                  </w:pPr>
                  <w:r>
                    <w:rPr>
                      <w:rFonts w:hint="eastAsia"/>
                      <w:b/>
                      <w:bCs/>
                      <w:color w:val="auto"/>
                      <w:sz w:val="21"/>
                      <w:szCs w:val="21"/>
                      <w:highlight w:val="none"/>
                      <w:lang w:bidi="ar"/>
                    </w:rPr>
                    <w:t>危险废物名称</w:t>
                  </w:r>
                </w:p>
              </w:tc>
              <w:tc>
                <w:tcPr>
                  <w:tcW w:w="976" w:type="dxa"/>
                  <w:noWrap w:val="0"/>
                  <w:vAlign w:val="center"/>
                </w:tcPr>
                <w:p w14:paraId="70347C47">
                  <w:pPr>
                    <w:spacing w:line="340" w:lineRule="exact"/>
                    <w:ind w:firstLine="0" w:firstLineChars="0"/>
                    <w:jc w:val="center"/>
                    <w:rPr>
                      <w:b/>
                      <w:bCs/>
                      <w:color w:val="auto"/>
                      <w:sz w:val="21"/>
                      <w:szCs w:val="21"/>
                      <w:highlight w:val="none"/>
                      <w:lang w:bidi="ar"/>
                    </w:rPr>
                  </w:pPr>
                  <w:r>
                    <w:rPr>
                      <w:rFonts w:hint="eastAsia"/>
                      <w:b/>
                      <w:bCs/>
                      <w:color w:val="auto"/>
                      <w:sz w:val="21"/>
                      <w:szCs w:val="21"/>
                      <w:highlight w:val="none"/>
                      <w:lang w:bidi="ar"/>
                    </w:rPr>
                    <w:t>产生量（t/a）</w:t>
                  </w:r>
                </w:p>
              </w:tc>
              <w:tc>
                <w:tcPr>
                  <w:tcW w:w="795" w:type="dxa"/>
                  <w:noWrap w:val="0"/>
                  <w:vAlign w:val="center"/>
                </w:tcPr>
                <w:p w14:paraId="73D67238">
                  <w:pPr>
                    <w:spacing w:line="340" w:lineRule="exact"/>
                    <w:ind w:firstLine="0" w:firstLineChars="0"/>
                    <w:jc w:val="center"/>
                    <w:rPr>
                      <w:rFonts w:hint="eastAsia"/>
                      <w:b/>
                      <w:bCs/>
                      <w:color w:val="auto"/>
                      <w:sz w:val="21"/>
                      <w:szCs w:val="21"/>
                      <w:highlight w:val="none"/>
                      <w:lang w:bidi="ar"/>
                    </w:rPr>
                  </w:pPr>
                  <w:r>
                    <w:rPr>
                      <w:rFonts w:hint="eastAsia"/>
                      <w:b/>
                      <w:bCs/>
                      <w:color w:val="auto"/>
                      <w:sz w:val="21"/>
                      <w:szCs w:val="21"/>
                      <w:highlight w:val="none"/>
                      <w:lang w:bidi="ar"/>
                    </w:rPr>
                    <w:t>危废类别</w:t>
                  </w:r>
                </w:p>
              </w:tc>
              <w:tc>
                <w:tcPr>
                  <w:tcW w:w="1227" w:type="dxa"/>
                  <w:noWrap w:val="0"/>
                  <w:vAlign w:val="center"/>
                </w:tcPr>
                <w:p w14:paraId="2183591A">
                  <w:pPr>
                    <w:spacing w:line="340" w:lineRule="exact"/>
                    <w:ind w:firstLine="0" w:firstLineChars="0"/>
                    <w:jc w:val="center"/>
                    <w:rPr>
                      <w:rFonts w:hint="eastAsia"/>
                      <w:b/>
                      <w:bCs/>
                      <w:color w:val="auto"/>
                      <w:sz w:val="21"/>
                      <w:szCs w:val="21"/>
                      <w:highlight w:val="none"/>
                      <w:lang w:bidi="ar"/>
                    </w:rPr>
                  </w:pPr>
                  <w:r>
                    <w:rPr>
                      <w:rFonts w:hint="eastAsia"/>
                      <w:b/>
                      <w:bCs/>
                      <w:color w:val="auto"/>
                      <w:sz w:val="21"/>
                      <w:szCs w:val="21"/>
                      <w:highlight w:val="none"/>
                      <w:lang w:bidi="ar"/>
                    </w:rPr>
                    <w:t>危废代码</w:t>
                  </w:r>
                </w:p>
              </w:tc>
              <w:tc>
                <w:tcPr>
                  <w:tcW w:w="581" w:type="dxa"/>
                  <w:noWrap w:val="0"/>
                  <w:vAlign w:val="center"/>
                </w:tcPr>
                <w:p w14:paraId="66523D61">
                  <w:pPr>
                    <w:spacing w:line="340" w:lineRule="exact"/>
                    <w:ind w:firstLine="0" w:firstLineChars="0"/>
                    <w:jc w:val="center"/>
                    <w:rPr>
                      <w:rFonts w:hint="eastAsia"/>
                      <w:b/>
                      <w:bCs/>
                      <w:color w:val="auto"/>
                      <w:sz w:val="21"/>
                      <w:szCs w:val="21"/>
                      <w:highlight w:val="none"/>
                      <w:lang w:bidi="ar"/>
                    </w:rPr>
                  </w:pPr>
                  <w:r>
                    <w:rPr>
                      <w:rFonts w:hint="eastAsia"/>
                      <w:b/>
                      <w:bCs/>
                      <w:color w:val="auto"/>
                      <w:sz w:val="21"/>
                      <w:szCs w:val="21"/>
                      <w:highlight w:val="none"/>
                      <w:lang w:bidi="ar"/>
                    </w:rPr>
                    <w:t>位置</w:t>
                  </w:r>
                </w:p>
              </w:tc>
              <w:tc>
                <w:tcPr>
                  <w:tcW w:w="688" w:type="dxa"/>
                  <w:noWrap w:val="0"/>
                  <w:vAlign w:val="center"/>
                </w:tcPr>
                <w:p w14:paraId="5BD43BB0">
                  <w:pPr>
                    <w:spacing w:line="340" w:lineRule="exact"/>
                    <w:ind w:firstLine="0" w:firstLineChars="0"/>
                    <w:jc w:val="center"/>
                    <w:rPr>
                      <w:rFonts w:hint="eastAsia"/>
                      <w:b/>
                      <w:bCs/>
                      <w:color w:val="auto"/>
                      <w:sz w:val="21"/>
                      <w:szCs w:val="21"/>
                      <w:highlight w:val="none"/>
                      <w:lang w:bidi="ar"/>
                    </w:rPr>
                  </w:pPr>
                  <w:r>
                    <w:rPr>
                      <w:rFonts w:hint="eastAsia"/>
                      <w:b/>
                      <w:bCs/>
                      <w:color w:val="auto"/>
                      <w:sz w:val="21"/>
                      <w:szCs w:val="21"/>
                      <w:highlight w:val="none"/>
                      <w:lang w:bidi="ar"/>
                    </w:rPr>
                    <w:t>占地规模</w:t>
                  </w:r>
                </w:p>
              </w:tc>
              <w:tc>
                <w:tcPr>
                  <w:tcW w:w="681" w:type="dxa"/>
                  <w:noWrap w:val="0"/>
                  <w:vAlign w:val="center"/>
                </w:tcPr>
                <w:p w14:paraId="79960E9E">
                  <w:pPr>
                    <w:spacing w:line="340" w:lineRule="exact"/>
                    <w:ind w:firstLine="0" w:firstLineChars="0"/>
                    <w:jc w:val="center"/>
                    <w:rPr>
                      <w:rFonts w:hint="eastAsia"/>
                      <w:b/>
                      <w:bCs/>
                      <w:color w:val="auto"/>
                      <w:sz w:val="21"/>
                      <w:szCs w:val="21"/>
                      <w:highlight w:val="none"/>
                      <w:lang w:bidi="ar"/>
                    </w:rPr>
                  </w:pPr>
                  <w:r>
                    <w:rPr>
                      <w:rFonts w:hint="eastAsia"/>
                      <w:b/>
                      <w:bCs/>
                      <w:color w:val="auto"/>
                      <w:sz w:val="21"/>
                      <w:szCs w:val="21"/>
                      <w:highlight w:val="none"/>
                      <w:lang w:bidi="ar"/>
                    </w:rPr>
                    <w:t>存储方式</w:t>
                  </w:r>
                </w:p>
              </w:tc>
              <w:tc>
                <w:tcPr>
                  <w:tcW w:w="682" w:type="dxa"/>
                  <w:noWrap w:val="0"/>
                  <w:vAlign w:val="center"/>
                </w:tcPr>
                <w:p w14:paraId="207D30AF">
                  <w:pPr>
                    <w:spacing w:line="340" w:lineRule="exact"/>
                    <w:ind w:firstLine="0" w:firstLineChars="0"/>
                    <w:jc w:val="center"/>
                    <w:rPr>
                      <w:rFonts w:hint="eastAsia"/>
                      <w:b/>
                      <w:bCs/>
                      <w:color w:val="auto"/>
                      <w:sz w:val="21"/>
                      <w:szCs w:val="21"/>
                      <w:highlight w:val="none"/>
                      <w:lang w:bidi="ar"/>
                    </w:rPr>
                  </w:pPr>
                  <w:r>
                    <w:rPr>
                      <w:rFonts w:hint="eastAsia"/>
                      <w:b/>
                      <w:bCs/>
                      <w:color w:val="auto"/>
                      <w:sz w:val="21"/>
                      <w:szCs w:val="21"/>
                      <w:highlight w:val="none"/>
                      <w:lang w:bidi="ar"/>
                    </w:rPr>
                    <w:t>储存能力</w:t>
                  </w:r>
                </w:p>
              </w:tc>
              <w:tc>
                <w:tcPr>
                  <w:tcW w:w="681" w:type="dxa"/>
                  <w:noWrap w:val="0"/>
                  <w:vAlign w:val="center"/>
                </w:tcPr>
                <w:p w14:paraId="683F864D">
                  <w:pPr>
                    <w:spacing w:line="340" w:lineRule="exact"/>
                    <w:ind w:firstLine="0" w:firstLineChars="0"/>
                    <w:jc w:val="center"/>
                    <w:rPr>
                      <w:rFonts w:hint="eastAsia"/>
                      <w:b/>
                      <w:bCs/>
                      <w:color w:val="auto"/>
                      <w:sz w:val="21"/>
                      <w:szCs w:val="21"/>
                      <w:highlight w:val="none"/>
                      <w:lang w:bidi="ar"/>
                    </w:rPr>
                  </w:pPr>
                  <w:r>
                    <w:rPr>
                      <w:rFonts w:hint="eastAsia"/>
                      <w:b/>
                      <w:bCs/>
                      <w:color w:val="auto"/>
                      <w:sz w:val="21"/>
                      <w:szCs w:val="21"/>
                      <w:highlight w:val="none"/>
                      <w:lang w:bidi="ar"/>
                    </w:rPr>
                    <w:t>存储周期</w:t>
                  </w:r>
                </w:p>
              </w:tc>
            </w:tr>
            <w:tr w14:paraId="28FF80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872" w:type="dxa"/>
                  <w:vMerge w:val="restart"/>
                  <w:noWrap w:val="0"/>
                  <w:vAlign w:val="center"/>
                </w:tcPr>
                <w:p w14:paraId="49343CC2">
                  <w:pPr>
                    <w:spacing w:line="340" w:lineRule="exact"/>
                    <w:ind w:firstLine="0" w:firstLineChars="0"/>
                    <w:jc w:val="center"/>
                    <w:rPr>
                      <w:rFonts w:hint="eastAsia" w:eastAsia="宋体"/>
                      <w:color w:val="auto"/>
                      <w:sz w:val="21"/>
                      <w:szCs w:val="21"/>
                      <w:highlight w:val="none"/>
                      <w:lang w:eastAsia="zh-CN" w:bidi="ar"/>
                    </w:rPr>
                  </w:pPr>
                  <w:r>
                    <w:rPr>
                      <w:rFonts w:hint="eastAsia"/>
                      <w:color w:val="auto"/>
                      <w:sz w:val="21"/>
                      <w:szCs w:val="21"/>
                      <w:highlight w:val="none"/>
                      <w:lang w:eastAsia="zh-CN" w:bidi="ar"/>
                    </w:rPr>
                    <w:t>危险废物贮存间</w:t>
                  </w:r>
                </w:p>
              </w:tc>
              <w:tc>
                <w:tcPr>
                  <w:tcW w:w="1292" w:type="dxa"/>
                  <w:noWrap w:val="0"/>
                  <w:vAlign w:val="center"/>
                </w:tcPr>
                <w:p w14:paraId="5737C3A5">
                  <w:pPr>
                    <w:spacing w:line="340" w:lineRule="exact"/>
                    <w:ind w:firstLine="0" w:firstLineChars="0"/>
                    <w:jc w:val="center"/>
                    <w:rPr>
                      <w:rFonts w:hint="default" w:eastAsia="宋体"/>
                      <w:color w:val="auto"/>
                      <w:sz w:val="21"/>
                      <w:szCs w:val="21"/>
                      <w:highlight w:val="none"/>
                      <w:lang w:val="en-US" w:eastAsia="zh-CN" w:bidi="ar"/>
                    </w:rPr>
                  </w:pPr>
                  <w:r>
                    <w:rPr>
                      <w:rFonts w:hint="eastAsia"/>
                      <w:color w:val="auto"/>
                      <w:sz w:val="21"/>
                      <w:szCs w:val="21"/>
                      <w:highlight w:val="none"/>
                      <w:lang w:val="en-US" w:eastAsia="zh-CN" w:bidi="ar"/>
                    </w:rPr>
                    <w:t>废导热油</w:t>
                  </w:r>
                </w:p>
              </w:tc>
              <w:tc>
                <w:tcPr>
                  <w:tcW w:w="976" w:type="dxa"/>
                  <w:noWrap w:val="0"/>
                  <w:vAlign w:val="center"/>
                </w:tcPr>
                <w:p w14:paraId="186E6F08">
                  <w:pPr>
                    <w:spacing w:line="340" w:lineRule="exact"/>
                    <w:ind w:firstLine="0" w:firstLineChars="0"/>
                    <w:jc w:val="center"/>
                    <w:rPr>
                      <w:rFonts w:hint="default" w:eastAsia="宋体"/>
                      <w:color w:val="auto"/>
                      <w:sz w:val="21"/>
                      <w:szCs w:val="21"/>
                      <w:highlight w:val="none"/>
                      <w:lang w:val="en-US" w:eastAsia="zh-CN" w:bidi="ar"/>
                    </w:rPr>
                  </w:pPr>
                  <w:r>
                    <w:rPr>
                      <w:rFonts w:hint="eastAsia"/>
                      <w:color w:val="auto"/>
                      <w:sz w:val="21"/>
                      <w:szCs w:val="21"/>
                      <w:highlight w:val="none"/>
                      <w:lang w:val="en-US" w:eastAsia="zh-CN" w:bidi="ar"/>
                    </w:rPr>
                    <w:t>6</w:t>
                  </w:r>
                </w:p>
              </w:tc>
              <w:tc>
                <w:tcPr>
                  <w:tcW w:w="795" w:type="dxa"/>
                  <w:noWrap w:val="0"/>
                  <w:vAlign w:val="center"/>
                </w:tcPr>
                <w:p w14:paraId="1CB33E9A">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HW08</w:t>
                  </w:r>
                </w:p>
              </w:tc>
              <w:tc>
                <w:tcPr>
                  <w:tcW w:w="1227" w:type="dxa"/>
                  <w:noWrap w:val="0"/>
                  <w:vAlign w:val="center"/>
                </w:tcPr>
                <w:p w14:paraId="7B2B2E08">
                  <w:pPr>
                    <w:spacing w:line="340" w:lineRule="exact"/>
                    <w:ind w:firstLine="0" w:firstLineChars="0"/>
                    <w:jc w:val="center"/>
                    <w:rPr>
                      <w:color w:val="auto"/>
                      <w:sz w:val="21"/>
                      <w:szCs w:val="21"/>
                      <w:highlight w:val="none"/>
                      <w:lang w:bidi="ar"/>
                    </w:rPr>
                  </w:pPr>
                  <w:r>
                    <w:rPr>
                      <w:rFonts w:hint="eastAsia"/>
                      <w:color w:val="auto"/>
                      <w:sz w:val="21"/>
                      <w:szCs w:val="21"/>
                      <w:highlight w:val="none"/>
                      <w:lang w:bidi="ar"/>
                    </w:rPr>
                    <w:t>900-</w:t>
                  </w:r>
                  <w:r>
                    <w:rPr>
                      <w:rFonts w:hint="eastAsia"/>
                      <w:color w:val="auto"/>
                      <w:sz w:val="21"/>
                      <w:szCs w:val="21"/>
                      <w:highlight w:val="none"/>
                      <w:lang w:val="en-US" w:eastAsia="zh-CN" w:bidi="ar"/>
                    </w:rPr>
                    <w:t>249</w:t>
                  </w:r>
                  <w:r>
                    <w:rPr>
                      <w:rFonts w:hint="eastAsia"/>
                      <w:color w:val="auto"/>
                      <w:sz w:val="21"/>
                      <w:szCs w:val="21"/>
                      <w:highlight w:val="none"/>
                      <w:lang w:bidi="ar"/>
                    </w:rPr>
                    <w:t>-08</w:t>
                  </w:r>
                </w:p>
              </w:tc>
              <w:tc>
                <w:tcPr>
                  <w:tcW w:w="581" w:type="dxa"/>
                  <w:vMerge w:val="restart"/>
                  <w:noWrap w:val="0"/>
                  <w:vAlign w:val="center"/>
                </w:tcPr>
                <w:p w14:paraId="4A3F352B">
                  <w:pPr>
                    <w:spacing w:line="340" w:lineRule="exact"/>
                    <w:ind w:firstLine="0" w:firstLineChars="0"/>
                    <w:jc w:val="center"/>
                    <w:rPr>
                      <w:rFonts w:hint="eastAsia" w:eastAsia="宋体"/>
                      <w:color w:val="auto"/>
                      <w:sz w:val="21"/>
                      <w:szCs w:val="21"/>
                      <w:highlight w:val="none"/>
                      <w:lang w:eastAsia="zh-CN" w:bidi="ar"/>
                    </w:rPr>
                  </w:pPr>
                  <w:r>
                    <w:rPr>
                      <w:rFonts w:hint="eastAsia"/>
                      <w:color w:val="auto"/>
                      <w:sz w:val="21"/>
                      <w:szCs w:val="21"/>
                      <w:highlight w:val="none"/>
                      <w:lang w:val="en-US" w:eastAsia="zh-CN" w:bidi="ar"/>
                    </w:rPr>
                    <w:t>生产车间</w:t>
                  </w:r>
                </w:p>
              </w:tc>
              <w:tc>
                <w:tcPr>
                  <w:tcW w:w="688" w:type="dxa"/>
                  <w:vMerge w:val="restart"/>
                  <w:noWrap w:val="0"/>
                  <w:vAlign w:val="center"/>
                </w:tcPr>
                <w:p w14:paraId="277EE2A4">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val="en-US" w:eastAsia="zh-CN" w:bidi="ar"/>
                    </w:rPr>
                    <w:t>20</w:t>
                  </w:r>
                  <w:r>
                    <w:rPr>
                      <w:rFonts w:hint="eastAsia"/>
                      <w:color w:val="auto"/>
                      <w:sz w:val="21"/>
                      <w:szCs w:val="21"/>
                      <w:highlight w:val="none"/>
                      <w:lang w:bidi="ar"/>
                    </w:rPr>
                    <w:t>m</w:t>
                  </w:r>
                  <w:r>
                    <w:rPr>
                      <w:color w:val="auto"/>
                      <w:sz w:val="21"/>
                      <w:szCs w:val="21"/>
                      <w:highlight w:val="none"/>
                      <w:vertAlign w:val="superscript"/>
                      <w:lang w:bidi="ar"/>
                    </w:rPr>
                    <w:t>2</w:t>
                  </w:r>
                </w:p>
              </w:tc>
              <w:tc>
                <w:tcPr>
                  <w:tcW w:w="681" w:type="dxa"/>
                  <w:vMerge w:val="restart"/>
                  <w:noWrap w:val="0"/>
                  <w:vAlign w:val="center"/>
                </w:tcPr>
                <w:p w14:paraId="161E90F7">
                  <w:pPr>
                    <w:spacing w:line="340" w:lineRule="exact"/>
                    <w:ind w:firstLine="0" w:firstLineChars="0"/>
                    <w:jc w:val="center"/>
                    <w:rPr>
                      <w:color w:val="auto"/>
                      <w:sz w:val="21"/>
                      <w:szCs w:val="21"/>
                      <w:highlight w:val="none"/>
                      <w:lang w:bidi="ar"/>
                    </w:rPr>
                  </w:pPr>
                  <w:r>
                    <w:rPr>
                      <w:rFonts w:hint="eastAsia"/>
                      <w:color w:val="auto"/>
                      <w:sz w:val="21"/>
                      <w:szCs w:val="21"/>
                      <w:highlight w:val="none"/>
                      <w:lang w:bidi="ar"/>
                    </w:rPr>
                    <w:t>存储容器中</w:t>
                  </w:r>
                </w:p>
              </w:tc>
              <w:tc>
                <w:tcPr>
                  <w:tcW w:w="682" w:type="dxa"/>
                  <w:vMerge w:val="restart"/>
                  <w:noWrap w:val="0"/>
                  <w:vAlign w:val="center"/>
                </w:tcPr>
                <w:p w14:paraId="57DCB596">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val="en-US" w:eastAsia="zh-CN" w:bidi="ar"/>
                    </w:rPr>
                    <w:t>10</w:t>
                  </w:r>
                  <w:r>
                    <w:rPr>
                      <w:rFonts w:hint="eastAsia"/>
                      <w:color w:val="auto"/>
                      <w:sz w:val="21"/>
                      <w:szCs w:val="21"/>
                      <w:highlight w:val="none"/>
                      <w:lang w:bidi="ar"/>
                    </w:rPr>
                    <w:t>t</w:t>
                  </w:r>
                </w:p>
              </w:tc>
              <w:tc>
                <w:tcPr>
                  <w:tcW w:w="681" w:type="dxa"/>
                  <w:vMerge w:val="restart"/>
                  <w:noWrap w:val="0"/>
                  <w:vAlign w:val="center"/>
                </w:tcPr>
                <w:p w14:paraId="40EBEADA">
                  <w:pPr>
                    <w:spacing w:line="340" w:lineRule="exact"/>
                    <w:ind w:firstLine="0" w:firstLineChars="0"/>
                    <w:jc w:val="center"/>
                    <w:rPr>
                      <w:rFonts w:hint="default"/>
                      <w:color w:val="auto"/>
                      <w:sz w:val="21"/>
                      <w:szCs w:val="21"/>
                      <w:highlight w:val="none"/>
                      <w:lang w:val="en-US" w:bidi="ar"/>
                    </w:rPr>
                  </w:pPr>
                  <w:r>
                    <w:rPr>
                      <w:rFonts w:hint="eastAsia"/>
                      <w:color w:val="auto"/>
                      <w:sz w:val="21"/>
                      <w:szCs w:val="21"/>
                      <w:highlight w:val="none"/>
                      <w:lang w:val="en-US" w:eastAsia="zh-CN" w:bidi="ar"/>
                    </w:rPr>
                    <w:t>3个月</w:t>
                  </w:r>
                </w:p>
              </w:tc>
            </w:tr>
            <w:tr w14:paraId="4C1E79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872" w:type="dxa"/>
                  <w:vMerge w:val="continue"/>
                  <w:noWrap w:val="0"/>
                  <w:vAlign w:val="center"/>
                </w:tcPr>
                <w:p w14:paraId="1D086558">
                  <w:pPr>
                    <w:spacing w:line="340" w:lineRule="exact"/>
                    <w:ind w:firstLine="0" w:firstLineChars="0"/>
                    <w:jc w:val="center"/>
                    <w:rPr>
                      <w:rFonts w:hint="eastAsia"/>
                      <w:color w:val="auto"/>
                      <w:sz w:val="21"/>
                      <w:szCs w:val="21"/>
                      <w:highlight w:val="none"/>
                      <w:lang w:bidi="ar"/>
                    </w:rPr>
                  </w:pPr>
                </w:p>
              </w:tc>
              <w:tc>
                <w:tcPr>
                  <w:tcW w:w="1292" w:type="dxa"/>
                  <w:noWrap w:val="0"/>
                  <w:vAlign w:val="center"/>
                </w:tcPr>
                <w:p w14:paraId="1A53E382">
                  <w:pPr>
                    <w:spacing w:line="340" w:lineRule="exact"/>
                    <w:ind w:firstLine="0" w:firstLineChars="0"/>
                    <w:jc w:val="center"/>
                    <w:rPr>
                      <w:rFonts w:hint="eastAsia" w:eastAsia="宋体"/>
                      <w:color w:val="auto"/>
                      <w:sz w:val="21"/>
                      <w:szCs w:val="21"/>
                      <w:highlight w:val="none"/>
                      <w:lang w:eastAsia="zh-CN" w:bidi="ar"/>
                    </w:rPr>
                  </w:pPr>
                  <w:r>
                    <w:rPr>
                      <w:rFonts w:hint="eastAsia"/>
                      <w:color w:val="auto"/>
                      <w:sz w:val="21"/>
                      <w:szCs w:val="21"/>
                      <w:highlight w:val="none"/>
                      <w:lang w:bidi="ar"/>
                    </w:rPr>
                    <w:t>废机油</w:t>
                  </w:r>
                </w:p>
              </w:tc>
              <w:tc>
                <w:tcPr>
                  <w:tcW w:w="976" w:type="dxa"/>
                  <w:noWrap w:val="0"/>
                  <w:vAlign w:val="center"/>
                </w:tcPr>
                <w:p w14:paraId="0A4F9707">
                  <w:pPr>
                    <w:spacing w:line="340" w:lineRule="exact"/>
                    <w:ind w:firstLine="0" w:firstLineChars="0"/>
                    <w:jc w:val="center"/>
                    <w:rPr>
                      <w:rFonts w:hint="eastAsia" w:eastAsia="宋体"/>
                      <w:color w:val="auto"/>
                      <w:sz w:val="21"/>
                      <w:szCs w:val="21"/>
                      <w:highlight w:val="none"/>
                      <w:lang w:val="en-US" w:eastAsia="zh-CN" w:bidi="ar"/>
                    </w:rPr>
                  </w:pPr>
                  <w:r>
                    <w:rPr>
                      <w:rFonts w:hint="eastAsia"/>
                      <w:color w:val="auto"/>
                      <w:sz w:val="21"/>
                      <w:szCs w:val="21"/>
                      <w:highlight w:val="none"/>
                      <w:lang w:bidi="ar"/>
                    </w:rPr>
                    <w:t>0.</w:t>
                  </w:r>
                  <w:r>
                    <w:rPr>
                      <w:rFonts w:hint="eastAsia"/>
                      <w:color w:val="auto"/>
                      <w:sz w:val="21"/>
                      <w:szCs w:val="21"/>
                      <w:highlight w:val="none"/>
                      <w:lang w:val="en-US" w:eastAsia="zh-CN" w:bidi="ar"/>
                    </w:rPr>
                    <w:t>6</w:t>
                  </w:r>
                </w:p>
              </w:tc>
              <w:tc>
                <w:tcPr>
                  <w:tcW w:w="795" w:type="dxa"/>
                  <w:noWrap w:val="0"/>
                  <w:vAlign w:val="center"/>
                </w:tcPr>
                <w:p w14:paraId="345F80A6">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HW08</w:t>
                  </w:r>
                </w:p>
              </w:tc>
              <w:tc>
                <w:tcPr>
                  <w:tcW w:w="1227" w:type="dxa"/>
                  <w:noWrap w:val="0"/>
                  <w:vAlign w:val="center"/>
                </w:tcPr>
                <w:p w14:paraId="1422C8A8">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900-21</w:t>
                  </w:r>
                  <w:r>
                    <w:rPr>
                      <w:rFonts w:hint="eastAsia"/>
                      <w:color w:val="auto"/>
                      <w:sz w:val="21"/>
                      <w:szCs w:val="21"/>
                      <w:highlight w:val="none"/>
                      <w:lang w:val="en-US" w:eastAsia="zh-CN" w:bidi="ar"/>
                    </w:rPr>
                    <w:t>4</w:t>
                  </w:r>
                  <w:r>
                    <w:rPr>
                      <w:rFonts w:hint="eastAsia"/>
                      <w:color w:val="auto"/>
                      <w:sz w:val="21"/>
                      <w:szCs w:val="21"/>
                      <w:highlight w:val="none"/>
                      <w:lang w:bidi="ar"/>
                    </w:rPr>
                    <w:t>-08</w:t>
                  </w:r>
                </w:p>
              </w:tc>
              <w:tc>
                <w:tcPr>
                  <w:tcW w:w="581" w:type="dxa"/>
                  <w:vMerge w:val="continue"/>
                  <w:noWrap w:val="0"/>
                  <w:vAlign w:val="center"/>
                </w:tcPr>
                <w:p w14:paraId="43312408">
                  <w:pPr>
                    <w:spacing w:line="340" w:lineRule="exact"/>
                    <w:ind w:firstLine="0" w:firstLineChars="0"/>
                    <w:jc w:val="center"/>
                    <w:rPr>
                      <w:rFonts w:hint="eastAsia"/>
                      <w:color w:val="auto"/>
                      <w:sz w:val="21"/>
                      <w:szCs w:val="21"/>
                      <w:highlight w:val="none"/>
                      <w:lang w:bidi="ar"/>
                    </w:rPr>
                  </w:pPr>
                </w:p>
              </w:tc>
              <w:tc>
                <w:tcPr>
                  <w:tcW w:w="688" w:type="dxa"/>
                  <w:vMerge w:val="continue"/>
                  <w:noWrap w:val="0"/>
                  <w:vAlign w:val="center"/>
                </w:tcPr>
                <w:p w14:paraId="3AB4F5ED">
                  <w:pPr>
                    <w:spacing w:line="340" w:lineRule="exact"/>
                    <w:ind w:firstLine="0" w:firstLineChars="0"/>
                    <w:jc w:val="center"/>
                    <w:rPr>
                      <w:rFonts w:hint="eastAsia"/>
                      <w:color w:val="auto"/>
                      <w:sz w:val="21"/>
                      <w:szCs w:val="21"/>
                      <w:highlight w:val="none"/>
                      <w:lang w:bidi="ar"/>
                    </w:rPr>
                  </w:pPr>
                </w:p>
              </w:tc>
              <w:tc>
                <w:tcPr>
                  <w:tcW w:w="681" w:type="dxa"/>
                  <w:vMerge w:val="continue"/>
                  <w:noWrap w:val="0"/>
                  <w:vAlign w:val="center"/>
                </w:tcPr>
                <w:p w14:paraId="692C679B">
                  <w:pPr>
                    <w:spacing w:line="340" w:lineRule="exact"/>
                    <w:ind w:firstLine="0" w:firstLineChars="0"/>
                    <w:jc w:val="center"/>
                    <w:rPr>
                      <w:rFonts w:hint="eastAsia"/>
                      <w:color w:val="auto"/>
                      <w:sz w:val="21"/>
                      <w:szCs w:val="21"/>
                      <w:highlight w:val="none"/>
                      <w:lang w:bidi="ar"/>
                    </w:rPr>
                  </w:pPr>
                </w:p>
              </w:tc>
              <w:tc>
                <w:tcPr>
                  <w:tcW w:w="682" w:type="dxa"/>
                  <w:vMerge w:val="continue"/>
                  <w:noWrap w:val="0"/>
                  <w:vAlign w:val="center"/>
                </w:tcPr>
                <w:p w14:paraId="319341CA">
                  <w:pPr>
                    <w:spacing w:line="340" w:lineRule="exact"/>
                    <w:ind w:firstLine="0" w:firstLineChars="0"/>
                    <w:jc w:val="center"/>
                    <w:rPr>
                      <w:rFonts w:hint="eastAsia"/>
                      <w:color w:val="auto"/>
                      <w:sz w:val="21"/>
                      <w:szCs w:val="21"/>
                      <w:highlight w:val="none"/>
                      <w:lang w:bidi="ar"/>
                    </w:rPr>
                  </w:pPr>
                </w:p>
              </w:tc>
              <w:tc>
                <w:tcPr>
                  <w:tcW w:w="681" w:type="dxa"/>
                  <w:vMerge w:val="continue"/>
                  <w:noWrap w:val="0"/>
                  <w:vAlign w:val="center"/>
                </w:tcPr>
                <w:p w14:paraId="4C01ECC4">
                  <w:pPr>
                    <w:spacing w:line="340" w:lineRule="exact"/>
                    <w:ind w:firstLine="0" w:firstLineChars="0"/>
                    <w:jc w:val="center"/>
                    <w:rPr>
                      <w:rFonts w:hint="eastAsia"/>
                      <w:color w:val="auto"/>
                      <w:sz w:val="21"/>
                      <w:szCs w:val="21"/>
                      <w:highlight w:val="none"/>
                      <w:lang w:bidi="ar"/>
                    </w:rPr>
                  </w:pPr>
                </w:p>
              </w:tc>
            </w:tr>
            <w:tr w14:paraId="7F4312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872" w:type="dxa"/>
                  <w:vMerge w:val="continue"/>
                  <w:noWrap w:val="0"/>
                  <w:vAlign w:val="center"/>
                </w:tcPr>
                <w:p w14:paraId="4625BEF4">
                  <w:pPr>
                    <w:spacing w:line="340" w:lineRule="exact"/>
                    <w:ind w:firstLine="0" w:firstLineChars="0"/>
                    <w:jc w:val="center"/>
                    <w:rPr>
                      <w:rFonts w:hint="eastAsia"/>
                      <w:color w:val="auto"/>
                      <w:sz w:val="21"/>
                      <w:szCs w:val="21"/>
                      <w:highlight w:val="none"/>
                      <w:lang w:bidi="ar"/>
                    </w:rPr>
                  </w:pPr>
                </w:p>
              </w:tc>
              <w:tc>
                <w:tcPr>
                  <w:tcW w:w="1292" w:type="dxa"/>
                  <w:noWrap w:val="0"/>
                  <w:vAlign w:val="center"/>
                </w:tcPr>
                <w:p w14:paraId="729D6C46">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val="en-US" w:eastAsia="zh-CN" w:bidi="ar"/>
                    </w:rPr>
                    <w:t>废油桶</w:t>
                  </w:r>
                </w:p>
              </w:tc>
              <w:tc>
                <w:tcPr>
                  <w:tcW w:w="976" w:type="dxa"/>
                  <w:noWrap w:val="0"/>
                  <w:vAlign w:val="center"/>
                </w:tcPr>
                <w:p w14:paraId="286CDD5D">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val="en-US" w:eastAsia="zh-CN" w:bidi="ar"/>
                    </w:rPr>
                    <w:t>0.03</w:t>
                  </w:r>
                </w:p>
              </w:tc>
              <w:tc>
                <w:tcPr>
                  <w:tcW w:w="795" w:type="dxa"/>
                  <w:noWrap w:val="0"/>
                  <w:vAlign w:val="center"/>
                </w:tcPr>
                <w:p w14:paraId="4577AD9B">
                  <w:pPr>
                    <w:spacing w:line="340" w:lineRule="exact"/>
                    <w:ind w:firstLine="0" w:firstLineChars="0"/>
                    <w:jc w:val="center"/>
                    <w:rPr>
                      <w:rFonts w:hint="eastAsia"/>
                      <w:color w:val="auto"/>
                      <w:sz w:val="21"/>
                      <w:szCs w:val="21"/>
                      <w:highlight w:val="none"/>
                      <w:lang w:bidi="ar"/>
                    </w:rPr>
                  </w:pPr>
                  <w:r>
                    <w:rPr>
                      <w:rFonts w:hint="default" w:eastAsia="宋体"/>
                      <w:color w:val="auto"/>
                      <w:sz w:val="21"/>
                      <w:szCs w:val="21"/>
                      <w:highlight w:val="none"/>
                      <w:lang w:val="en-US" w:eastAsia="zh-CN" w:bidi="ar"/>
                    </w:rPr>
                    <w:t>HW08</w:t>
                  </w:r>
                </w:p>
              </w:tc>
              <w:tc>
                <w:tcPr>
                  <w:tcW w:w="1227" w:type="dxa"/>
                  <w:noWrap w:val="0"/>
                  <w:vAlign w:val="center"/>
                </w:tcPr>
                <w:p w14:paraId="2E0F65AF">
                  <w:pPr>
                    <w:spacing w:line="340" w:lineRule="exact"/>
                    <w:ind w:firstLine="0" w:firstLineChars="0"/>
                    <w:jc w:val="center"/>
                    <w:rPr>
                      <w:rFonts w:hint="eastAsia"/>
                      <w:color w:val="auto"/>
                      <w:sz w:val="21"/>
                      <w:szCs w:val="21"/>
                      <w:highlight w:val="none"/>
                      <w:lang w:bidi="ar"/>
                    </w:rPr>
                  </w:pPr>
                  <w:r>
                    <w:rPr>
                      <w:rFonts w:hint="default" w:eastAsia="宋体"/>
                      <w:color w:val="auto"/>
                      <w:sz w:val="21"/>
                      <w:szCs w:val="21"/>
                      <w:highlight w:val="none"/>
                      <w:lang w:val="en-US" w:eastAsia="zh-CN" w:bidi="ar"/>
                    </w:rPr>
                    <w:t>900-249-08</w:t>
                  </w:r>
                </w:p>
              </w:tc>
              <w:tc>
                <w:tcPr>
                  <w:tcW w:w="581" w:type="dxa"/>
                  <w:vMerge w:val="continue"/>
                  <w:noWrap w:val="0"/>
                  <w:vAlign w:val="center"/>
                </w:tcPr>
                <w:p w14:paraId="0C098B09">
                  <w:pPr>
                    <w:spacing w:line="340" w:lineRule="exact"/>
                    <w:ind w:firstLine="0" w:firstLineChars="0"/>
                    <w:jc w:val="center"/>
                    <w:rPr>
                      <w:rFonts w:hint="eastAsia"/>
                      <w:color w:val="auto"/>
                      <w:sz w:val="21"/>
                      <w:szCs w:val="21"/>
                      <w:highlight w:val="none"/>
                      <w:lang w:bidi="ar"/>
                    </w:rPr>
                  </w:pPr>
                </w:p>
              </w:tc>
              <w:tc>
                <w:tcPr>
                  <w:tcW w:w="688" w:type="dxa"/>
                  <w:vMerge w:val="continue"/>
                  <w:noWrap w:val="0"/>
                  <w:vAlign w:val="center"/>
                </w:tcPr>
                <w:p w14:paraId="58FB50A9">
                  <w:pPr>
                    <w:spacing w:line="340" w:lineRule="exact"/>
                    <w:ind w:firstLine="0" w:firstLineChars="0"/>
                    <w:jc w:val="center"/>
                    <w:rPr>
                      <w:rFonts w:hint="eastAsia"/>
                      <w:color w:val="auto"/>
                      <w:sz w:val="21"/>
                      <w:szCs w:val="21"/>
                      <w:highlight w:val="none"/>
                      <w:lang w:bidi="ar"/>
                    </w:rPr>
                  </w:pPr>
                </w:p>
              </w:tc>
              <w:tc>
                <w:tcPr>
                  <w:tcW w:w="681" w:type="dxa"/>
                  <w:vMerge w:val="continue"/>
                  <w:noWrap w:val="0"/>
                  <w:vAlign w:val="center"/>
                </w:tcPr>
                <w:p w14:paraId="3076BE3C">
                  <w:pPr>
                    <w:spacing w:line="340" w:lineRule="exact"/>
                    <w:ind w:firstLine="0" w:firstLineChars="0"/>
                    <w:jc w:val="center"/>
                    <w:rPr>
                      <w:rFonts w:hint="eastAsia"/>
                      <w:color w:val="auto"/>
                      <w:sz w:val="21"/>
                      <w:szCs w:val="21"/>
                      <w:highlight w:val="none"/>
                      <w:lang w:bidi="ar"/>
                    </w:rPr>
                  </w:pPr>
                </w:p>
              </w:tc>
              <w:tc>
                <w:tcPr>
                  <w:tcW w:w="682" w:type="dxa"/>
                  <w:vMerge w:val="continue"/>
                  <w:noWrap w:val="0"/>
                  <w:vAlign w:val="center"/>
                </w:tcPr>
                <w:p w14:paraId="13FCC017">
                  <w:pPr>
                    <w:spacing w:line="340" w:lineRule="exact"/>
                    <w:ind w:firstLine="0" w:firstLineChars="0"/>
                    <w:jc w:val="center"/>
                    <w:rPr>
                      <w:rFonts w:hint="eastAsia"/>
                      <w:color w:val="auto"/>
                      <w:sz w:val="21"/>
                      <w:szCs w:val="21"/>
                      <w:highlight w:val="none"/>
                      <w:lang w:bidi="ar"/>
                    </w:rPr>
                  </w:pPr>
                </w:p>
              </w:tc>
              <w:tc>
                <w:tcPr>
                  <w:tcW w:w="681" w:type="dxa"/>
                  <w:vMerge w:val="continue"/>
                  <w:noWrap w:val="0"/>
                  <w:vAlign w:val="center"/>
                </w:tcPr>
                <w:p w14:paraId="2AEFC3A8">
                  <w:pPr>
                    <w:spacing w:line="340" w:lineRule="exact"/>
                    <w:ind w:firstLine="0" w:firstLineChars="0"/>
                    <w:jc w:val="center"/>
                    <w:rPr>
                      <w:rFonts w:hint="eastAsia"/>
                      <w:color w:val="auto"/>
                      <w:sz w:val="21"/>
                      <w:szCs w:val="21"/>
                      <w:highlight w:val="none"/>
                      <w:lang w:bidi="ar"/>
                    </w:rPr>
                  </w:pPr>
                </w:p>
              </w:tc>
            </w:tr>
            <w:tr w14:paraId="52C9E0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872" w:type="dxa"/>
                  <w:vMerge w:val="continue"/>
                  <w:noWrap w:val="0"/>
                  <w:vAlign w:val="center"/>
                </w:tcPr>
                <w:p w14:paraId="711F7A6A">
                  <w:pPr>
                    <w:spacing w:line="340" w:lineRule="exact"/>
                    <w:ind w:firstLine="0" w:firstLineChars="0"/>
                    <w:jc w:val="center"/>
                    <w:rPr>
                      <w:rFonts w:hint="eastAsia"/>
                      <w:color w:val="auto"/>
                      <w:sz w:val="21"/>
                      <w:szCs w:val="21"/>
                      <w:highlight w:val="none"/>
                      <w:lang w:bidi="ar"/>
                    </w:rPr>
                  </w:pPr>
                </w:p>
              </w:tc>
              <w:tc>
                <w:tcPr>
                  <w:tcW w:w="1292" w:type="dxa"/>
                  <w:noWrap w:val="0"/>
                  <w:vAlign w:val="center"/>
                </w:tcPr>
                <w:p w14:paraId="230E8393">
                  <w:pPr>
                    <w:spacing w:line="340" w:lineRule="exact"/>
                    <w:ind w:firstLine="0" w:firstLineChars="0"/>
                    <w:jc w:val="center"/>
                    <w:rPr>
                      <w:color w:val="auto"/>
                      <w:sz w:val="21"/>
                      <w:szCs w:val="21"/>
                      <w:highlight w:val="none"/>
                      <w:lang w:bidi="ar"/>
                    </w:rPr>
                  </w:pPr>
                  <w:r>
                    <w:rPr>
                      <w:color w:val="auto"/>
                      <w:sz w:val="21"/>
                      <w:szCs w:val="21"/>
                      <w:highlight w:val="none"/>
                      <w:lang w:bidi="ar"/>
                    </w:rPr>
                    <w:t>废活性炭</w:t>
                  </w:r>
                </w:p>
              </w:tc>
              <w:tc>
                <w:tcPr>
                  <w:tcW w:w="976" w:type="dxa"/>
                  <w:noWrap w:val="0"/>
                  <w:vAlign w:val="center"/>
                </w:tcPr>
                <w:p w14:paraId="09A83B07">
                  <w:pPr>
                    <w:spacing w:line="340" w:lineRule="exact"/>
                    <w:ind w:firstLine="0" w:firstLineChars="0"/>
                    <w:jc w:val="center"/>
                    <w:rPr>
                      <w:rFonts w:hint="default" w:eastAsia="宋体"/>
                      <w:color w:val="auto"/>
                      <w:sz w:val="21"/>
                      <w:szCs w:val="21"/>
                      <w:highlight w:val="none"/>
                      <w:lang w:val="en-US" w:eastAsia="zh-CN" w:bidi="ar"/>
                    </w:rPr>
                  </w:pPr>
                  <w:r>
                    <w:rPr>
                      <w:rFonts w:hint="eastAsia"/>
                      <w:color w:val="auto"/>
                      <w:sz w:val="21"/>
                      <w:szCs w:val="21"/>
                      <w:highlight w:val="none"/>
                      <w:lang w:val="en-US" w:eastAsia="zh-CN" w:bidi="ar"/>
                    </w:rPr>
                    <w:t>1.6812</w:t>
                  </w:r>
                </w:p>
              </w:tc>
              <w:tc>
                <w:tcPr>
                  <w:tcW w:w="795" w:type="dxa"/>
                  <w:noWrap w:val="0"/>
                  <w:vAlign w:val="center"/>
                </w:tcPr>
                <w:p w14:paraId="56FE8CC7">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HW49</w:t>
                  </w:r>
                </w:p>
              </w:tc>
              <w:tc>
                <w:tcPr>
                  <w:tcW w:w="1227" w:type="dxa"/>
                  <w:noWrap w:val="0"/>
                  <w:vAlign w:val="center"/>
                </w:tcPr>
                <w:p w14:paraId="47E8470D">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900-039-49</w:t>
                  </w:r>
                </w:p>
              </w:tc>
              <w:tc>
                <w:tcPr>
                  <w:tcW w:w="581" w:type="dxa"/>
                  <w:vMerge w:val="continue"/>
                  <w:noWrap w:val="0"/>
                  <w:vAlign w:val="center"/>
                </w:tcPr>
                <w:p w14:paraId="7FCDA11C">
                  <w:pPr>
                    <w:spacing w:line="340" w:lineRule="exact"/>
                    <w:ind w:firstLine="0" w:firstLineChars="0"/>
                    <w:jc w:val="center"/>
                    <w:rPr>
                      <w:rFonts w:hint="eastAsia"/>
                      <w:color w:val="auto"/>
                      <w:sz w:val="21"/>
                      <w:szCs w:val="21"/>
                      <w:highlight w:val="none"/>
                      <w:lang w:bidi="ar"/>
                    </w:rPr>
                  </w:pPr>
                </w:p>
              </w:tc>
              <w:tc>
                <w:tcPr>
                  <w:tcW w:w="688" w:type="dxa"/>
                  <w:vMerge w:val="continue"/>
                  <w:noWrap w:val="0"/>
                  <w:vAlign w:val="center"/>
                </w:tcPr>
                <w:p w14:paraId="59A474B3">
                  <w:pPr>
                    <w:spacing w:line="340" w:lineRule="exact"/>
                    <w:ind w:firstLine="0" w:firstLineChars="0"/>
                    <w:jc w:val="center"/>
                    <w:rPr>
                      <w:rFonts w:hint="eastAsia"/>
                      <w:color w:val="auto"/>
                      <w:sz w:val="21"/>
                      <w:szCs w:val="21"/>
                      <w:highlight w:val="none"/>
                      <w:lang w:bidi="ar"/>
                    </w:rPr>
                  </w:pPr>
                </w:p>
              </w:tc>
              <w:tc>
                <w:tcPr>
                  <w:tcW w:w="681" w:type="dxa"/>
                  <w:vMerge w:val="continue"/>
                  <w:noWrap w:val="0"/>
                  <w:vAlign w:val="center"/>
                </w:tcPr>
                <w:p w14:paraId="03BAC98D">
                  <w:pPr>
                    <w:spacing w:line="340" w:lineRule="exact"/>
                    <w:ind w:firstLine="0" w:firstLineChars="0"/>
                    <w:jc w:val="center"/>
                    <w:rPr>
                      <w:rFonts w:hint="eastAsia"/>
                      <w:color w:val="auto"/>
                      <w:sz w:val="21"/>
                      <w:szCs w:val="21"/>
                      <w:highlight w:val="none"/>
                      <w:lang w:bidi="ar"/>
                    </w:rPr>
                  </w:pPr>
                </w:p>
              </w:tc>
              <w:tc>
                <w:tcPr>
                  <w:tcW w:w="682" w:type="dxa"/>
                  <w:vMerge w:val="continue"/>
                  <w:noWrap w:val="0"/>
                  <w:vAlign w:val="center"/>
                </w:tcPr>
                <w:p w14:paraId="721D4571">
                  <w:pPr>
                    <w:spacing w:line="340" w:lineRule="exact"/>
                    <w:ind w:firstLine="0" w:firstLineChars="0"/>
                    <w:jc w:val="center"/>
                    <w:rPr>
                      <w:rFonts w:hint="eastAsia"/>
                      <w:color w:val="auto"/>
                      <w:sz w:val="21"/>
                      <w:szCs w:val="21"/>
                      <w:highlight w:val="none"/>
                      <w:lang w:bidi="ar"/>
                    </w:rPr>
                  </w:pPr>
                </w:p>
              </w:tc>
              <w:tc>
                <w:tcPr>
                  <w:tcW w:w="681" w:type="dxa"/>
                  <w:vMerge w:val="continue"/>
                  <w:noWrap w:val="0"/>
                  <w:vAlign w:val="center"/>
                </w:tcPr>
                <w:p w14:paraId="21E51C29">
                  <w:pPr>
                    <w:spacing w:line="340" w:lineRule="exact"/>
                    <w:ind w:firstLine="0" w:firstLineChars="0"/>
                    <w:jc w:val="center"/>
                    <w:rPr>
                      <w:rFonts w:hint="eastAsia"/>
                      <w:color w:val="auto"/>
                      <w:sz w:val="21"/>
                      <w:szCs w:val="21"/>
                      <w:highlight w:val="none"/>
                      <w:lang w:bidi="ar"/>
                    </w:rPr>
                  </w:pPr>
                </w:p>
              </w:tc>
            </w:tr>
            <w:tr w14:paraId="5B3C85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872" w:type="dxa"/>
                  <w:vMerge w:val="continue"/>
                  <w:noWrap w:val="0"/>
                  <w:vAlign w:val="center"/>
                </w:tcPr>
                <w:p w14:paraId="7EA4F136">
                  <w:pPr>
                    <w:spacing w:line="340" w:lineRule="exact"/>
                    <w:ind w:firstLine="0" w:firstLineChars="0"/>
                    <w:jc w:val="center"/>
                    <w:rPr>
                      <w:rFonts w:hint="eastAsia"/>
                      <w:color w:val="auto"/>
                      <w:sz w:val="21"/>
                      <w:szCs w:val="21"/>
                      <w:highlight w:val="none"/>
                      <w:lang w:bidi="ar"/>
                    </w:rPr>
                  </w:pPr>
                </w:p>
              </w:tc>
              <w:tc>
                <w:tcPr>
                  <w:tcW w:w="1292" w:type="dxa"/>
                  <w:noWrap w:val="0"/>
                  <w:vAlign w:val="center"/>
                </w:tcPr>
                <w:p w14:paraId="71769550">
                  <w:pPr>
                    <w:spacing w:line="340" w:lineRule="exact"/>
                    <w:ind w:firstLine="0" w:firstLineChars="0"/>
                    <w:jc w:val="center"/>
                    <w:rPr>
                      <w:color w:val="auto"/>
                      <w:sz w:val="21"/>
                      <w:szCs w:val="21"/>
                      <w:highlight w:val="none"/>
                      <w:lang w:bidi="ar"/>
                    </w:rPr>
                  </w:pPr>
                  <w:r>
                    <w:rPr>
                      <w:rFonts w:hint="eastAsia"/>
                      <w:color w:val="auto"/>
                      <w:sz w:val="21"/>
                      <w:szCs w:val="21"/>
                      <w:highlight w:val="none"/>
                      <w:lang w:val="en-US" w:eastAsia="zh-CN" w:bidi="ar"/>
                    </w:rPr>
                    <w:t>喷淋废液</w:t>
                  </w:r>
                </w:p>
              </w:tc>
              <w:tc>
                <w:tcPr>
                  <w:tcW w:w="976" w:type="dxa"/>
                  <w:noWrap w:val="0"/>
                  <w:vAlign w:val="center"/>
                </w:tcPr>
                <w:p w14:paraId="223F522E">
                  <w:pPr>
                    <w:spacing w:line="340" w:lineRule="exact"/>
                    <w:ind w:firstLine="0" w:firstLineChars="0"/>
                    <w:jc w:val="center"/>
                    <w:rPr>
                      <w:rFonts w:hint="eastAsia"/>
                      <w:color w:val="auto"/>
                      <w:sz w:val="21"/>
                      <w:szCs w:val="21"/>
                      <w:highlight w:val="none"/>
                      <w:lang w:val="en-US" w:eastAsia="zh-CN" w:bidi="ar"/>
                    </w:rPr>
                  </w:pPr>
                  <w:r>
                    <w:rPr>
                      <w:rFonts w:hint="eastAsia"/>
                      <w:color w:val="auto"/>
                      <w:sz w:val="21"/>
                      <w:szCs w:val="21"/>
                      <w:highlight w:val="none"/>
                      <w:lang w:val="en-US" w:eastAsia="zh-CN" w:bidi="ar"/>
                    </w:rPr>
                    <w:t>24</w:t>
                  </w:r>
                </w:p>
              </w:tc>
              <w:tc>
                <w:tcPr>
                  <w:tcW w:w="795" w:type="dxa"/>
                  <w:noWrap w:val="0"/>
                  <w:vAlign w:val="center"/>
                </w:tcPr>
                <w:p w14:paraId="1C59B058">
                  <w:pPr>
                    <w:spacing w:line="340" w:lineRule="exact"/>
                    <w:ind w:firstLine="0" w:firstLineChars="0"/>
                    <w:jc w:val="center"/>
                    <w:rPr>
                      <w:rFonts w:hint="eastAsia"/>
                      <w:color w:val="auto"/>
                      <w:sz w:val="21"/>
                      <w:szCs w:val="21"/>
                      <w:highlight w:val="none"/>
                      <w:lang w:bidi="ar"/>
                    </w:rPr>
                  </w:pPr>
                  <w:r>
                    <w:rPr>
                      <w:rFonts w:hint="default" w:eastAsia="宋体"/>
                      <w:color w:val="auto"/>
                      <w:sz w:val="21"/>
                      <w:szCs w:val="21"/>
                      <w:highlight w:val="none"/>
                      <w:lang w:val="en-US" w:eastAsia="zh-CN" w:bidi="ar"/>
                    </w:rPr>
                    <w:t>HW49</w:t>
                  </w:r>
                </w:p>
              </w:tc>
              <w:tc>
                <w:tcPr>
                  <w:tcW w:w="1227" w:type="dxa"/>
                  <w:noWrap w:val="0"/>
                  <w:vAlign w:val="center"/>
                </w:tcPr>
                <w:p w14:paraId="2234B94A">
                  <w:pPr>
                    <w:spacing w:line="340" w:lineRule="exact"/>
                    <w:ind w:firstLine="0" w:firstLineChars="0"/>
                    <w:jc w:val="center"/>
                    <w:rPr>
                      <w:rFonts w:hint="eastAsia"/>
                      <w:color w:val="auto"/>
                      <w:sz w:val="21"/>
                      <w:szCs w:val="21"/>
                      <w:highlight w:val="none"/>
                      <w:lang w:bidi="ar"/>
                    </w:rPr>
                  </w:pPr>
                  <w:r>
                    <w:rPr>
                      <w:rFonts w:hint="default" w:eastAsia="宋体"/>
                      <w:color w:val="auto"/>
                      <w:sz w:val="21"/>
                      <w:szCs w:val="21"/>
                      <w:highlight w:val="none"/>
                      <w:lang w:val="en-US" w:eastAsia="zh-CN" w:bidi="ar"/>
                    </w:rPr>
                    <w:t>900-04</w:t>
                  </w:r>
                  <w:r>
                    <w:rPr>
                      <w:rFonts w:hint="eastAsia"/>
                      <w:color w:val="auto"/>
                      <w:sz w:val="21"/>
                      <w:szCs w:val="21"/>
                      <w:highlight w:val="none"/>
                      <w:lang w:val="en-US" w:eastAsia="zh-CN" w:bidi="ar"/>
                    </w:rPr>
                    <w:t>1</w:t>
                  </w:r>
                  <w:r>
                    <w:rPr>
                      <w:rFonts w:hint="default" w:eastAsia="宋体"/>
                      <w:color w:val="auto"/>
                      <w:sz w:val="21"/>
                      <w:szCs w:val="21"/>
                      <w:highlight w:val="none"/>
                      <w:lang w:val="en-US" w:eastAsia="zh-CN" w:bidi="ar"/>
                    </w:rPr>
                    <w:t>-49</w:t>
                  </w:r>
                </w:p>
              </w:tc>
              <w:tc>
                <w:tcPr>
                  <w:tcW w:w="581" w:type="dxa"/>
                  <w:vMerge w:val="continue"/>
                  <w:noWrap w:val="0"/>
                  <w:vAlign w:val="center"/>
                </w:tcPr>
                <w:p w14:paraId="356D61E6">
                  <w:pPr>
                    <w:spacing w:line="340" w:lineRule="exact"/>
                    <w:ind w:firstLine="0" w:firstLineChars="0"/>
                    <w:jc w:val="center"/>
                    <w:rPr>
                      <w:rFonts w:hint="eastAsia"/>
                      <w:color w:val="auto"/>
                      <w:sz w:val="21"/>
                      <w:szCs w:val="21"/>
                      <w:highlight w:val="none"/>
                      <w:lang w:bidi="ar"/>
                    </w:rPr>
                  </w:pPr>
                </w:p>
              </w:tc>
              <w:tc>
                <w:tcPr>
                  <w:tcW w:w="688" w:type="dxa"/>
                  <w:vMerge w:val="continue"/>
                  <w:noWrap w:val="0"/>
                  <w:vAlign w:val="center"/>
                </w:tcPr>
                <w:p w14:paraId="398A44A0">
                  <w:pPr>
                    <w:spacing w:line="340" w:lineRule="exact"/>
                    <w:ind w:firstLine="0" w:firstLineChars="0"/>
                    <w:jc w:val="center"/>
                    <w:rPr>
                      <w:rFonts w:hint="eastAsia"/>
                      <w:color w:val="auto"/>
                      <w:sz w:val="21"/>
                      <w:szCs w:val="21"/>
                      <w:highlight w:val="none"/>
                      <w:lang w:bidi="ar"/>
                    </w:rPr>
                  </w:pPr>
                </w:p>
              </w:tc>
              <w:tc>
                <w:tcPr>
                  <w:tcW w:w="681" w:type="dxa"/>
                  <w:vMerge w:val="continue"/>
                  <w:noWrap w:val="0"/>
                  <w:vAlign w:val="center"/>
                </w:tcPr>
                <w:p w14:paraId="58A52A5E">
                  <w:pPr>
                    <w:spacing w:line="340" w:lineRule="exact"/>
                    <w:ind w:firstLine="0" w:firstLineChars="0"/>
                    <w:jc w:val="center"/>
                    <w:rPr>
                      <w:rFonts w:hint="eastAsia"/>
                      <w:color w:val="auto"/>
                      <w:sz w:val="21"/>
                      <w:szCs w:val="21"/>
                      <w:highlight w:val="none"/>
                      <w:lang w:bidi="ar"/>
                    </w:rPr>
                  </w:pPr>
                </w:p>
              </w:tc>
              <w:tc>
                <w:tcPr>
                  <w:tcW w:w="682" w:type="dxa"/>
                  <w:vMerge w:val="continue"/>
                  <w:noWrap w:val="0"/>
                  <w:vAlign w:val="center"/>
                </w:tcPr>
                <w:p w14:paraId="1C91E0E7">
                  <w:pPr>
                    <w:spacing w:line="340" w:lineRule="exact"/>
                    <w:ind w:firstLine="0" w:firstLineChars="0"/>
                    <w:jc w:val="center"/>
                    <w:rPr>
                      <w:rFonts w:hint="eastAsia"/>
                      <w:color w:val="auto"/>
                      <w:sz w:val="21"/>
                      <w:szCs w:val="21"/>
                      <w:highlight w:val="none"/>
                      <w:lang w:bidi="ar"/>
                    </w:rPr>
                  </w:pPr>
                </w:p>
              </w:tc>
              <w:tc>
                <w:tcPr>
                  <w:tcW w:w="681" w:type="dxa"/>
                  <w:vMerge w:val="continue"/>
                  <w:noWrap w:val="0"/>
                  <w:vAlign w:val="center"/>
                </w:tcPr>
                <w:p w14:paraId="2FBD0AC2">
                  <w:pPr>
                    <w:spacing w:line="340" w:lineRule="exact"/>
                    <w:ind w:firstLine="0" w:firstLineChars="0"/>
                    <w:jc w:val="center"/>
                    <w:rPr>
                      <w:rFonts w:hint="eastAsia"/>
                      <w:color w:val="auto"/>
                      <w:sz w:val="21"/>
                      <w:szCs w:val="21"/>
                      <w:highlight w:val="none"/>
                      <w:lang w:bidi="ar"/>
                    </w:rPr>
                  </w:pPr>
                </w:p>
              </w:tc>
            </w:tr>
          </w:tbl>
          <w:p w14:paraId="114125E3">
            <w:pPr>
              <w:ind w:firstLine="482"/>
              <w:rPr>
                <w:b/>
                <w:bCs/>
                <w:color w:val="auto"/>
                <w:highlight w:val="none"/>
              </w:rPr>
            </w:pPr>
            <w:r>
              <w:rPr>
                <w:rFonts w:hint="eastAsia"/>
                <w:b/>
                <w:bCs/>
                <w:color w:val="auto"/>
                <w:highlight w:val="none"/>
              </w:rPr>
              <w:t>（4）环境影响分析</w:t>
            </w:r>
          </w:p>
          <w:p w14:paraId="07B0DF8C">
            <w:pPr>
              <w:ind w:firstLine="480"/>
              <w:rPr>
                <w:rFonts w:hint="eastAsia"/>
                <w:color w:val="auto"/>
                <w:highlight w:val="none"/>
              </w:rPr>
            </w:pPr>
            <w:r>
              <w:rPr>
                <w:rFonts w:hint="eastAsia"/>
                <w:color w:val="auto"/>
                <w:highlight w:val="none"/>
              </w:rPr>
              <w:t>①危险废物贮存场所</w:t>
            </w:r>
          </w:p>
          <w:p w14:paraId="56539A15">
            <w:pPr>
              <w:ind w:firstLine="480"/>
              <w:rPr>
                <w:color w:val="auto"/>
                <w:highlight w:val="none"/>
              </w:rPr>
            </w:pPr>
            <w:r>
              <w:rPr>
                <w:color w:val="auto"/>
                <w:highlight w:val="none"/>
              </w:rPr>
              <w:t>项目</w:t>
            </w:r>
            <w:r>
              <w:rPr>
                <w:rFonts w:hint="eastAsia"/>
                <w:color w:val="auto"/>
                <w:highlight w:val="none"/>
                <w:lang w:eastAsia="zh-CN"/>
              </w:rPr>
              <w:t>危险废物贮存间</w:t>
            </w:r>
            <w:r>
              <w:rPr>
                <w:color w:val="auto"/>
                <w:highlight w:val="none"/>
              </w:rPr>
              <w:t>应按照《危险废物贮存污染控制标准》</w:t>
            </w:r>
            <w:r>
              <w:rPr>
                <w:rFonts w:hint="eastAsia"/>
                <w:color w:val="auto"/>
                <w:highlight w:val="none"/>
              </w:rPr>
              <w:t>（GB 18597—2023）</w:t>
            </w:r>
            <w:r>
              <w:rPr>
                <w:color w:val="auto"/>
                <w:highlight w:val="none"/>
              </w:rPr>
              <w:t>要求进行建设，具备防风、防雨、防晒、防渗</w:t>
            </w:r>
            <w:r>
              <w:rPr>
                <w:rFonts w:hint="eastAsia"/>
                <w:color w:val="auto"/>
                <w:highlight w:val="none"/>
              </w:rPr>
              <w:t>、</w:t>
            </w:r>
            <w:r>
              <w:rPr>
                <w:color w:val="auto"/>
                <w:highlight w:val="none"/>
              </w:rPr>
              <w:t>防漏</w:t>
            </w:r>
            <w:r>
              <w:rPr>
                <w:rFonts w:hint="eastAsia"/>
                <w:color w:val="auto"/>
                <w:highlight w:val="none"/>
              </w:rPr>
              <w:t>、防腐以及其他环境污染防治措施。</w:t>
            </w:r>
            <w:r>
              <w:rPr>
                <w:color w:val="auto"/>
                <w:highlight w:val="none"/>
              </w:rPr>
              <w:t>危险废物贮存场所基础必须防渗，防渗层为至少1m厚粘土层</w:t>
            </w:r>
            <w:r>
              <w:rPr>
                <w:rFonts w:hint="eastAsia"/>
                <w:color w:val="auto"/>
                <w:highlight w:val="none"/>
              </w:rPr>
              <w:t>（</w:t>
            </w:r>
            <w:r>
              <w:rPr>
                <w:color w:val="auto"/>
                <w:highlight w:val="none"/>
              </w:rPr>
              <w:t>渗透系数</w:t>
            </w:r>
            <w:r>
              <w:rPr>
                <w:rFonts w:hint="eastAsia"/>
                <w:color w:val="auto"/>
                <w:highlight w:val="none"/>
              </w:rPr>
              <w:t>不大于</w:t>
            </w:r>
            <w:r>
              <w:rPr>
                <w:color w:val="auto"/>
                <w:highlight w:val="none"/>
              </w:rPr>
              <w:t>10</w:t>
            </w:r>
            <w:r>
              <w:rPr>
                <w:color w:val="auto"/>
                <w:highlight w:val="none"/>
                <w:vertAlign w:val="superscript"/>
              </w:rPr>
              <w:t>-7</w:t>
            </w:r>
            <w:r>
              <w:rPr>
                <w:color w:val="auto"/>
                <w:highlight w:val="none"/>
              </w:rPr>
              <w:t>cm/s</w:t>
            </w:r>
            <w:r>
              <w:rPr>
                <w:rFonts w:hint="eastAsia"/>
                <w:color w:val="auto"/>
                <w:highlight w:val="none"/>
              </w:rPr>
              <w:t>）</w:t>
            </w:r>
            <w:r>
              <w:rPr>
                <w:color w:val="auto"/>
                <w:highlight w:val="none"/>
              </w:rPr>
              <w:t>，或</w:t>
            </w:r>
            <w:r>
              <w:rPr>
                <w:rFonts w:hint="eastAsia"/>
                <w:color w:val="auto"/>
                <w:highlight w:val="none"/>
              </w:rPr>
              <w:t>至少</w:t>
            </w:r>
            <w:r>
              <w:rPr>
                <w:color w:val="auto"/>
                <w:highlight w:val="none"/>
              </w:rPr>
              <w:t>2mm厚高密度聚乙烯</w:t>
            </w:r>
            <w:r>
              <w:rPr>
                <w:rFonts w:hint="eastAsia"/>
                <w:color w:val="auto"/>
                <w:highlight w:val="none"/>
              </w:rPr>
              <w:t>等</w:t>
            </w:r>
            <w:r>
              <w:rPr>
                <w:color w:val="auto"/>
                <w:highlight w:val="none"/>
              </w:rPr>
              <w:t>人工</w:t>
            </w:r>
            <w:r>
              <w:rPr>
                <w:rFonts w:hint="eastAsia"/>
                <w:color w:val="auto"/>
                <w:highlight w:val="none"/>
              </w:rPr>
              <w:t>防渗</w:t>
            </w:r>
            <w:r>
              <w:rPr>
                <w:color w:val="auto"/>
                <w:highlight w:val="none"/>
              </w:rPr>
              <w:t>材料</w:t>
            </w:r>
            <w:r>
              <w:rPr>
                <w:rFonts w:hint="eastAsia"/>
                <w:color w:val="auto"/>
                <w:highlight w:val="none"/>
              </w:rPr>
              <w:t>（</w:t>
            </w:r>
            <w:r>
              <w:rPr>
                <w:color w:val="auto"/>
                <w:highlight w:val="none"/>
              </w:rPr>
              <w:t>渗透系数</w:t>
            </w:r>
            <w:r>
              <w:rPr>
                <w:rFonts w:hint="eastAsia"/>
                <w:color w:val="auto"/>
                <w:highlight w:val="none"/>
              </w:rPr>
              <w:t>不大于</w:t>
            </w:r>
            <w:r>
              <w:rPr>
                <w:color w:val="auto"/>
                <w:highlight w:val="none"/>
              </w:rPr>
              <w:t>10</w:t>
            </w:r>
            <w:r>
              <w:rPr>
                <w:color w:val="auto"/>
                <w:highlight w:val="none"/>
                <w:vertAlign w:val="superscript"/>
              </w:rPr>
              <w:t>-10</w:t>
            </w:r>
            <w:r>
              <w:rPr>
                <w:color w:val="auto"/>
                <w:highlight w:val="none"/>
              </w:rPr>
              <w:t>cm/s</w:t>
            </w:r>
            <w:r>
              <w:rPr>
                <w:rFonts w:hint="eastAsia"/>
                <w:color w:val="auto"/>
                <w:highlight w:val="none"/>
              </w:rPr>
              <w:t>）</w:t>
            </w:r>
            <w:r>
              <w:rPr>
                <w:rFonts w:hint="eastAsia"/>
                <w:color w:val="auto"/>
                <w:highlight w:val="none"/>
                <w:lang w:eastAsia="zh-CN"/>
              </w:rPr>
              <w:t>，</w:t>
            </w:r>
            <w:r>
              <w:rPr>
                <w:color w:val="auto"/>
                <w:highlight w:val="none"/>
              </w:rPr>
              <w:t>并设置围堰等。采取以后措施，危险废物贮存场所符合要求。</w:t>
            </w:r>
          </w:p>
          <w:p w14:paraId="345F55AF">
            <w:pPr>
              <w:ind w:firstLine="480"/>
              <w:rPr>
                <w:rFonts w:hint="eastAsia"/>
                <w:color w:val="auto"/>
                <w:highlight w:val="none"/>
              </w:rPr>
            </w:pPr>
            <w:r>
              <w:rPr>
                <w:rFonts w:hint="eastAsia"/>
                <w:color w:val="auto"/>
                <w:highlight w:val="none"/>
              </w:rPr>
              <w:t>②委托利用或者处置的环境影响分析</w:t>
            </w:r>
          </w:p>
          <w:p w14:paraId="7E19E1E6">
            <w:pPr>
              <w:ind w:firstLine="480"/>
              <w:rPr>
                <w:color w:val="auto"/>
                <w:highlight w:val="none"/>
              </w:rPr>
            </w:pPr>
            <w:r>
              <w:rPr>
                <w:color w:val="auto"/>
                <w:highlight w:val="none"/>
              </w:rPr>
              <w:t>本项目不具备危险废物利用或处置能力，项目危险废物定期委托有资质单位统一转移处置，危险废物运输过程也全部委托有资质单位统一</w:t>
            </w:r>
            <w:r>
              <w:rPr>
                <w:rFonts w:hint="eastAsia"/>
                <w:color w:val="auto"/>
                <w:highlight w:val="none"/>
              </w:rPr>
              <w:t>处置</w:t>
            </w:r>
            <w:r>
              <w:rPr>
                <w:color w:val="auto"/>
                <w:highlight w:val="none"/>
              </w:rPr>
              <w:t>。</w:t>
            </w:r>
          </w:p>
          <w:p w14:paraId="349DE1E1">
            <w:pPr>
              <w:ind w:firstLine="480"/>
              <w:rPr>
                <w:rFonts w:hint="eastAsia"/>
                <w:color w:val="auto"/>
                <w:highlight w:val="none"/>
              </w:rPr>
            </w:pPr>
            <w:r>
              <w:rPr>
                <w:rFonts w:hint="eastAsia"/>
                <w:color w:val="auto"/>
                <w:highlight w:val="none"/>
              </w:rPr>
              <w:t>③危险废物运输过程的环境影响分析</w:t>
            </w:r>
          </w:p>
          <w:p w14:paraId="2FB2470E">
            <w:pPr>
              <w:ind w:firstLine="480"/>
              <w:rPr>
                <w:rFonts w:hint="eastAsia"/>
                <w:color w:val="auto"/>
                <w:highlight w:val="none"/>
              </w:rPr>
            </w:pPr>
            <w:r>
              <w:rPr>
                <w:color w:val="auto"/>
                <w:highlight w:val="none"/>
              </w:rPr>
              <w:t>本项目危险废物</w:t>
            </w:r>
            <w:r>
              <w:rPr>
                <w:rFonts w:hint="eastAsia"/>
                <w:color w:val="auto"/>
                <w:highlight w:val="none"/>
              </w:rPr>
              <w:t>密闭袋装、密闭桶装后</w:t>
            </w:r>
            <w:r>
              <w:rPr>
                <w:color w:val="auto"/>
                <w:highlight w:val="none"/>
              </w:rPr>
              <w:t>委托有资质的单位处置；</w:t>
            </w:r>
            <w:r>
              <w:rPr>
                <w:rFonts w:hint="eastAsia"/>
                <w:color w:val="auto"/>
                <w:highlight w:val="none"/>
              </w:rPr>
              <w:t>项目危险废物运输委托有资质单位进行</w:t>
            </w:r>
            <w:r>
              <w:rPr>
                <w:color w:val="auto"/>
                <w:highlight w:val="none"/>
              </w:rPr>
              <w:t>统一</w:t>
            </w:r>
            <w:r>
              <w:rPr>
                <w:rFonts w:hint="eastAsia"/>
                <w:color w:val="auto"/>
                <w:highlight w:val="none"/>
              </w:rPr>
              <w:t>运输</w:t>
            </w:r>
            <w:r>
              <w:rPr>
                <w:color w:val="auto"/>
                <w:highlight w:val="none"/>
              </w:rPr>
              <w:t>。</w:t>
            </w:r>
          </w:p>
          <w:p w14:paraId="7864A6DB">
            <w:pPr>
              <w:pStyle w:val="5"/>
              <w:rPr>
                <w:color w:val="auto"/>
                <w:highlight w:val="none"/>
              </w:rPr>
            </w:pPr>
            <w:r>
              <w:rPr>
                <w:rFonts w:hint="eastAsia"/>
                <w:color w:val="auto"/>
                <w:highlight w:val="none"/>
              </w:rPr>
              <w:t>（三）</w:t>
            </w:r>
            <w:r>
              <w:rPr>
                <w:color w:val="auto"/>
                <w:highlight w:val="none"/>
              </w:rPr>
              <w:t>生活垃圾</w:t>
            </w:r>
          </w:p>
          <w:p w14:paraId="06102427">
            <w:pPr>
              <w:ind w:firstLine="480"/>
              <w:rPr>
                <w:color w:val="auto"/>
                <w:highlight w:val="none"/>
              </w:rPr>
            </w:pPr>
            <w:r>
              <w:rPr>
                <w:color w:val="auto"/>
                <w:highlight w:val="none"/>
              </w:rPr>
              <w:t>项目内职工产生的生活垃圾应采取分类收集，并委托环卫部门统一外运处置。</w:t>
            </w:r>
          </w:p>
          <w:p w14:paraId="78F0F2FD">
            <w:pPr>
              <w:ind w:firstLine="480"/>
              <w:rPr>
                <w:color w:val="auto"/>
                <w:highlight w:val="none"/>
              </w:rPr>
            </w:pPr>
            <w:r>
              <w:rPr>
                <w:color w:val="auto"/>
                <w:highlight w:val="none"/>
              </w:rPr>
              <w:t>综述，本项目固体废物</w:t>
            </w:r>
            <w:r>
              <w:rPr>
                <w:rFonts w:hint="eastAsia"/>
                <w:color w:val="auto"/>
                <w:highlight w:val="none"/>
              </w:rPr>
              <w:t>采取以上处置处理措施后，正常情况下，不会对周边环境造成二次污染物</w:t>
            </w:r>
            <w:r>
              <w:rPr>
                <w:color w:val="auto"/>
                <w:highlight w:val="none"/>
              </w:rPr>
              <w:t>。</w:t>
            </w:r>
          </w:p>
          <w:p w14:paraId="3D76791C">
            <w:pPr>
              <w:pStyle w:val="3"/>
              <w:rPr>
                <w:color w:val="auto"/>
                <w:highlight w:val="none"/>
              </w:rPr>
            </w:pPr>
            <w:r>
              <w:rPr>
                <w:color w:val="auto"/>
                <w:highlight w:val="none"/>
              </w:rPr>
              <w:t>4.</w:t>
            </w:r>
            <w:r>
              <w:rPr>
                <w:rFonts w:hint="eastAsia"/>
                <w:color w:val="auto"/>
                <w:highlight w:val="none"/>
              </w:rPr>
              <w:t>3 土壤、地下水</w:t>
            </w:r>
            <w:r>
              <w:rPr>
                <w:color w:val="auto"/>
                <w:highlight w:val="none"/>
              </w:rPr>
              <w:t>环境</w:t>
            </w:r>
            <w:r>
              <w:rPr>
                <w:rFonts w:hint="eastAsia"/>
                <w:color w:val="auto"/>
                <w:highlight w:val="none"/>
              </w:rPr>
              <w:t>影响分析</w:t>
            </w:r>
          </w:p>
          <w:p w14:paraId="33CECF17">
            <w:pPr>
              <w:widowControl/>
              <w:ind w:firstLine="480"/>
              <w:jc w:val="left"/>
              <w:rPr>
                <w:rFonts w:hint="eastAsia" w:ascii="宋体" w:hAnsi="宋体" w:cs="宋体"/>
                <w:color w:val="auto"/>
                <w:kern w:val="0"/>
                <w:highlight w:val="none"/>
                <w:lang w:bidi="ar"/>
              </w:rPr>
            </w:pPr>
            <w:r>
              <w:rPr>
                <w:rFonts w:hint="eastAsia" w:ascii="宋体" w:hAnsi="宋体" w:cs="宋体"/>
                <w:color w:val="auto"/>
                <w:kern w:val="0"/>
                <w:highlight w:val="none"/>
                <w:lang w:bidi="ar"/>
              </w:rPr>
              <w:t>根据《建设项目环境影响报告表编制技术指南（污染影响类）（试行）》中“原则上不开展环境质量现状调查，建设项目存在土壤、地下水环境污染途径的，应结合污染源、保护目标分布情况开展现状调查以留作背景值”的要求，本项目从污染源、污染类型、污染途径以及防控措施进行分析，具体如下。</w:t>
            </w:r>
          </w:p>
          <w:p w14:paraId="609B78DD">
            <w:pPr>
              <w:ind w:firstLine="480"/>
              <w:rPr>
                <w:color w:val="auto"/>
                <w:highlight w:val="none"/>
              </w:rPr>
            </w:pPr>
            <w:r>
              <w:rPr>
                <w:rFonts w:hint="eastAsia"/>
                <w:color w:val="auto"/>
                <w:highlight w:val="none"/>
              </w:rPr>
              <w:t>（</w:t>
            </w:r>
            <w:r>
              <w:rPr>
                <w:color w:val="auto"/>
                <w:highlight w:val="none"/>
              </w:rPr>
              <w:t>1</w:t>
            </w:r>
            <w:r>
              <w:rPr>
                <w:rFonts w:hint="eastAsia"/>
                <w:color w:val="auto"/>
                <w:highlight w:val="none"/>
              </w:rPr>
              <w:t xml:space="preserve">）污染源、类型及途径 </w:t>
            </w:r>
          </w:p>
          <w:p w14:paraId="165E8034">
            <w:pPr>
              <w:ind w:firstLine="480"/>
              <w:rPr>
                <w:color w:val="auto"/>
                <w:highlight w:val="none"/>
              </w:rPr>
            </w:pPr>
            <w:r>
              <w:rPr>
                <w:rFonts w:hint="eastAsia"/>
                <w:color w:val="auto"/>
                <w:highlight w:val="none"/>
              </w:rPr>
              <w:t xml:space="preserve">项目营运期对土壤、地下水环境可能造成影响的污染源主要为危化品的暂存、危废的暂存等环节，污染途径主要为污染物地面漫流、垂直入渗、大气沉降。 </w:t>
            </w:r>
          </w:p>
          <w:p w14:paraId="29E299A3">
            <w:pPr>
              <w:ind w:firstLine="480"/>
              <w:rPr>
                <w:rFonts w:hint="eastAsia"/>
                <w:color w:val="auto"/>
                <w:highlight w:val="none"/>
              </w:rPr>
            </w:pPr>
            <w:r>
              <w:rPr>
                <w:rFonts w:hint="eastAsia"/>
                <w:color w:val="auto"/>
                <w:highlight w:val="none"/>
              </w:rPr>
              <w:t>项目营运期如未设置相应的防腐防渗等措施，该项目运营后对地下水和土壤污染源、污染物类型和污染途径详见表4.3-1。</w:t>
            </w:r>
          </w:p>
          <w:p w14:paraId="2FA0CE2F">
            <w:pPr>
              <w:pStyle w:val="123"/>
              <w:ind w:firstLine="0" w:firstLineChars="0"/>
              <w:jc w:val="center"/>
              <w:rPr>
                <w:rFonts w:hint="eastAsia"/>
                <w:b/>
                <w:color w:val="auto"/>
                <w:kern w:val="0"/>
                <w:szCs w:val="24"/>
                <w:highlight w:val="none"/>
              </w:rPr>
            </w:pPr>
            <w:r>
              <w:rPr>
                <w:rFonts w:hint="eastAsia"/>
                <w:b/>
                <w:color w:val="auto"/>
                <w:kern w:val="0"/>
                <w:szCs w:val="24"/>
                <w:highlight w:val="none"/>
              </w:rPr>
              <w:t>表4.3-1  污染影响型建设项目土壤、地下水环境影响因子识别表</w:t>
            </w:r>
          </w:p>
          <w:p w14:paraId="4118CA1B">
            <w:pPr>
              <w:spacing w:line="26" w:lineRule="exact"/>
              <w:ind w:firstLine="480"/>
              <w:rPr>
                <w:color w:val="auto"/>
                <w:highlight w:val="none"/>
              </w:rPr>
            </w:pPr>
          </w:p>
          <w:tbl>
            <w:tblPr>
              <w:tblStyle w:val="27"/>
              <w:tblW w:w="8509"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308"/>
              <w:gridCol w:w="1638"/>
              <w:gridCol w:w="3475"/>
              <w:gridCol w:w="2088"/>
            </w:tblGrid>
            <w:tr w14:paraId="7452B0F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6" w:hRule="atLeast"/>
                <w:jc w:val="center"/>
              </w:trPr>
              <w:tc>
                <w:tcPr>
                  <w:tcW w:w="1308" w:type="dxa"/>
                  <w:noWrap w:val="0"/>
                  <w:vAlign w:val="center"/>
                </w:tcPr>
                <w:p w14:paraId="3961FBEF">
                  <w:pPr>
                    <w:spacing w:line="340" w:lineRule="exact"/>
                    <w:ind w:firstLine="0" w:firstLineChars="0"/>
                    <w:jc w:val="center"/>
                    <w:rPr>
                      <w:rFonts w:hint="eastAsia"/>
                      <w:b/>
                      <w:bCs/>
                      <w:color w:val="auto"/>
                      <w:sz w:val="21"/>
                      <w:szCs w:val="21"/>
                      <w:highlight w:val="none"/>
                      <w:lang w:bidi="ar"/>
                    </w:rPr>
                  </w:pPr>
                  <w:r>
                    <w:rPr>
                      <w:rFonts w:hint="eastAsia"/>
                      <w:b/>
                      <w:bCs/>
                      <w:color w:val="auto"/>
                      <w:sz w:val="21"/>
                      <w:szCs w:val="21"/>
                      <w:highlight w:val="none"/>
                      <w:lang w:bidi="ar"/>
                    </w:rPr>
                    <w:t>污染源</w:t>
                  </w:r>
                </w:p>
              </w:tc>
              <w:tc>
                <w:tcPr>
                  <w:tcW w:w="1638" w:type="dxa"/>
                  <w:noWrap w:val="0"/>
                  <w:vAlign w:val="center"/>
                </w:tcPr>
                <w:p w14:paraId="2C249EE4">
                  <w:pPr>
                    <w:spacing w:line="340" w:lineRule="exact"/>
                    <w:ind w:firstLine="0" w:firstLineChars="0"/>
                    <w:jc w:val="center"/>
                    <w:rPr>
                      <w:rFonts w:hint="eastAsia"/>
                      <w:b/>
                      <w:bCs/>
                      <w:color w:val="auto"/>
                      <w:sz w:val="21"/>
                      <w:szCs w:val="21"/>
                      <w:highlight w:val="none"/>
                      <w:lang w:bidi="ar"/>
                    </w:rPr>
                  </w:pPr>
                  <w:r>
                    <w:rPr>
                      <w:rFonts w:hint="eastAsia"/>
                      <w:b/>
                      <w:bCs/>
                      <w:color w:val="auto"/>
                      <w:sz w:val="21"/>
                      <w:szCs w:val="21"/>
                      <w:highlight w:val="none"/>
                      <w:lang w:bidi="ar"/>
                    </w:rPr>
                    <w:t>节点</w:t>
                  </w:r>
                </w:p>
              </w:tc>
              <w:tc>
                <w:tcPr>
                  <w:tcW w:w="3475" w:type="dxa"/>
                  <w:noWrap w:val="0"/>
                  <w:vAlign w:val="center"/>
                </w:tcPr>
                <w:p w14:paraId="1E6739E2">
                  <w:pPr>
                    <w:spacing w:line="340" w:lineRule="exact"/>
                    <w:ind w:firstLine="0" w:firstLineChars="0"/>
                    <w:jc w:val="center"/>
                    <w:rPr>
                      <w:rFonts w:hint="eastAsia"/>
                      <w:b/>
                      <w:bCs/>
                      <w:color w:val="auto"/>
                      <w:sz w:val="21"/>
                      <w:szCs w:val="21"/>
                      <w:highlight w:val="none"/>
                      <w:lang w:bidi="ar"/>
                    </w:rPr>
                  </w:pPr>
                  <w:r>
                    <w:rPr>
                      <w:rFonts w:hint="eastAsia"/>
                      <w:b/>
                      <w:bCs/>
                      <w:color w:val="auto"/>
                      <w:sz w:val="21"/>
                      <w:szCs w:val="21"/>
                      <w:highlight w:val="none"/>
                      <w:lang w:bidi="ar"/>
                    </w:rPr>
                    <w:t>污染物名称/类型</w:t>
                  </w:r>
                </w:p>
              </w:tc>
              <w:tc>
                <w:tcPr>
                  <w:tcW w:w="2088" w:type="dxa"/>
                  <w:noWrap w:val="0"/>
                  <w:vAlign w:val="center"/>
                </w:tcPr>
                <w:p w14:paraId="40BE380E">
                  <w:pPr>
                    <w:spacing w:line="340" w:lineRule="exact"/>
                    <w:ind w:firstLine="0" w:firstLineChars="0"/>
                    <w:jc w:val="center"/>
                    <w:rPr>
                      <w:rFonts w:hint="eastAsia"/>
                      <w:b/>
                      <w:bCs/>
                      <w:color w:val="auto"/>
                      <w:sz w:val="21"/>
                      <w:szCs w:val="21"/>
                      <w:highlight w:val="none"/>
                      <w:lang w:bidi="ar"/>
                    </w:rPr>
                  </w:pPr>
                  <w:r>
                    <w:rPr>
                      <w:rFonts w:hint="eastAsia"/>
                      <w:b/>
                      <w:bCs/>
                      <w:color w:val="auto"/>
                      <w:sz w:val="21"/>
                      <w:szCs w:val="21"/>
                      <w:highlight w:val="none"/>
                      <w:lang w:bidi="ar"/>
                    </w:rPr>
                    <w:t>污染途径</w:t>
                  </w:r>
                </w:p>
              </w:tc>
            </w:tr>
            <w:tr w14:paraId="51DC93E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48" w:hRule="atLeast"/>
                <w:jc w:val="center"/>
              </w:trPr>
              <w:tc>
                <w:tcPr>
                  <w:tcW w:w="1308" w:type="dxa"/>
                  <w:noWrap w:val="0"/>
                  <w:vAlign w:val="center"/>
                </w:tcPr>
                <w:p w14:paraId="51EF18EB">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危险废物</w:t>
                  </w:r>
                </w:p>
              </w:tc>
              <w:tc>
                <w:tcPr>
                  <w:tcW w:w="1638" w:type="dxa"/>
                  <w:noWrap w:val="0"/>
                  <w:vAlign w:val="center"/>
                </w:tcPr>
                <w:p w14:paraId="62C7A4E7">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危险废物暂存</w:t>
                  </w:r>
                </w:p>
              </w:tc>
              <w:tc>
                <w:tcPr>
                  <w:tcW w:w="3475" w:type="dxa"/>
                  <w:noWrap w:val="0"/>
                  <w:vAlign w:val="center"/>
                </w:tcPr>
                <w:p w14:paraId="07CBDDDE">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废矿物油、废抹布以及废手套、</w:t>
                  </w:r>
                  <w:r>
                    <w:rPr>
                      <w:color w:val="auto"/>
                      <w:sz w:val="21"/>
                      <w:szCs w:val="21"/>
                      <w:highlight w:val="none"/>
                      <w:lang w:bidi="ar"/>
                    </w:rPr>
                    <w:t>废活性炭</w:t>
                  </w:r>
                  <w:r>
                    <w:rPr>
                      <w:rFonts w:hint="eastAsia"/>
                      <w:color w:val="auto"/>
                      <w:sz w:val="21"/>
                      <w:szCs w:val="21"/>
                      <w:highlight w:val="none"/>
                      <w:lang w:bidi="ar"/>
                    </w:rPr>
                    <w:t>等</w:t>
                  </w:r>
                </w:p>
              </w:tc>
              <w:tc>
                <w:tcPr>
                  <w:tcW w:w="2088" w:type="dxa"/>
                  <w:noWrap w:val="0"/>
                  <w:vAlign w:val="center"/>
                </w:tcPr>
                <w:p w14:paraId="1D304BCC">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地面漫流、垂直入渗</w:t>
                  </w:r>
                </w:p>
              </w:tc>
            </w:tr>
            <w:tr w14:paraId="6F8357B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47" w:hRule="atLeast"/>
                <w:jc w:val="center"/>
              </w:trPr>
              <w:tc>
                <w:tcPr>
                  <w:tcW w:w="1308" w:type="dxa"/>
                  <w:noWrap w:val="0"/>
                  <w:vAlign w:val="center"/>
                </w:tcPr>
                <w:p w14:paraId="3FDA06D6">
                  <w:pPr>
                    <w:spacing w:line="340" w:lineRule="exact"/>
                    <w:ind w:firstLine="0" w:firstLineChars="0"/>
                    <w:jc w:val="center"/>
                    <w:rPr>
                      <w:rFonts w:hint="default" w:eastAsia="宋体"/>
                      <w:color w:val="auto"/>
                      <w:sz w:val="21"/>
                      <w:szCs w:val="21"/>
                      <w:highlight w:val="none"/>
                      <w:lang w:val="en-US" w:eastAsia="zh-CN" w:bidi="ar"/>
                    </w:rPr>
                  </w:pPr>
                  <w:r>
                    <w:rPr>
                      <w:rFonts w:hint="eastAsia"/>
                      <w:color w:val="auto"/>
                      <w:sz w:val="21"/>
                      <w:szCs w:val="21"/>
                      <w:highlight w:val="none"/>
                      <w:lang w:val="en-US" w:eastAsia="zh-CN" w:bidi="ar"/>
                    </w:rPr>
                    <w:t>沥青搅拌车间、储罐区</w:t>
                  </w:r>
                </w:p>
              </w:tc>
              <w:tc>
                <w:tcPr>
                  <w:tcW w:w="1638" w:type="dxa"/>
                  <w:noWrap w:val="0"/>
                  <w:vAlign w:val="center"/>
                </w:tcPr>
                <w:p w14:paraId="1186BA64">
                  <w:pPr>
                    <w:spacing w:line="340" w:lineRule="exact"/>
                    <w:ind w:firstLine="0" w:firstLineChars="0"/>
                    <w:jc w:val="center"/>
                    <w:rPr>
                      <w:rFonts w:hint="default" w:eastAsia="宋体"/>
                      <w:color w:val="auto"/>
                      <w:sz w:val="21"/>
                      <w:szCs w:val="21"/>
                      <w:highlight w:val="none"/>
                      <w:lang w:val="en-US" w:eastAsia="zh-CN" w:bidi="ar"/>
                    </w:rPr>
                  </w:pPr>
                  <w:r>
                    <w:rPr>
                      <w:rFonts w:hint="eastAsia"/>
                      <w:color w:val="auto"/>
                      <w:sz w:val="21"/>
                      <w:szCs w:val="21"/>
                      <w:highlight w:val="none"/>
                      <w:lang w:val="en-US" w:eastAsia="zh-CN" w:bidi="ar"/>
                    </w:rPr>
                    <w:t>搅拌设施、储罐区</w:t>
                  </w:r>
                </w:p>
              </w:tc>
              <w:tc>
                <w:tcPr>
                  <w:tcW w:w="3475" w:type="dxa"/>
                  <w:noWrap w:val="0"/>
                  <w:vAlign w:val="center"/>
                </w:tcPr>
                <w:p w14:paraId="7AC05DCD">
                  <w:pPr>
                    <w:spacing w:line="340" w:lineRule="exact"/>
                    <w:ind w:firstLine="0" w:firstLineChars="0"/>
                    <w:jc w:val="center"/>
                    <w:rPr>
                      <w:rFonts w:hint="default" w:eastAsia="宋体"/>
                      <w:color w:val="auto"/>
                      <w:sz w:val="21"/>
                      <w:szCs w:val="21"/>
                      <w:highlight w:val="none"/>
                      <w:lang w:val="en-US" w:eastAsia="zh-CN" w:bidi="ar"/>
                    </w:rPr>
                  </w:pPr>
                  <w:r>
                    <w:rPr>
                      <w:rFonts w:hint="eastAsia"/>
                      <w:color w:val="auto"/>
                      <w:sz w:val="21"/>
                      <w:szCs w:val="21"/>
                      <w:highlight w:val="none"/>
                      <w:lang w:val="en-US" w:eastAsia="zh-CN" w:bidi="ar"/>
                    </w:rPr>
                    <w:t>沥青、乳化剂、乳化沥青、沥青混凝土</w:t>
                  </w:r>
                </w:p>
              </w:tc>
              <w:tc>
                <w:tcPr>
                  <w:tcW w:w="2088" w:type="dxa"/>
                  <w:noWrap w:val="0"/>
                  <w:vAlign w:val="center"/>
                </w:tcPr>
                <w:p w14:paraId="342FFD6B">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地面漫流、垂直入渗</w:t>
                  </w:r>
                </w:p>
              </w:tc>
            </w:tr>
            <w:tr w14:paraId="3CAEE20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6" w:hRule="atLeast"/>
                <w:jc w:val="center"/>
              </w:trPr>
              <w:tc>
                <w:tcPr>
                  <w:tcW w:w="1308" w:type="dxa"/>
                  <w:noWrap w:val="0"/>
                  <w:vAlign w:val="center"/>
                </w:tcPr>
                <w:p w14:paraId="6F321615">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废气装置</w:t>
                  </w:r>
                </w:p>
              </w:tc>
              <w:tc>
                <w:tcPr>
                  <w:tcW w:w="1638" w:type="dxa"/>
                  <w:noWrap w:val="0"/>
                  <w:vAlign w:val="center"/>
                </w:tcPr>
                <w:p w14:paraId="6D797FCD">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废气处理设施</w:t>
                  </w:r>
                </w:p>
              </w:tc>
              <w:tc>
                <w:tcPr>
                  <w:tcW w:w="3475" w:type="dxa"/>
                  <w:noWrap w:val="0"/>
                  <w:vAlign w:val="center"/>
                </w:tcPr>
                <w:p w14:paraId="43714C01">
                  <w:pPr>
                    <w:spacing w:line="340" w:lineRule="exact"/>
                    <w:ind w:firstLine="0" w:firstLineChars="0"/>
                    <w:jc w:val="center"/>
                    <w:rPr>
                      <w:rFonts w:hint="default"/>
                      <w:color w:val="auto"/>
                      <w:sz w:val="21"/>
                      <w:szCs w:val="21"/>
                      <w:highlight w:val="none"/>
                      <w:lang w:val="en-US" w:bidi="ar"/>
                    </w:rPr>
                  </w:pPr>
                  <w:r>
                    <w:rPr>
                      <w:rFonts w:hint="eastAsia"/>
                      <w:color w:val="auto"/>
                      <w:sz w:val="21"/>
                      <w:szCs w:val="21"/>
                      <w:highlight w:val="none"/>
                      <w:lang w:bidi="ar"/>
                    </w:rPr>
                    <w:t>颗粒物、</w:t>
                  </w:r>
                  <w:r>
                    <w:rPr>
                      <w:rFonts w:hint="eastAsia"/>
                      <w:color w:val="auto"/>
                      <w:sz w:val="21"/>
                      <w:szCs w:val="21"/>
                      <w:highlight w:val="none"/>
                      <w:lang w:val="en-US" w:eastAsia="zh-CN" w:bidi="ar"/>
                    </w:rPr>
                    <w:t>二氧化硫、</w:t>
                  </w:r>
                  <w:r>
                    <w:rPr>
                      <w:rFonts w:hint="eastAsia" w:ascii="Times New Roman" w:hAnsi="Times New Roman" w:eastAsia="宋体" w:cs="Times New Roman"/>
                      <w:color w:val="auto"/>
                      <w:sz w:val="21"/>
                      <w:szCs w:val="21"/>
                      <w:highlight w:val="none"/>
                      <w:lang w:val="en-US" w:eastAsia="zh-CN" w:bidi="ar"/>
                    </w:rPr>
                    <w:t>氮氧化物、沥青烟、苯并[a]芘、非甲烷总烃</w:t>
                  </w:r>
                </w:p>
              </w:tc>
              <w:tc>
                <w:tcPr>
                  <w:tcW w:w="2088" w:type="dxa"/>
                  <w:noWrap w:val="0"/>
                  <w:vAlign w:val="center"/>
                </w:tcPr>
                <w:p w14:paraId="0A6FE234">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大气沉降</w:t>
                  </w:r>
                </w:p>
              </w:tc>
            </w:tr>
          </w:tbl>
          <w:p w14:paraId="19C585DA">
            <w:pPr>
              <w:ind w:firstLine="480"/>
              <w:rPr>
                <w:color w:val="auto"/>
                <w:highlight w:val="none"/>
              </w:rPr>
            </w:pPr>
            <w:r>
              <w:rPr>
                <w:color w:val="auto"/>
                <w:highlight w:val="none"/>
              </w:rPr>
              <w:t>（2）分区防控措施</w:t>
            </w:r>
          </w:p>
          <w:p w14:paraId="73AC5569">
            <w:pPr>
              <w:ind w:firstLine="480"/>
              <w:rPr>
                <w:color w:val="auto"/>
                <w:highlight w:val="none"/>
              </w:rPr>
            </w:pPr>
            <w:r>
              <w:rPr>
                <w:color w:val="auto"/>
                <w:highlight w:val="none"/>
              </w:rPr>
              <w:t>项目区域防渗分区等级见表</w:t>
            </w:r>
            <w:r>
              <w:rPr>
                <w:rFonts w:hint="eastAsia"/>
                <w:color w:val="auto"/>
                <w:highlight w:val="none"/>
              </w:rPr>
              <w:t>4.3-2</w:t>
            </w:r>
            <w:r>
              <w:rPr>
                <w:color w:val="auto"/>
                <w:highlight w:val="none"/>
              </w:rPr>
              <w:t>。</w:t>
            </w:r>
          </w:p>
          <w:p w14:paraId="6340DB8A">
            <w:pPr>
              <w:pStyle w:val="123"/>
              <w:ind w:firstLine="0" w:firstLineChars="0"/>
              <w:jc w:val="center"/>
              <w:rPr>
                <w:rFonts w:hint="eastAsia"/>
                <w:b/>
                <w:color w:val="auto"/>
                <w:kern w:val="0"/>
                <w:szCs w:val="24"/>
                <w:highlight w:val="none"/>
              </w:rPr>
            </w:pPr>
            <w:r>
              <w:rPr>
                <w:rFonts w:hint="eastAsia"/>
                <w:b/>
                <w:color w:val="auto"/>
                <w:kern w:val="0"/>
                <w:szCs w:val="24"/>
                <w:highlight w:val="none"/>
              </w:rPr>
              <w:t>表4.3-2  项目污染区划分及防渗等级一览表</w:t>
            </w:r>
          </w:p>
          <w:p w14:paraId="7E4FAB0C">
            <w:pPr>
              <w:spacing w:line="24" w:lineRule="exact"/>
              <w:ind w:firstLine="480"/>
              <w:rPr>
                <w:color w:val="auto"/>
                <w:highlight w:val="none"/>
              </w:rPr>
            </w:pPr>
          </w:p>
          <w:tbl>
            <w:tblPr>
              <w:tblStyle w:val="27"/>
              <w:tblW w:w="8359"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741"/>
              <w:gridCol w:w="3753"/>
              <w:gridCol w:w="2865"/>
            </w:tblGrid>
            <w:tr w14:paraId="5D998BE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92" w:hRule="atLeast"/>
                <w:jc w:val="center"/>
              </w:trPr>
              <w:tc>
                <w:tcPr>
                  <w:tcW w:w="3286" w:type="pct"/>
                  <w:gridSpan w:val="2"/>
                  <w:noWrap w:val="0"/>
                  <w:vAlign w:val="center"/>
                </w:tcPr>
                <w:p w14:paraId="1E34ACA4">
                  <w:pPr>
                    <w:spacing w:line="340" w:lineRule="exact"/>
                    <w:ind w:firstLine="0" w:firstLineChars="0"/>
                    <w:jc w:val="center"/>
                    <w:rPr>
                      <w:rFonts w:hint="eastAsia"/>
                      <w:b/>
                      <w:bCs/>
                      <w:color w:val="auto"/>
                      <w:sz w:val="21"/>
                      <w:szCs w:val="21"/>
                      <w:highlight w:val="none"/>
                      <w:lang w:bidi="ar"/>
                    </w:rPr>
                  </w:pPr>
                  <w:r>
                    <w:rPr>
                      <w:rFonts w:hint="eastAsia"/>
                      <w:b/>
                      <w:bCs/>
                      <w:color w:val="auto"/>
                      <w:sz w:val="21"/>
                      <w:szCs w:val="21"/>
                      <w:highlight w:val="none"/>
                      <w:lang w:bidi="ar"/>
                    </w:rPr>
                    <w:t>污染防控区域</w:t>
                  </w:r>
                </w:p>
              </w:tc>
              <w:tc>
                <w:tcPr>
                  <w:tcW w:w="1713" w:type="pct"/>
                  <w:noWrap w:val="0"/>
                  <w:vAlign w:val="center"/>
                </w:tcPr>
                <w:p w14:paraId="2D019DFF">
                  <w:pPr>
                    <w:spacing w:line="340" w:lineRule="exact"/>
                    <w:ind w:firstLine="0" w:firstLineChars="0"/>
                    <w:jc w:val="center"/>
                    <w:rPr>
                      <w:rFonts w:hint="eastAsia"/>
                      <w:b/>
                      <w:bCs/>
                      <w:color w:val="auto"/>
                      <w:sz w:val="21"/>
                      <w:szCs w:val="21"/>
                      <w:highlight w:val="none"/>
                      <w:lang w:bidi="ar"/>
                    </w:rPr>
                  </w:pPr>
                  <w:r>
                    <w:rPr>
                      <w:rFonts w:hint="eastAsia"/>
                      <w:b/>
                      <w:bCs/>
                      <w:color w:val="auto"/>
                      <w:sz w:val="21"/>
                      <w:szCs w:val="21"/>
                      <w:highlight w:val="none"/>
                      <w:lang w:bidi="ar"/>
                    </w:rPr>
                    <w:t>防渗措施</w:t>
                  </w:r>
                </w:p>
              </w:tc>
            </w:tr>
            <w:tr w14:paraId="31739D5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18" w:hRule="atLeast"/>
                <w:jc w:val="center"/>
              </w:trPr>
              <w:tc>
                <w:tcPr>
                  <w:tcW w:w="1041" w:type="pct"/>
                  <w:noWrap w:val="0"/>
                  <w:vAlign w:val="center"/>
                </w:tcPr>
                <w:p w14:paraId="7E1FC344">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重点污染防渗区</w:t>
                  </w:r>
                </w:p>
              </w:tc>
              <w:tc>
                <w:tcPr>
                  <w:tcW w:w="2244" w:type="pct"/>
                  <w:noWrap w:val="0"/>
                  <w:vAlign w:val="center"/>
                </w:tcPr>
                <w:p w14:paraId="4432BE45">
                  <w:pPr>
                    <w:spacing w:line="340" w:lineRule="exact"/>
                    <w:ind w:firstLine="0" w:firstLineChars="0"/>
                    <w:jc w:val="center"/>
                    <w:rPr>
                      <w:rFonts w:hint="default" w:eastAsia="宋体"/>
                      <w:color w:val="auto"/>
                      <w:sz w:val="21"/>
                      <w:szCs w:val="21"/>
                      <w:highlight w:val="none"/>
                      <w:lang w:val="en-US" w:eastAsia="zh-CN" w:bidi="ar"/>
                    </w:rPr>
                  </w:pPr>
                  <w:r>
                    <w:rPr>
                      <w:rFonts w:hint="eastAsia"/>
                      <w:color w:val="auto"/>
                      <w:sz w:val="21"/>
                      <w:szCs w:val="21"/>
                      <w:highlight w:val="none"/>
                      <w:lang w:bidi="ar"/>
                    </w:rPr>
                    <w:t>危废</w:t>
                  </w:r>
                  <w:r>
                    <w:rPr>
                      <w:rFonts w:hint="eastAsia"/>
                      <w:color w:val="auto"/>
                      <w:sz w:val="21"/>
                      <w:szCs w:val="21"/>
                      <w:highlight w:val="none"/>
                      <w:lang w:val="en-US" w:eastAsia="zh-CN" w:bidi="ar"/>
                    </w:rPr>
                    <w:t>贮存间</w:t>
                  </w:r>
                  <w:r>
                    <w:rPr>
                      <w:rFonts w:hint="eastAsia"/>
                      <w:color w:val="auto"/>
                      <w:sz w:val="21"/>
                      <w:szCs w:val="21"/>
                      <w:highlight w:val="none"/>
                      <w:lang w:eastAsia="zh-CN" w:bidi="ar"/>
                    </w:rPr>
                    <w:t>、</w:t>
                  </w:r>
                  <w:r>
                    <w:rPr>
                      <w:rFonts w:hint="eastAsia"/>
                      <w:color w:val="auto"/>
                      <w:sz w:val="21"/>
                      <w:szCs w:val="21"/>
                      <w:highlight w:val="none"/>
                      <w:lang w:val="en-US" w:eastAsia="zh-CN" w:bidi="ar"/>
                    </w:rPr>
                    <w:t>沥青搅拌车间、储罐区</w:t>
                  </w:r>
                </w:p>
              </w:tc>
              <w:tc>
                <w:tcPr>
                  <w:tcW w:w="1713" w:type="pct"/>
                  <w:noWrap w:val="0"/>
                  <w:vAlign w:val="center"/>
                </w:tcPr>
                <w:p w14:paraId="14FE29D8">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等效黏土防渗层MB≥6.0m，渗透系数≤1.0×10</w:t>
                  </w:r>
                  <w:r>
                    <w:rPr>
                      <w:rFonts w:hint="eastAsia"/>
                      <w:color w:val="auto"/>
                      <w:sz w:val="21"/>
                      <w:szCs w:val="21"/>
                      <w:highlight w:val="none"/>
                      <w:vertAlign w:val="superscript"/>
                      <w:lang w:bidi="ar"/>
                    </w:rPr>
                    <w:t>-7</w:t>
                  </w:r>
                  <w:r>
                    <w:rPr>
                      <w:rFonts w:hint="eastAsia"/>
                      <w:color w:val="auto"/>
                      <w:sz w:val="21"/>
                      <w:szCs w:val="21"/>
                      <w:highlight w:val="none"/>
                      <w:lang w:bidi="ar"/>
                    </w:rPr>
                    <w:t>cm/s</w:t>
                  </w:r>
                </w:p>
              </w:tc>
            </w:tr>
            <w:tr w14:paraId="303D3FA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1041" w:type="pct"/>
                  <w:noWrap w:val="0"/>
                  <w:vAlign w:val="center"/>
                </w:tcPr>
                <w:p w14:paraId="379B778A">
                  <w:pPr>
                    <w:spacing w:line="340" w:lineRule="exact"/>
                    <w:ind w:firstLine="0" w:firstLineChars="0"/>
                    <w:jc w:val="center"/>
                    <w:rPr>
                      <w:rFonts w:hint="eastAsia"/>
                      <w:color w:val="auto"/>
                      <w:sz w:val="21"/>
                      <w:szCs w:val="21"/>
                      <w:highlight w:val="none"/>
                      <w:lang w:bidi="ar"/>
                    </w:rPr>
                  </w:pPr>
                  <w:r>
                    <w:rPr>
                      <w:rFonts w:hint="eastAsia" w:ascii="宋体" w:hAnsi="宋体" w:eastAsia="宋体" w:cs="宋体"/>
                      <w:snapToGrid/>
                      <w:color w:val="auto"/>
                      <w:kern w:val="2"/>
                      <w:sz w:val="21"/>
                      <w:szCs w:val="21"/>
                      <w:highlight w:val="none"/>
                      <w:lang w:val="en-US" w:eastAsia="zh-CN" w:bidi="ar"/>
                    </w:rPr>
                    <w:t>简单防渗区</w:t>
                  </w:r>
                </w:p>
              </w:tc>
              <w:tc>
                <w:tcPr>
                  <w:tcW w:w="2244" w:type="pct"/>
                  <w:noWrap w:val="0"/>
                  <w:vAlign w:val="center"/>
                </w:tcPr>
                <w:p w14:paraId="49FA462E">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val="en-US" w:eastAsia="zh-CN" w:bidi="ar"/>
                    </w:rPr>
                    <w:t>骨料加热车间、骨料堆场、一般固废暂存间、</w:t>
                  </w:r>
                  <w:r>
                    <w:rPr>
                      <w:rFonts w:hint="eastAsia"/>
                      <w:color w:val="auto"/>
                      <w:sz w:val="21"/>
                      <w:szCs w:val="21"/>
                      <w:highlight w:val="none"/>
                      <w:lang w:bidi="ar"/>
                    </w:rPr>
                    <w:t>办公室、</w:t>
                  </w:r>
                  <w:r>
                    <w:rPr>
                      <w:rFonts w:hint="eastAsia"/>
                      <w:color w:val="auto"/>
                      <w:sz w:val="21"/>
                      <w:szCs w:val="21"/>
                      <w:highlight w:val="none"/>
                      <w:lang w:val="en-US" w:eastAsia="zh-CN" w:bidi="ar"/>
                    </w:rPr>
                    <w:t>食堂、</w:t>
                  </w:r>
                  <w:r>
                    <w:rPr>
                      <w:rFonts w:hint="eastAsia"/>
                      <w:color w:val="auto"/>
                      <w:sz w:val="21"/>
                      <w:szCs w:val="21"/>
                      <w:highlight w:val="none"/>
                      <w:lang w:bidi="ar"/>
                    </w:rPr>
                    <w:t>宿舍等其他区域</w:t>
                  </w:r>
                </w:p>
              </w:tc>
              <w:tc>
                <w:tcPr>
                  <w:tcW w:w="1713" w:type="pct"/>
                  <w:noWrap w:val="0"/>
                  <w:vAlign w:val="center"/>
                </w:tcPr>
                <w:p w14:paraId="70FB8374">
                  <w:pPr>
                    <w:spacing w:line="340" w:lineRule="exact"/>
                    <w:ind w:firstLine="0" w:firstLineChars="0"/>
                    <w:jc w:val="center"/>
                    <w:rPr>
                      <w:rFonts w:hint="eastAsia"/>
                      <w:color w:val="auto"/>
                      <w:sz w:val="21"/>
                      <w:szCs w:val="21"/>
                      <w:highlight w:val="none"/>
                      <w:lang w:bidi="ar"/>
                    </w:rPr>
                  </w:pPr>
                  <w:r>
                    <w:rPr>
                      <w:rFonts w:hint="eastAsia" w:ascii="宋体" w:hAnsi="宋体" w:eastAsia="宋体" w:cs="宋体"/>
                      <w:snapToGrid/>
                      <w:color w:val="auto"/>
                      <w:kern w:val="2"/>
                      <w:sz w:val="21"/>
                      <w:szCs w:val="21"/>
                      <w:highlight w:val="none"/>
                      <w:lang w:val="en-US" w:eastAsia="zh-CN" w:bidi="ar"/>
                    </w:rPr>
                    <w:t>地面硬化</w:t>
                  </w:r>
                </w:p>
              </w:tc>
            </w:tr>
          </w:tbl>
          <w:p w14:paraId="762ACB4C">
            <w:pPr>
              <w:ind w:firstLine="480"/>
              <w:rPr>
                <w:rFonts w:hint="eastAsia"/>
                <w:color w:val="auto"/>
                <w:highlight w:val="none"/>
              </w:rPr>
            </w:pPr>
            <w:r>
              <w:rPr>
                <w:color w:val="auto"/>
                <w:highlight w:val="none"/>
              </w:rPr>
              <w:t>本项目厂区主要生产区域均已完成地面硬化，在做好防渗措施的情况下，正常生产运行过程中无相关污染途径，不会造成地下水、土壤污染。且</w:t>
            </w:r>
            <w:r>
              <w:rPr>
                <w:rFonts w:hint="eastAsia"/>
                <w:color w:val="auto"/>
                <w:highlight w:val="none"/>
                <w:lang w:val="en-US" w:eastAsia="zh-CN"/>
              </w:rPr>
              <w:t>储罐区、搅拌车间均</w:t>
            </w:r>
            <w:r>
              <w:rPr>
                <w:color w:val="auto"/>
                <w:highlight w:val="none"/>
              </w:rPr>
              <w:t>做好防渗措施。污水管道</w:t>
            </w:r>
            <w:r>
              <w:rPr>
                <w:rFonts w:hint="eastAsia"/>
                <w:color w:val="auto"/>
                <w:highlight w:val="none"/>
                <w:lang w:val="en-US" w:eastAsia="zh-CN"/>
              </w:rPr>
              <w:t>也将</w:t>
            </w:r>
            <w:r>
              <w:rPr>
                <w:color w:val="auto"/>
                <w:highlight w:val="none"/>
              </w:rPr>
              <w:t>做好底部硬底措施，可有效防止污水下渗到土壤；厂区内除绿化用地外，</w:t>
            </w:r>
            <w:r>
              <w:rPr>
                <w:rFonts w:hint="eastAsia"/>
                <w:color w:val="auto"/>
                <w:highlight w:val="none"/>
                <w:lang w:val="en-US" w:eastAsia="zh-CN"/>
              </w:rPr>
              <w:t>也将</w:t>
            </w:r>
            <w:r>
              <w:rPr>
                <w:color w:val="auto"/>
                <w:highlight w:val="none"/>
              </w:rPr>
              <w:t>进行地面</w:t>
            </w:r>
            <w:r>
              <w:rPr>
                <w:rFonts w:hint="eastAsia"/>
                <w:color w:val="auto"/>
                <w:highlight w:val="none"/>
                <w:lang w:val="en-US" w:eastAsia="zh-CN"/>
              </w:rPr>
              <w:t>全</w:t>
            </w:r>
            <w:r>
              <w:rPr>
                <w:color w:val="auto"/>
                <w:highlight w:val="none"/>
              </w:rPr>
              <w:t>硬化防渗处理，不存在土壤、地下水污染途径。</w:t>
            </w:r>
          </w:p>
          <w:p w14:paraId="785B654D">
            <w:pPr>
              <w:pStyle w:val="3"/>
              <w:rPr>
                <w:color w:val="auto"/>
                <w:highlight w:val="none"/>
              </w:rPr>
            </w:pPr>
            <w:r>
              <w:rPr>
                <w:color w:val="auto"/>
                <w:highlight w:val="none"/>
              </w:rPr>
              <w:t>4.</w:t>
            </w:r>
            <w:r>
              <w:rPr>
                <w:rFonts w:hint="eastAsia"/>
                <w:color w:val="auto"/>
                <w:highlight w:val="none"/>
              </w:rPr>
              <w:t>5</w:t>
            </w:r>
            <w:r>
              <w:rPr>
                <w:color w:val="auto"/>
                <w:highlight w:val="none"/>
              </w:rPr>
              <w:t>环境风险</w:t>
            </w:r>
            <w:r>
              <w:rPr>
                <w:rFonts w:hint="eastAsia"/>
                <w:color w:val="auto"/>
                <w:highlight w:val="none"/>
              </w:rPr>
              <w:t>分析</w:t>
            </w:r>
          </w:p>
          <w:p w14:paraId="4E1F15FB">
            <w:pPr>
              <w:pStyle w:val="4"/>
              <w:rPr>
                <w:color w:val="auto"/>
                <w:highlight w:val="none"/>
              </w:rPr>
            </w:pPr>
            <w:r>
              <w:rPr>
                <w:color w:val="auto"/>
                <w:highlight w:val="none"/>
              </w:rPr>
              <w:t>4.</w:t>
            </w:r>
            <w:r>
              <w:rPr>
                <w:rFonts w:hint="eastAsia"/>
                <w:color w:val="auto"/>
                <w:highlight w:val="none"/>
              </w:rPr>
              <w:t>5</w:t>
            </w:r>
            <w:r>
              <w:rPr>
                <w:color w:val="auto"/>
                <w:highlight w:val="none"/>
              </w:rPr>
              <w:t>.1环境风险潜势</w:t>
            </w:r>
          </w:p>
          <w:p w14:paraId="659746A6">
            <w:pPr>
              <w:pStyle w:val="93"/>
              <w:ind w:firstLine="480"/>
              <w:rPr>
                <w:rFonts w:ascii="Times New Roman" w:hAnsi="Times New Roman"/>
                <w:color w:val="auto"/>
                <w:highlight w:val="none"/>
              </w:rPr>
            </w:pPr>
            <w:r>
              <w:rPr>
                <w:rFonts w:ascii="Times New Roman" w:hAnsi="Times New Roman"/>
                <w:color w:val="auto"/>
                <w:highlight w:val="none"/>
              </w:rPr>
              <w:t>根据《企业突发环境事件风险分级方法》（HJ941-2018）附录A中突发环境事件风险物质及临界量清单和《建设项目环境风险评价技术导则》（HJ169-2018）附录B中的</w:t>
            </w:r>
            <w:r>
              <w:rPr>
                <w:rFonts w:hint="eastAsia" w:ascii="Times New Roman" w:hAnsi="Times New Roman"/>
                <w:color w:val="auto"/>
                <w:highlight w:val="none"/>
              </w:rPr>
              <w:t>“</w:t>
            </w:r>
            <w:r>
              <w:rPr>
                <w:rFonts w:ascii="Times New Roman" w:hAnsi="Times New Roman"/>
                <w:color w:val="auto"/>
                <w:highlight w:val="none"/>
              </w:rPr>
              <w:t>重点关注的危险物质及临界量</w:t>
            </w:r>
            <w:r>
              <w:rPr>
                <w:rFonts w:hint="eastAsia" w:ascii="Times New Roman" w:hAnsi="Times New Roman"/>
                <w:color w:val="auto"/>
                <w:highlight w:val="none"/>
              </w:rPr>
              <w:t>”</w:t>
            </w:r>
            <w:r>
              <w:rPr>
                <w:rFonts w:ascii="Times New Roman" w:hAnsi="Times New Roman"/>
                <w:color w:val="auto"/>
                <w:highlight w:val="none"/>
              </w:rPr>
              <w:t>，本项目风险物质主要为</w:t>
            </w:r>
            <w:r>
              <w:rPr>
                <w:rFonts w:hint="eastAsia" w:ascii="Times New Roman" w:hAnsi="Times New Roman"/>
                <w:color w:val="auto"/>
                <w:highlight w:val="none"/>
                <w:lang w:val="en-US" w:eastAsia="zh-CN"/>
              </w:rPr>
              <w:t>导热油、废机油、天然气</w:t>
            </w:r>
            <w:r>
              <w:rPr>
                <w:rFonts w:ascii="Times New Roman" w:hAnsi="Times New Roman"/>
                <w:color w:val="auto"/>
                <w:highlight w:val="none"/>
              </w:rPr>
              <w:t>。</w:t>
            </w:r>
          </w:p>
          <w:p w14:paraId="6E1D645F">
            <w:pPr>
              <w:pStyle w:val="4"/>
              <w:rPr>
                <w:color w:val="auto"/>
                <w:highlight w:val="none"/>
              </w:rPr>
            </w:pPr>
            <w:r>
              <w:rPr>
                <w:color w:val="auto"/>
                <w:highlight w:val="none"/>
              </w:rPr>
              <w:t>4.</w:t>
            </w:r>
            <w:r>
              <w:rPr>
                <w:rFonts w:hint="eastAsia"/>
                <w:color w:val="auto"/>
                <w:highlight w:val="none"/>
              </w:rPr>
              <w:t>5</w:t>
            </w:r>
            <w:r>
              <w:rPr>
                <w:color w:val="auto"/>
                <w:highlight w:val="none"/>
              </w:rPr>
              <w:t>.2环境风险潜势分析</w:t>
            </w:r>
          </w:p>
          <w:p w14:paraId="0128A9D1">
            <w:pPr>
              <w:ind w:firstLine="480"/>
              <w:rPr>
                <w:color w:val="auto"/>
                <w:highlight w:val="none"/>
              </w:rPr>
            </w:pPr>
            <w:r>
              <w:rPr>
                <w:color w:val="auto"/>
                <w:highlight w:val="none"/>
                <w:lang w:val="zh-CN"/>
              </w:rPr>
              <w:t>根据</w:t>
            </w:r>
            <w:r>
              <w:rPr>
                <w:color w:val="auto"/>
                <w:highlight w:val="none"/>
              </w:rPr>
              <w:t>《建设项目环境风险评价技术导则》（HJ169-2018）附录C，计算所涉及的每种危险物质在厂界内的最大存在总量与其在《建设项目环境风险评价技术导则》（HJ169-2018）附录B中对应临界量的比值Q。在不同厂区的同一种物质，按其在厂界内的最大存在总量计算。当企业只涉及一种风险物质时，该物质的数量与其临界量的比值，即为Q。当企业存在多种化学物质时，则按下式计算物质总量与其临界量比值（Q）：</w:t>
            </w:r>
          </w:p>
          <w:p w14:paraId="73E25B64">
            <w:pPr>
              <w:ind w:firstLine="0" w:firstLineChars="0"/>
              <w:jc w:val="center"/>
              <w:rPr>
                <w:color w:val="auto"/>
                <w:highlight w:val="none"/>
              </w:rPr>
            </w:pPr>
            <w:r>
              <w:rPr>
                <w:color w:val="auto"/>
                <w:highlight w:val="none"/>
              </w:rPr>
              <w:drawing>
                <wp:inline distT="0" distB="0" distL="114300" distR="114300">
                  <wp:extent cx="1903730" cy="464185"/>
                  <wp:effectExtent l="0" t="0" r="1270" b="12065"/>
                  <wp:docPr id="30" name="图片 1" descr="C:\Users\admin\AppData\Roaming\Tencent\Users\506048567\QQ\WinTemp\RichOle\`_O{@QX45~6E2EU4~BK~(Z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descr="C:\Users\admin\AppData\Roaming\Tencent\Users\506048567\QQ\WinTemp\RichOle\`_O{@QX45~6E2EU4~BK~(ZR.png"/>
                          <pic:cNvPicPr>
                            <a:picLocks noChangeAspect="1"/>
                          </pic:cNvPicPr>
                        </pic:nvPicPr>
                        <pic:blipFill>
                          <a:blip r:embed="rId32"/>
                          <a:stretch>
                            <a:fillRect/>
                          </a:stretch>
                        </pic:blipFill>
                        <pic:spPr>
                          <a:xfrm>
                            <a:off x="0" y="0"/>
                            <a:ext cx="1903730" cy="464185"/>
                          </a:xfrm>
                          <a:prstGeom prst="rect">
                            <a:avLst/>
                          </a:prstGeom>
                          <a:noFill/>
                          <a:ln>
                            <a:noFill/>
                          </a:ln>
                          <a:effectLst/>
                        </pic:spPr>
                      </pic:pic>
                    </a:graphicData>
                  </a:graphic>
                </wp:inline>
              </w:drawing>
            </w:r>
          </w:p>
          <w:p w14:paraId="673AF011">
            <w:pPr>
              <w:ind w:firstLine="480"/>
              <w:rPr>
                <w:color w:val="auto"/>
                <w:highlight w:val="none"/>
              </w:rPr>
            </w:pPr>
            <w:r>
              <w:rPr>
                <w:color w:val="auto"/>
                <w:highlight w:val="none"/>
              </w:rPr>
              <w:t>式中：q1，q2，...，qn——每种风险物质的存在量，t；</w:t>
            </w:r>
          </w:p>
          <w:p w14:paraId="52B6AD54">
            <w:pPr>
              <w:ind w:firstLine="480"/>
              <w:rPr>
                <w:color w:val="auto"/>
                <w:highlight w:val="none"/>
              </w:rPr>
            </w:pPr>
            <w:r>
              <w:rPr>
                <w:color w:val="auto"/>
                <w:highlight w:val="none"/>
              </w:rPr>
              <w:t>Q1，Q2，...，Qn——每种风险物质的临界量，t。</w:t>
            </w:r>
          </w:p>
          <w:p w14:paraId="7D7EC48C">
            <w:pPr>
              <w:ind w:firstLine="480"/>
              <w:rPr>
                <w:color w:val="auto"/>
                <w:highlight w:val="none"/>
              </w:rPr>
            </w:pPr>
            <w:r>
              <w:rPr>
                <w:color w:val="auto"/>
                <w:highlight w:val="none"/>
              </w:rPr>
              <w:t>当Q＜1时，该项目环境风险潜势为</w:t>
            </w:r>
            <w:r>
              <w:rPr>
                <w:color w:val="auto"/>
                <w:highlight w:val="none"/>
              </w:rPr>
              <w:fldChar w:fldCharType="begin"/>
            </w:r>
            <w:r>
              <w:rPr>
                <w:color w:val="auto"/>
                <w:highlight w:val="none"/>
              </w:rPr>
              <w:instrText xml:space="preserve"> = 1 \* ROMAN </w:instrText>
            </w:r>
            <w:r>
              <w:rPr>
                <w:color w:val="auto"/>
                <w:highlight w:val="none"/>
              </w:rPr>
              <w:fldChar w:fldCharType="separate"/>
            </w:r>
            <w:r>
              <w:rPr>
                <w:color w:val="auto"/>
                <w:highlight w:val="none"/>
              </w:rPr>
              <w:t>I</w:t>
            </w:r>
            <w:r>
              <w:rPr>
                <w:color w:val="auto"/>
                <w:highlight w:val="none"/>
              </w:rPr>
              <w:fldChar w:fldCharType="end"/>
            </w:r>
            <w:r>
              <w:rPr>
                <w:color w:val="auto"/>
                <w:highlight w:val="none"/>
              </w:rPr>
              <w:t>。</w:t>
            </w:r>
          </w:p>
          <w:p w14:paraId="319B5599">
            <w:pPr>
              <w:ind w:firstLine="480"/>
              <w:rPr>
                <w:color w:val="auto"/>
                <w:highlight w:val="none"/>
              </w:rPr>
            </w:pPr>
            <w:r>
              <w:rPr>
                <w:color w:val="auto"/>
                <w:highlight w:val="none"/>
              </w:rPr>
              <w:t>当Q≥1时，将Q值划分为：（1）1≤Q＜10；（2）10≤Q＜100；（3）Q≥100。</w:t>
            </w:r>
          </w:p>
          <w:p w14:paraId="3EBD190F">
            <w:pPr>
              <w:pStyle w:val="93"/>
              <w:ind w:firstLine="480"/>
              <w:rPr>
                <w:rFonts w:ascii="Times New Roman" w:hAnsi="Times New Roman"/>
                <w:color w:val="auto"/>
                <w:highlight w:val="none"/>
              </w:rPr>
            </w:pPr>
            <w:r>
              <w:rPr>
                <w:rFonts w:ascii="Times New Roman" w:hAnsi="Times New Roman"/>
                <w:color w:val="auto"/>
                <w:highlight w:val="none"/>
                <w:lang w:val="zh-CN"/>
              </w:rPr>
              <w:t>本项目涉及的危险物质情况及临界量比值详见表</w:t>
            </w:r>
            <w:r>
              <w:rPr>
                <w:rFonts w:ascii="Times New Roman" w:hAnsi="Times New Roman"/>
                <w:color w:val="auto"/>
                <w:highlight w:val="none"/>
              </w:rPr>
              <w:t>4.</w:t>
            </w:r>
            <w:r>
              <w:rPr>
                <w:rFonts w:hint="eastAsia" w:ascii="Times New Roman" w:hAnsi="Times New Roman"/>
                <w:color w:val="auto"/>
                <w:highlight w:val="none"/>
              </w:rPr>
              <w:t>5</w:t>
            </w:r>
            <w:r>
              <w:rPr>
                <w:rFonts w:ascii="Times New Roman" w:hAnsi="Times New Roman"/>
                <w:color w:val="auto"/>
                <w:highlight w:val="none"/>
              </w:rPr>
              <w:t>-1，本</w:t>
            </w:r>
            <w:r>
              <w:rPr>
                <w:rFonts w:ascii="Times New Roman" w:hAnsi="Times New Roman"/>
                <w:color w:val="auto"/>
                <w:highlight w:val="none"/>
                <w:lang w:val="zh-CN"/>
              </w:rPr>
              <w:t>项目危险物质的临界量比值</w:t>
            </w:r>
            <w:r>
              <w:rPr>
                <w:rFonts w:ascii="Times New Roman" w:hAnsi="Times New Roman"/>
                <w:color w:val="auto"/>
                <w:highlight w:val="none"/>
              </w:rPr>
              <w:t>Q＜1，项目环境风险潜势为Ⅰ，本项目的环境风险评价工作等级为简单分析。</w:t>
            </w:r>
          </w:p>
          <w:p w14:paraId="0261497F">
            <w:pPr>
              <w:pStyle w:val="81"/>
              <w:rPr>
                <w:rFonts w:ascii="Times New Roman" w:hAnsi="Times New Roman" w:cs="Times New Roman"/>
                <w:color w:val="auto"/>
                <w:highlight w:val="none"/>
                <w:lang w:val="en-US" w:eastAsia="zh-CN"/>
              </w:rPr>
            </w:pPr>
            <w:r>
              <w:rPr>
                <w:rFonts w:ascii="Times New Roman" w:hAnsi="Times New Roman" w:cs="Times New Roman"/>
                <w:color w:val="auto"/>
                <w:highlight w:val="none"/>
                <w:lang w:val="en-US" w:eastAsia="zh-CN"/>
              </w:rPr>
              <w:t>表4.</w:t>
            </w:r>
            <w:r>
              <w:rPr>
                <w:rFonts w:hint="eastAsia" w:ascii="Times New Roman" w:hAnsi="Times New Roman" w:cs="Times New Roman"/>
                <w:color w:val="auto"/>
                <w:highlight w:val="none"/>
                <w:lang w:val="en-US" w:eastAsia="zh-CN"/>
              </w:rPr>
              <w:t>5</w:t>
            </w:r>
            <w:r>
              <w:rPr>
                <w:rFonts w:ascii="Times New Roman" w:hAnsi="Times New Roman" w:cs="Times New Roman"/>
                <w:color w:val="auto"/>
                <w:highlight w:val="none"/>
                <w:lang w:val="en-US" w:eastAsia="zh-CN"/>
              </w:rPr>
              <w:t>-1  物质的临界量与本项目暂存量一览表</w:t>
            </w:r>
          </w:p>
          <w:tbl>
            <w:tblPr>
              <w:tblStyle w:val="2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7"/>
              <w:gridCol w:w="2158"/>
              <w:gridCol w:w="975"/>
              <w:gridCol w:w="1698"/>
              <w:gridCol w:w="1356"/>
              <w:gridCol w:w="1503"/>
            </w:tblGrid>
            <w:tr w14:paraId="61F36D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7" w:hRule="atLeast"/>
                <w:jc w:val="center"/>
              </w:trPr>
              <w:tc>
                <w:tcPr>
                  <w:tcW w:w="647" w:type="dxa"/>
                  <w:noWrap w:val="0"/>
                  <w:vAlign w:val="center"/>
                </w:tcPr>
                <w:p w14:paraId="483B1D81">
                  <w:pPr>
                    <w:spacing w:line="340" w:lineRule="exact"/>
                    <w:ind w:firstLine="0" w:firstLineChars="0"/>
                    <w:jc w:val="center"/>
                    <w:rPr>
                      <w:b/>
                      <w:bCs/>
                      <w:color w:val="auto"/>
                      <w:sz w:val="21"/>
                      <w:szCs w:val="21"/>
                      <w:highlight w:val="none"/>
                      <w:lang w:bidi="ar"/>
                    </w:rPr>
                  </w:pPr>
                  <w:r>
                    <w:rPr>
                      <w:b/>
                      <w:bCs/>
                      <w:color w:val="auto"/>
                      <w:sz w:val="21"/>
                      <w:szCs w:val="21"/>
                      <w:highlight w:val="none"/>
                      <w:lang w:bidi="ar"/>
                    </w:rPr>
                    <w:t>序号</w:t>
                  </w:r>
                </w:p>
              </w:tc>
              <w:tc>
                <w:tcPr>
                  <w:tcW w:w="2158" w:type="dxa"/>
                  <w:noWrap w:val="0"/>
                  <w:vAlign w:val="center"/>
                </w:tcPr>
                <w:p w14:paraId="2F7F1A76">
                  <w:pPr>
                    <w:spacing w:line="340" w:lineRule="exact"/>
                    <w:ind w:firstLine="0" w:firstLineChars="0"/>
                    <w:jc w:val="center"/>
                    <w:rPr>
                      <w:b/>
                      <w:bCs/>
                      <w:color w:val="auto"/>
                      <w:sz w:val="21"/>
                      <w:szCs w:val="21"/>
                      <w:highlight w:val="none"/>
                      <w:lang w:bidi="ar"/>
                    </w:rPr>
                  </w:pPr>
                  <w:r>
                    <w:rPr>
                      <w:b/>
                      <w:bCs/>
                      <w:color w:val="auto"/>
                      <w:sz w:val="21"/>
                      <w:szCs w:val="21"/>
                      <w:highlight w:val="none"/>
                      <w:lang w:bidi="ar"/>
                    </w:rPr>
                    <w:t>危险物质名称</w:t>
                  </w:r>
                </w:p>
              </w:tc>
              <w:tc>
                <w:tcPr>
                  <w:tcW w:w="975" w:type="dxa"/>
                  <w:noWrap w:val="0"/>
                  <w:vAlign w:val="center"/>
                </w:tcPr>
                <w:p w14:paraId="10256E66">
                  <w:pPr>
                    <w:spacing w:line="340" w:lineRule="exact"/>
                    <w:ind w:firstLine="0" w:firstLineChars="0"/>
                    <w:jc w:val="center"/>
                    <w:rPr>
                      <w:b/>
                      <w:bCs/>
                      <w:color w:val="auto"/>
                      <w:sz w:val="21"/>
                      <w:szCs w:val="21"/>
                      <w:highlight w:val="none"/>
                      <w:lang w:bidi="ar"/>
                    </w:rPr>
                  </w:pPr>
                  <w:r>
                    <w:rPr>
                      <w:b/>
                      <w:bCs/>
                      <w:color w:val="auto"/>
                      <w:sz w:val="21"/>
                      <w:szCs w:val="21"/>
                      <w:highlight w:val="none"/>
                      <w:lang w:bidi="ar"/>
                    </w:rPr>
                    <w:t>CAS号</w:t>
                  </w:r>
                </w:p>
              </w:tc>
              <w:tc>
                <w:tcPr>
                  <w:tcW w:w="1698" w:type="dxa"/>
                  <w:noWrap w:val="0"/>
                  <w:vAlign w:val="center"/>
                </w:tcPr>
                <w:p w14:paraId="543FD80C">
                  <w:pPr>
                    <w:spacing w:line="340" w:lineRule="exact"/>
                    <w:ind w:firstLine="0" w:firstLineChars="0"/>
                    <w:jc w:val="center"/>
                    <w:rPr>
                      <w:b/>
                      <w:bCs/>
                      <w:color w:val="auto"/>
                      <w:sz w:val="21"/>
                      <w:szCs w:val="21"/>
                      <w:highlight w:val="none"/>
                      <w:lang w:bidi="ar"/>
                    </w:rPr>
                  </w:pPr>
                  <w:r>
                    <w:rPr>
                      <w:b/>
                      <w:bCs/>
                      <w:color w:val="auto"/>
                      <w:sz w:val="21"/>
                      <w:szCs w:val="21"/>
                      <w:highlight w:val="none"/>
                      <w:lang w:bidi="ar"/>
                    </w:rPr>
                    <w:t>最大贮存量（t）</w:t>
                  </w:r>
                </w:p>
              </w:tc>
              <w:tc>
                <w:tcPr>
                  <w:tcW w:w="1356" w:type="dxa"/>
                  <w:noWrap w:val="0"/>
                  <w:vAlign w:val="center"/>
                </w:tcPr>
                <w:p w14:paraId="03BBBE82">
                  <w:pPr>
                    <w:spacing w:line="340" w:lineRule="exact"/>
                    <w:ind w:firstLine="0" w:firstLineChars="0"/>
                    <w:jc w:val="center"/>
                    <w:rPr>
                      <w:b/>
                      <w:bCs/>
                      <w:color w:val="auto"/>
                      <w:sz w:val="21"/>
                      <w:szCs w:val="21"/>
                      <w:highlight w:val="none"/>
                      <w:lang w:bidi="ar"/>
                    </w:rPr>
                  </w:pPr>
                  <w:r>
                    <w:rPr>
                      <w:b/>
                      <w:bCs/>
                      <w:color w:val="auto"/>
                      <w:sz w:val="21"/>
                      <w:szCs w:val="21"/>
                      <w:highlight w:val="none"/>
                      <w:lang w:bidi="ar"/>
                    </w:rPr>
                    <w:t>临界量（t）</w:t>
                  </w:r>
                </w:p>
              </w:tc>
              <w:tc>
                <w:tcPr>
                  <w:tcW w:w="1503" w:type="dxa"/>
                  <w:noWrap w:val="0"/>
                  <w:vAlign w:val="center"/>
                </w:tcPr>
                <w:p w14:paraId="0CBD801D">
                  <w:pPr>
                    <w:spacing w:line="340" w:lineRule="exact"/>
                    <w:ind w:firstLine="0" w:firstLineChars="0"/>
                    <w:jc w:val="center"/>
                    <w:rPr>
                      <w:b/>
                      <w:bCs/>
                      <w:color w:val="auto"/>
                      <w:sz w:val="21"/>
                      <w:szCs w:val="21"/>
                      <w:highlight w:val="none"/>
                      <w:lang w:bidi="ar"/>
                    </w:rPr>
                  </w:pPr>
                  <w:r>
                    <w:rPr>
                      <w:b/>
                      <w:bCs/>
                      <w:color w:val="auto"/>
                      <w:sz w:val="21"/>
                      <w:szCs w:val="21"/>
                      <w:highlight w:val="none"/>
                      <w:lang w:bidi="ar"/>
                    </w:rPr>
                    <w:t>临界量比值Q</w:t>
                  </w:r>
                </w:p>
              </w:tc>
            </w:tr>
            <w:tr w14:paraId="52E2C9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36" w:hRule="atLeast"/>
                <w:jc w:val="center"/>
              </w:trPr>
              <w:tc>
                <w:tcPr>
                  <w:tcW w:w="647" w:type="dxa"/>
                  <w:noWrap w:val="0"/>
                  <w:vAlign w:val="center"/>
                </w:tcPr>
                <w:p w14:paraId="425FC0CC">
                  <w:pPr>
                    <w:spacing w:line="340" w:lineRule="exact"/>
                    <w:ind w:firstLine="0" w:firstLineChars="0"/>
                    <w:jc w:val="center"/>
                    <w:rPr>
                      <w:color w:val="auto"/>
                      <w:sz w:val="21"/>
                      <w:szCs w:val="21"/>
                      <w:highlight w:val="none"/>
                      <w:lang w:bidi="ar"/>
                    </w:rPr>
                  </w:pPr>
                  <w:r>
                    <w:rPr>
                      <w:color w:val="auto"/>
                      <w:sz w:val="21"/>
                      <w:szCs w:val="21"/>
                      <w:highlight w:val="none"/>
                      <w:lang w:bidi="ar"/>
                    </w:rPr>
                    <w:t>1</w:t>
                  </w:r>
                </w:p>
              </w:tc>
              <w:tc>
                <w:tcPr>
                  <w:tcW w:w="2158" w:type="dxa"/>
                  <w:noWrap w:val="0"/>
                  <w:vAlign w:val="center"/>
                </w:tcPr>
                <w:p w14:paraId="33E04DA0">
                  <w:pPr>
                    <w:spacing w:line="340" w:lineRule="exact"/>
                    <w:ind w:firstLine="0" w:firstLineChars="0"/>
                    <w:jc w:val="center"/>
                    <w:rPr>
                      <w:rFonts w:hint="default" w:eastAsia="宋体"/>
                      <w:color w:val="auto"/>
                      <w:sz w:val="21"/>
                      <w:szCs w:val="21"/>
                      <w:highlight w:val="none"/>
                      <w:lang w:val="en-US" w:eastAsia="zh-CN" w:bidi="ar"/>
                    </w:rPr>
                  </w:pPr>
                  <w:r>
                    <w:rPr>
                      <w:rFonts w:hint="eastAsia"/>
                      <w:color w:val="auto"/>
                      <w:sz w:val="21"/>
                      <w:szCs w:val="21"/>
                      <w:highlight w:val="none"/>
                      <w:lang w:val="en-US" w:eastAsia="zh-CN" w:bidi="ar"/>
                    </w:rPr>
                    <w:t>导热油</w:t>
                  </w:r>
                </w:p>
              </w:tc>
              <w:tc>
                <w:tcPr>
                  <w:tcW w:w="975" w:type="dxa"/>
                  <w:noWrap w:val="0"/>
                  <w:vAlign w:val="center"/>
                </w:tcPr>
                <w:p w14:paraId="2B1F9EFC">
                  <w:pPr>
                    <w:spacing w:line="340" w:lineRule="exact"/>
                    <w:ind w:firstLine="0" w:firstLineChars="0"/>
                    <w:jc w:val="center"/>
                    <w:rPr>
                      <w:color w:val="auto"/>
                      <w:sz w:val="21"/>
                      <w:szCs w:val="21"/>
                      <w:highlight w:val="none"/>
                      <w:lang w:bidi="ar"/>
                    </w:rPr>
                  </w:pPr>
                  <w:r>
                    <w:rPr>
                      <w:rFonts w:hint="eastAsia"/>
                      <w:color w:val="auto"/>
                      <w:sz w:val="21"/>
                      <w:szCs w:val="21"/>
                      <w:highlight w:val="none"/>
                      <w:lang w:bidi="ar"/>
                    </w:rPr>
                    <w:t>/</w:t>
                  </w:r>
                </w:p>
              </w:tc>
              <w:tc>
                <w:tcPr>
                  <w:tcW w:w="1698" w:type="dxa"/>
                  <w:noWrap w:val="0"/>
                  <w:vAlign w:val="center"/>
                </w:tcPr>
                <w:p w14:paraId="0311890D">
                  <w:pPr>
                    <w:spacing w:line="340" w:lineRule="exact"/>
                    <w:ind w:firstLine="0" w:firstLineChars="0"/>
                    <w:jc w:val="center"/>
                    <w:rPr>
                      <w:rFonts w:hint="default" w:eastAsia="宋体"/>
                      <w:color w:val="auto"/>
                      <w:sz w:val="21"/>
                      <w:szCs w:val="21"/>
                      <w:highlight w:val="none"/>
                      <w:lang w:val="en-US" w:eastAsia="zh-CN" w:bidi="ar"/>
                    </w:rPr>
                  </w:pPr>
                  <w:r>
                    <w:rPr>
                      <w:rFonts w:hint="eastAsia"/>
                      <w:color w:val="auto"/>
                      <w:sz w:val="21"/>
                      <w:szCs w:val="21"/>
                      <w:highlight w:val="none"/>
                      <w:lang w:val="en-US" w:eastAsia="zh-CN" w:bidi="ar"/>
                    </w:rPr>
                    <w:t>12</w:t>
                  </w:r>
                </w:p>
              </w:tc>
              <w:tc>
                <w:tcPr>
                  <w:tcW w:w="1356" w:type="dxa"/>
                  <w:noWrap w:val="0"/>
                  <w:vAlign w:val="center"/>
                </w:tcPr>
                <w:p w14:paraId="3EFA0154">
                  <w:pPr>
                    <w:spacing w:line="340" w:lineRule="exact"/>
                    <w:ind w:firstLine="0" w:firstLineChars="0"/>
                    <w:jc w:val="center"/>
                    <w:rPr>
                      <w:color w:val="auto"/>
                      <w:sz w:val="21"/>
                      <w:szCs w:val="21"/>
                      <w:highlight w:val="none"/>
                      <w:lang w:bidi="ar"/>
                    </w:rPr>
                  </w:pPr>
                  <w:r>
                    <w:rPr>
                      <w:rFonts w:hint="eastAsia"/>
                      <w:color w:val="auto"/>
                      <w:sz w:val="21"/>
                      <w:szCs w:val="21"/>
                      <w:highlight w:val="none"/>
                      <w:lang w:bidi="ar"/>
                    </w:rPr>
                    <w:t>2500</w:t>
                  </w:r>
                </w:p>
              </w:tc>
              <w:tc>
                <w:tcPr>
                  <w:tcW w:w="1503" w:type="dxa"/>
                  <w:noWrap w:val="0"/>
                  <w:vAlign w:val="center"/>
                </w:tcPr>
                <w:p w14:paraId="474DE7B0">
                  <w:pPr>
                    <w:spacing w:line="340" w:lineRule="exact"/>
                    <w:ind w:firstLine="0" w:firstLineChars="0"/>
                    <w:jc w:val="center"/>
                    <w:rPr>
                      <w:rFonts w:hint="default" w:eastAsia="宋体"/>
                      <w:color w:val="auto"/>
                      <w:sz w:val="21"/>
                      <w:szCs w:val="21"/>
                      <w:highlight w:val="none"/>
                      <w:lang w:val="en-US" w:eastAsia="zh-CN" w:bidi="ar"/>
                    </w:rPr>
                  </w:pPr>
                  <w:r>
                    <w:rPr>
                      <w:rFonts w:hint="eastAsia"/>
                      <w:color w:val="auto"/>
                      <w:sz w:val="21"/>
                      <w:szCs w:val="21"/>
                      <w:highlight w:val="none"/>
                      <w:lang w:val="en-US" w:eastAsia="zh-CN" w:bidi="ar"/>
                    </w:rPr>
                    <w:t>0.0048</w:t>
                  </w:r>
                </w:p>
              </w:tc>
            </w:tr>
            <w:tr w14:paraId="468054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36" w:hRule="atLeast"/>
                <w:jc w:val="center"/>
              </w:trPr>
              <w:tc>
                <w:tcPr>
                  <w:tcW w:w="647" w:type="dxa"/>
                  <w:noWrap w:val="0"/>
                  <w:vAlign w:val="center"/>
                </w:tcPr>
                <w:p w14:paraId="6836340F">
                  <w:pPr>
                    <w:spacing w:line="340" w:lineRule="exact"/>
                    <w:ind w:firstLine="0" w:firstLineChars="0"/>
                    <w:jc w:val="center"/>
                    <w:rPr>
                      <w:rFonts w:hint="eastAsia" w:eastAsia="宋体"/>
                      <w:color w:val="auto"/>
                      <w:sz w:val="21"/>
                      <w:szCs w:val="21"/>
                      <w:highlight w:val="none"/>
                      <w:lang w:val="en-US" w:eastAsia="zh-CN" w:bidi="ar"/>
                    </w:rPr>
                  </w:pPr>
                  <w:r>
                    <w:rPr>
                      <w:rFonts w:hint="eastAsia"/>
                      <w:color w:val="auto"/>
                      <w:sz w:val="21"/>
                      <w:szCs w:val="21"/>
                      <w:highlight w:val="none"/>
                      <w:lang w:val="en-US" w:eastAsia="zh-CN" w:bidi="ar"/>
                    </w:rPr>
                    <w:t>2</w:t>
                  </w:r>
                </w:p>
              </w:tc>
              <w:tc>
                <w:tcPr>
                  <w:tcW w:w="2158" w:type="dxa"/>
                  <w:noWrap w:val="0"/>
                  <w:vAlign w:val="center"/>
                </w:tcPr>
                <w:p w14:paraId="18BD50A6">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val="en-US" w:eastAsia="zh-CN" w:bidi="ar"/>
                    </w:rPr>
                    <w:t>废机油</w:t>
                  </w:r>
                </w:p>
              </w:tc>
              <w:tc>
                <w:tcPr>
                  <w:tcW w:w="975" w:type="dxa"/>
                  <w:noWrap w:val="0"/>
                  <w:vAlign w:val="center"/>
                </w:tcPr>
                <w:p w14:paraId="090DE744">
                  <w:pPr>
                    <w:spacing w:line="340" w:lineRule="exact"/>
                    <w:ind w:firstLine="0" w:firstLineChars="0"/>
                    <w:jc w:val="center"/>
                    <w:rPr>
                      <w:color w:val="auto"/>
                      <w:sz w:val="21"/>
                      <w:szCs w:val="21"/>
                      <w:highlight w:val="none"/>
                      <w:lang w:bidi="ar"/>
                    </w:rPr>
                  </w:pPr>
                  <w:r>
                    <w:rPr>
                      <w:rFonts w:hint="eastAsia"/>
                      <w:color w:val="auto"/>
                      <w:sz w:val="21"/>
                      <w:szCs w:val="21"/>
                      <w:highlight w:val="none"/>
                      <w:lang w:bidi="ar"/>
                    </w:rPr>
                    <w:t>/</w:t>
                  </w:r>
                </w:p>
              </w:tc>
              <w:tc>
                <w:tcPr>
                  <w:tcW w:w="1698" w:type="dxa"/>
                  <w:noWrap w:val="0"/>
                  <w:vAlign w:val="center"/>
                </w:tcPr>
                <w:p w14:paraId="258CCFE5">
                  <w:pPr>
                    <w:spacing w:line="340" w:lineRule="exact"/>
                    <w:ind w:firstLine="0" w:firstLineChars="0"/>
                    <w:jc w:val="center"/>
                    <w:rPr>
                      <w:rFonts w:hint="default" w:eastAsia="宋体"/>
                      <w:color w:val="auto"/>
                      <w:sz w:val="21"/>
                      <w:szCs w:val="21"/>
                      <w:highlight w:val="none"/>
                      <w:lang w:val="en-US" w:eastAsia="zh-CN" w:bidi="ar"/>
                    </w:rPr>
                  </w:pPr>
                  <w:r>
                    <w:rPr>
                      <w:rFonts w:hint="eastAsia"/>
                      <w:color w:val="auto"/>
                      <w:sz w:val="21"/>
                      <w:szCs w:val="21"/>
                      <w:highlight w:val="none"/>
                      <w:lang w:val="en-US" w:eastAsia="zh-CN" w:bidi="ar"/>
                    </w:rPr>
                    <w:t>0.6</w:t>
                  </w:r>
                </w:p>
              </w:tc>
              <w:tc>
                <w:tcPr>
                  <w:tcW w:w="1356" w:type="dxa"/>
                  <w:noWrap w:val="0"/>
                  <w:vAlign w:val="center"/>
                </w:tcPr>
                <w:p w14:paraId="6AB31B9D">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2500</w:t>
                  </w:r>
                </w:p>
              </w:tc>
              <w:tc>
                <w:tcPr>
                  <w:tcW w:w="1503" w:type="dxa"/>
                  <w:noWrap w:val="0"/>
                  <w:vAlign w:val="center"/>
                </w:tcPr>
                <w:p w14:paraId="077C2BA3">
                  <w:pPr>
                    <w:spacing w:line="340" w:lineRule="exact"/>
                    <w:ind w:firstLine="0" w:firstLineChars="0"/>
                    <w:jc w:val="center"/>
                    <w:rPr>
                      <w:rFonts w:hint="default" w:eastAsia="宋体"/>
                      <w:color w:val="auto"/>
                      <w:sz w:val="21"/>
                      <w:szCs w:val="21"/>
                      <w:highlight w:val="none"/>
                      <w:lang w:val="en-US" w:eastAsia="zh-CN" w:bidi="ar"/>
                    </w:rPr>
                  </w:pPr>
                  <w:r>
                    <w:rPr>
                      <w:rFonts w:hint="eastAsia"/>
                      <w:color w:val="auto"/>
                      <w:sz w:val="21"/>
                      <w:szCs w:val="21"/>
                      <w:highlight w:val="none"/>
                      <w:lang w:val="en-US" w:eastAsia="zh-CN" w:bidi="ar"/>
                    </w:rPr>
                    <w:t>0.00024</w:t>
                  </w:r>
                </w:p>
              </w:tc>
            </w:tr>
            <w:tr w14:paraId="4A13AD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0" w:hRule="atLeast"/>
                <w:jc w:val="center"/>
              </w:trPr>
              <w:tc>
                <w:tcPr>
                  <w:tcW w:w="647" w:type="dxa"/>
                  <w:noWrap w:val="0"/>
                  <w:vAlign w:val="center"/>
                </w:tcPr>
                <w:p w14:paraId="26DBC03C">
                  <w:pPr>
                    <w:spacing w:line="340" w:lineRule="exact"/>
                    <w:ind w:firstLine="0" w:firstLineChars="0"/>
                    <w:jc w:val="center"/>
                    <w:rPr>
                      <w:rFonts w:hint="eastAsia" w:eastAsia="宋体"/>
                      <w:color w:val="auto"/>
                      <w:sz w:val="21"/>
                      <w:szCs w:val="21"/>
                      <w:highlight w:val="none"/>
                      <w:lang w:val="en-US" w:eastAsia="zh-CN" w:bidi="ar"/>
                    </w:rPr>
                  </w:pPr>
                  <w:r>
                    <w:rPr>
                      <w:rFonts w:hint="eastAsia"/>
                      <w:color w:val="auto"/>
                      <w:sz w:val="21"/>
                      <w:szCs w:val="21"/>
                      <w:highlight w:val="none"/>
                      <w:lang w:val="en-US" w:eastAsia="zh-CN" w:bidi="ar"/>
                    </w:rPr>
                    <w:t>3</w:t>
                  </w:r>
                </w:p>
              </w:tc>
              <w:tc>
                <w:tcPr>
                  <w:tcW w:w="2158" w:type="dxa"/>
                  <w:noWrap w:val="0"/>
                  <w:vAlign w:val="center"/>
                </w:tcPr>
                <w:p w14:paraId="539F6E52">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天然气</w:t>
                  </w:r>
                </w:p>
              </w:tc>
              <w:tc>
                <w:tcPr>
                  <w:tcW w:w="975" w:type="dxa"/>
                  <w:noWrap w:val="0"/>
                  <w:vAlign w:val="center"/>
                </w:tcPr>
                <w:p w14:paraId="5868C7A8">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74-82-8</w:t>
                  </w:r>
                </w:p>
              </w:tc>
              <w:tc>
                <w:tcPr>
                  <w:tcW w:w="1698" w:type="dxa"/>
                  <w:noWrap w:val="0"/>
                  <w:vAlign w:val="center"/>
                </w:tcPr>
                <w:p w14:paraId="321B2CB8">
                  <w:pPr>
                    <w:spacing w:line="340" w:lineRule="exact"/>
                    <w:ind w:firstLine="0" w:firstLineChars="0"/>
                    <w:jc w:val="center"/>
                    <w:rPr>
                      <w:rFonts w:hint="default" w:eastAsia="宋体"/>
                      <w:color w:val="auto"/>
                      <w:sz w:val="21"/>
                      <w:szCs w:val="21"/>
                      <w:highlight w:val="none"/>
                      <w:lang w:val="en-US" w:eastAsia="zh-CN" w:bidi="ar"/>
                    </w:rPr>
                  </w:pPr>
                  <w:r>
                    <w:rPr>
                      <w:rFonts w:hint="eastAsia"/>
                      <w:color w:val="auto"/>
                      <w:sz w:val="21"/>
                      <w:szCs w:val="21"/>
                      <w:highlight w:val="none"/>
                      <w:lang w:val="en-US" w:eastAsia="zh-CN" w:bidi="ar"/>
                    </w:rPr>
                    <w:t>0.006</w:t>
                  </w:r>
                </w:p>
              </w:tc>
              <w:tc>
                <w:tcPr>
                  <w:tcW w:w="1356" w:type="dxa"/>
                  <w:noWrap w:val="0"/>
                  <w:vAlign w:val="center"/>
                </w:tcPr>
                <w:p w14:paraId="2CFD1ECA">
                  <w:pPr>
                    <w:spacing w:line="340" w:lineRule="exact"/>
                    <w:ind w:firstLine="0" w:firstLineChars="0"/>
                    <w:jc w:val="center"/>
                    <w:rPr>
                      <w:color w:val="auto"/>
                      <w:sz w:val="21"/>
                      <w:szCs w:val="21"/>
                      <w:highlight w:val="none"/>
                      <w:lang w:bidi="ar"/>
                    </w:rPr>
                  </w:pPr>
                  <w:r>
                    <w:rPr>
                      <w:rFonts w:hint="eastAsia"/>
                      <w:color w:val="auto"/>
                      <w:sz w:val="21"/>
                      <w:szCs w:val="21"/>
                      <w:highlight w:val="none"/>
                      <w:lang w:bidi="ar"/>
                    </w:rPr>
                    <w:t>10</w:t>
                  </w:r>
                </w:p>
              </w:tc>
              <w:tc>
                <w:tcPr>
                  <w:tcW w:w="1503" w:type="dxa"/>
                  <w:noWrap w:val="0"/>
                  <w:vAlign w:val="center"/>
                </w:tcPr>
                <w:p w14:paraId="35856FE1">
                  <w:pPr>
                    <w:spacing w:line="340" w:lineRule="exact"/>
                    <w:ind w:firstLine="0" w:firstLineChars="0"/>
                    <w:jc w:val="center"/>
                    <w:rPr>
                      <w:rFonts w:hint="default" w:eastAsia="宋体"/>
                      <w:color w:val="auto"/>
                      <w:sz w:val="21"/>
                      <w:szCs w:val="21"/>
                      <w:highlight w:val="none"/>
                      <w:lang w:val="en-US" w:eastAsia="zh-CN" w:bidi="ar"/>
                    </w:rPr>
                  </w:pPr>
                  <w:r>
                    <w:rPr>
                      <w:rFonts w:hint="eastAsia"/>
                      <w:color w:val="auto"/>
                      <w:sz w:val="21"/>
                      <w:szCs w:val="21"/>
                      <w:highlight w:val="none"/>
                      <w:lang w:val="en-US" w:eastAsia="zh-CN" w:bidi="ar"/>
                    </w:rPr>
                    <w:t>0.0006</w:t>
                  </w:r>
                </w:p>
              </w:tc>
            </w:tr>
            <w:tr w14:paraId="0CBD47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46" w:hRule="atLeast"/>
                <w:jc w:val="center"/>
              </w:trPr>
              <w:tc>
                <w:tcPr>
                  <w:tcW w:w="6834" w:type="dxa"/>
                  <w:gridSpan w:val="5"/>
                  <w:noWrap w:val="0"/>
                  <w:vAlign w:val="center"/>
                </w:tcPr>
                <w:p w14:paraId="3565E7A5">
                  <w:pPr>
                    <w:spacing w:line="340" w:lineRule="exact"/>
                    <w:ind w:firstLine="0" w:firstLineChars="0"/>
                    <w:jc w:val="center"/>
                    <w:rPr>
                      <w:color w:val="auto"/>
                      <w:sz w:val="21"/>
                      <w:szCs w:val="21"/>
                      <w:highlight w:val="none"/>
                      <w:lang w:bidi="ar"/>
                    </w:rPr>
                  </w:pPr>
                  <w:r>
                    <w:rPr>
                      <w:color w:val="auto"/>
                      <w:sz w:val="21"/>
                      <w:szCs w:val="21"/>
                      <w:highlight w:val="none"/>
                      <w:lang w:bidi="ar"/>
                    </w:rPr>
                    <w:t>项目Q值∑</w:t>
                  </w:r>
                </w:p>
              </w:tc>
              <w:tc>
                <w:tcPr>
                  <w:tcW w:w="1503" w:type="dxa"/>
                  <w:noWrap w:val="0"/>
                  <w:vAlign w:val="center"/>
                </w:tcPr>
                <w:p w14:paraId="72B9CE26">
                  <w:pPr>
                    <w:spacing w:line="340" w:lineRule="exact"/>
                    <w:ind w:firstLine="0" w:firstLineChars="0"/>
                    <w:jc w:val="center"/>
                    <w:rPr>
                      <w:rFonts w:hint="default" w:eastAsia="宋体"/>
                      <w:color w:val="auto"/>
                      <w:sz w:val="21"/>
                      <w:szCs w:val="21"/>
                      <w:highlight w:val="none"/>
                      <w:lang w:val="en-US" w:eastAsia="zh-CN" w:bidi="ar"/>
                    </w:rPr>
                  </w:pPr>
                  <w:r>
                    <w:rPr>
                      <w:rFonts w:hint="eastAsia" w:eastAsia="宋体"/>
                      <w:color w:val="auto"/>
                      <w:sz w:val="21"/>
                      <w:szCs w:val="21"/>
                      <w:highlight w:val="none"/>
                      <w:lang w:val="en-US" w:eastAsia="zh-CN" w:bidi="ar"/>
                    </w:rPr>
                    <w:t>0.00</w:t>
                  </w:r>
                  <w:r>
                    <w:rPr>
                      <w:rFonts w:hint="eastAsia"/>
                      <w:color w:val="auto"/>
                      <w:sz w:val="21"/>
                      <w:szCs w:val="21"/>
                      <w:highlight w:val="none"/>
                      <w:lang w:val="en-US" w:eastAsia="zh-CN" w:bidi="ar"/>
                    </w:rPr>
                    <w:t>564</w:t>
                  </w:r>
                </w:p>
              </w:tc>
            </w:tr>
          </w:tbl>
          <w:p w14:paraId="40F8CCD2">
            <w:pPr>
              <w:pStyle w:val="4"/>
              <w:rPr>
                <w:color w:val="auto"/>
                <w:highlight w:val="none"/>
              </w:rPr>
            </w:pPr>
            <w:r>
              <w:rPr>
                <w:color w:val="auto"/>
                <w:highlight w:val="none"/>
              </w:rPr>
              <w:t>4.</w:t>
            </w:r>
            <w:r>
              <w:rPr>
                <w:rFonts w:hint="eastAsia"/>
                <w:color w:val="auto"/>
                <w:highlight w:val="none"/>
              </w:rPr>
              <w:t>5</w:t>
            </w:r>
            <w:r>
              <w:rPr>
                <w:color w:val="auto"/>
                <w:highlight w:val="none"/>
              </w:rPr>
              <w:t>.3环境风险源识别</w:t>
            </w:r>
          </w:p>
          <w:p w14:paraId="198FBD32">
            <w:pPr>
              <w:ind w:firstLine="480"/>
              <w:rPr>
                <w:rFonts w:hint="eastAsia"/>
                <w:color w:val="auto"/>
                <w:highlight w:val="none"/>
              </w:rPr>
            </w:pPr>
            <w:r>
              <w:rPr>
                <w:rFonts w:hint="eastAsia" w:ascii="Times New Roman" w:hAnsi="Times New Roman" w:eastAsia="宋体" w:cs="Times New Roman"/>
                <w:color w:val="auto"/>
                <w:highlight w:val="none"/>
              </w:rPr>
              <w:t>本项目</w:t>
            </w:r>
            <w:r>
              <w:rPr>
                <w:rFonts w:ascii="Times New Roman" w:hAnsi="Times New Roman"/>
                <w:color w:val="auto"/>
                <w:highlight w:val="none"/>
                <w:lang w:val="zh-CN"/>
              </w:rPr>
              <w:t>危险物质的临界量比值</w:t>
            </w:r>
            <w:r>
              <w:rPr>
                <w:rFonts w:hint="eastAsia" w:ascii="Times New Roman" w:hAnsi="Times New Roman" w:eastAsia="宋体" w:cs="Times New Roman"/>
                <w:color w:val="auto"/>
                <w:highlight w:val="none"/>
              </w:rPr>
              <w:t>Q值为0.0</w:t>
            </w:r>
            <w:r>
              <w:rPr>
                <w:rFonts w:hint="eastAsia" w:ascii="Times New Roman" w:hAnsi="Times New Roman" w:eastAsia="宋体" w:cs="Times New Roman"/>
                <w:color w:val="auto"/>
                <w:highlight w:val="none"/>
                <w:lang w:val="en-US" w:eastAsia="zh-CN"/>
              </w:rPr>
              <w:t>0</w:t>
            </w:r>
            <w:r>
              <w:rPr>
                <w:rFonts w:hint="eastAsia" w:cs="Times New Roman"/>
                <w:color w:val="auto"/>
                <w:highlight w:val="none"/>
                <w:lang w:val="en-US" w:eastAsia="zh-CN"/>
              </w:rPr>
              <w:t>564</w:t>
            </w:r>
            <w:r>
              <w:rPr>
                <w:rFonts w:hint="eastAsia" w:ascii="Times New Roman" w:hAnsi="Times New Roman" w:eastAsia="宋体" w:cs="Times New Roman"/>
                <w:color w:val="auto"/>
                <w:highlight w:val="none"/>
              </w:rPr>
              <w:t>（</w:t>
            </w:r>
            <w:r>
              <w:rPr>
                <w:rFonts w:hint="eastAsia"/>
                <w:color w:val="auto"/>
                <w:highlight w:val="none"/>
              </w:rPr>
              <w:t>Q＜1），项目环境风险潜势为</w:t>
            </w:r>
            <w:r>
              <w:rPr>
                <w:color w:val="auto"/>
                <w:highlight w:val="none"/>
              </w:rPr>
              <w:t>Ⅰ</w:t>
            </w:r>
            <w:r>
              <w:rPr>
                <w:rFonts w:hint="eastAsia"/>
                <w:color w:val="auto"/>
                <w:highlight w:val="none"/>
              </w:rPr>
              <w:t>，根据</w:t>
            </w:r>
            <w:r>
              <w:rPr>
                <w:color w:val="auto"/>
                <w:highlight w:val="none"/>
              </w:rPr>
              <w:t>《建设项目环境风险评价技术导则》（HJ169-2018）</w:t>
            </w:r>
            <w:r>
              <w:rPr>
                <w:rFonts w:hint="eastAsia"/>
                <w:color w:val="auto"/>
                <w:highlight w:val="none"/>
              </w:rPr>
              <w:t>风险评价等级判定，本项目不定风险评价等级，只进行简单分析。</w:t>
            </w:r>
          </w:p>
          <w:p w14:paraId="4E961CEC">
            <w:pPr>
              <w:pStyle w:val="4"/>
              <w:rPr>
                <w:rFonts w:hint="eastAsia" w:ascii="宋体" w:hAnsi="宋体" w:cs="宋体"/>
                <w:color w:val="auto"/>
                <w:kern w:val="0"/>
                <w:sz w:val="24"/>
                <w:szCs w:val="24"/>
                <w:highlight w:val="none"/>
                <w:lang w:bidi="ar"/>
              </w:rPr>
            </w:pPr>
            <w:r>
              <w:rPr>
                <w:rFonts w:hint="eastAsia"/>
                <w:color w:val="auto"/>
                <w:highlight w:val="none"/>
              </w:rPr>
              <w:t>4.5.4环境风险分析</w:t>
            </w:r>
          </w:p>
          <w:p w14:paraId="35C4B7AA">
            <w:pPr>
              <w:bidi w:val="0"/>
              <w:rPr>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rPr>
              <w:t>本项目环境风险为</w:t>
            </w:r>
            <w:r>
              <w:rPr>
                <w:rFonts w:hint="eastAsia"/>
                <w:color w:val="auto"/>
                <w:highlight w:val="none"/>
                <w:lang w:val="en-US" w:eastAsia="zh-CN"/>
              </w:rPr>
              <w:t>废导热油</w:t>
            </w:r>
            <w:r>
              <w:rPr>
                <w:rFonts w:hint="eastAsia"/>
                <w:color w:val="auto"/>
                <w:highlight w:val="none"/>
              </w:rPr>
              <w:t>、</w:t>
            </w:r>
            <w:r>
              <w:rPr>
                <w:rFonts w:hint="eastAsia"/>
                <w:color w:val="auto"/>
                <w:highlight w:val="none"/>
                <w:lang w:val="en-US" w:eastAsia="zh-CN"/>
              </w:rPr>
              <w:t>废机油、废润滑油和</w:t>
            </w:r>
            <w:r>
              <w:rPr>
                <w:rFonts w:hint="eastAsia"/>
                <w:color w:val="auto"/>
                <w:highlight w:val="none"/>
              </w:rPr>
              <w:t xml:space="preserve">天然气等原料的暂存，具有易燃性、毒性等危险特性，因此潜在的环境风险主要为风险物质暂存、运输、装卸过程中潜在的泄漏、火灾、中毒、爆炸等事故。在装卸、贮存过程中，由于包装材料的破裂、操作失误等造成风险物质的泄漏，若遇火源等可能发生火灾等风险事故，火灾事故发生时，会在事故现场喷射大量的消防水等进行灭火，消防用水在短时间内会大量漫流，如果没有做好事故应急防范措施，则会影响周边环境，消防废水会进入附近水体或土壤，对局部水体、土壤造成污染，甚至通过土壤下渗，破坏地下水环境。同时项目在泄漏、火灾等事故应急救援中可能会产生大量的废灭火剂、拦截、堵漏材料，均可能掺杂一定的有毒有害物质，若事故排放后随意丢弃、排放，将对环境产生二次污染。 </w:t>
            </w:r>
          </w:p>
          <w:p w14:paraId="0754D12F">
            <w:pPr>
              <w:bidi w:val="0"/>
              <w:rPr>
                <w:rFonts w:hint="eastAsia"/>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rPr>
              <w:t xml:space="preserve">环保设备事故：当废气处理设施发生故障时，会造成大量高浓度的废气排放入周围环境，对周围大气环境造成较大的影响。 </w:t>
            </w:r>
          </w:p>
          <w:p w14:paraId="2EC2C684">
            <w:pPr>
              <w:pStyle w:val="4"/>
              <w:rPr>
                <w:rFonts w:hint="eastAsia"/>
                <w:color w:val="auto"/>
                <w:highlight w:val="none"/>
              </w:rPr>
            </w:pPr>
            <w:r>
              <w:rPr>
                <w:rFonts w:hint="eastAsia"/>
                <w:color w:val="auto"/>
                <w:highlight w:val="none"/>
              </w:rPr>
              <w:t xml:space="preserve">4.5.5环境风险防范措施及要求 </w:t>
            </w:r>
          </w:p>
          <w:p w14:paraId="1FE87FB5">
            <w:pPr>
              <w:bidi w:val="0"/>
              <w:rPr>
                <w:color w:val="auto"/>
                <w:highlight w:val="none"/>
              </w:rPr>
            </w:pPr>
            <w:r>
              <w:rPr>
                <w:rFonts w:hint="eastAsia"/>
                <w:color w:val="auto"/>
                <w:highlight w:val="none"/>
                <w:lang w:val="en-US" w:eastAsia="zh-CN"/>
              </w:rPr>
              <w:t xml:space="preserve">（1）设计 </w:t>
            </w:r>
          </w:p>
          <w:p w14:paraId="4E5165CE">
            <w:pPr>
              <w:bidi w:val="0"/>
              <w:rPr>
                <w:color w:val="auto"/>
                <w:highlight w:val="none"/>
              </w:rPr>
            </w:pPr>
            <w:r>
              <w:rPr>
                <w:rFonts w:hint="eastAsia"/>
                <w:color w:val="auto"/>
                <w:highlight w:val="none"/>
                <w:lang w:val="en-US" w:eastAsia="zh-CN"/>
              </w:rPr>
              <w:t xml:space="preserve">①装置尽量采用先进合理、安全可靠的装置，从根本上提高装置的安全性，防止和减少事故的发生。 </w:t>
            </w:r>
          </w:p>
          <w:p w14:paraId="1FF3FAFF">
            <w:pPr>
              <w:bidi w:val="0"/>
              <w:rPr>
                <w:color w:val="auto"/>
                <w:highlight w:val="none"/>
              </w:rPr>
            </w:pPr>
            <w:r>
              <w:rPr>
                <w:rFonts w:hint="eastAsia"/>
                <w:color w:val="auto"/>
                <w:highlight w:val="none"/>
                <w:lang w:val="en-US" w:eastAsia="zh-CN"/>
              </w:rPr>
              <w:t xml:space="preserve">②存在火灾隐患的装置区内应设火灾报警系统。 </w:t>
            </w:r>
          </w:p>
          <w:p w14:paraId="59DF2DE4">
            <w:pPr>
              <w:bidi w:val="0"/>
              <w:rPr>
                <w:color w:val="auto"/>
                <w:highlight w:val="none"/>
              </w:rPr>
            </w:pPr>
            <w:r>
              <w:rPr>
                <w:rFonts w:hint="eastAsia"/>
                <w:color w:val="auto"/>
                <w:highlight w:val="none"/>
                <w:lang w:val="en-US" w:eastAsia="zh-CN"/>
              </w:rPr>
              <w:t xml:space="preserve">③设置设施完备的消防系统，安装气体报警仪。 </w:t>
            </w:r>
          </w:p>
          <w:p w14:paraId="633BDAFC">
            <w:pPr>
              <w:bidi w:val="0"/>
              <w:rPr>
                <w:color w:val="auto"/>
                <w:highlight w:val="none"/>
              </w:rPr>
            </w:pPr>
            <w:r>
              <w:rPr>
                <w:rFonts w:hint="eastAsia"/>
                <w:color w:val="auto"/>
                <w:highlight w:val="none"/>
                <w:lang w:val="en-US" w:eastAsia="zh-CN"/>
              </w:rPr>
              <w:t xml:space="preserve">④运行期间制定安全管理体系， 执行工业安全卫生、劳动保护、环保、消防等相关规定，防止突发性事故发生。 </w:t>
            </w:r>
          </w:p>
          <w:p w14:paraId="29E45AF8">
            <w:pPr>
              <w:bidi w:val="0"/>
              <w:rPr>
                <w:color w:val="auto"/>
                <w:highlight w:val="none"/>
              </w:rPr>
            </w:pPr>
            <w:r>
              <w:rPr>
                <w:rFonts w:hint="eastAsia"/>
                <w:color w:val="auto"/>
                <w:highlight w:val="none"/>
                <w:lang w:val="en-US" w:eastAsia="zh-CN"/>
              </w:rPr>
              <w:t xml:space="preserve">⑤建立与安全管理体系完全接轨的管理组织机构，并设专职管理人员。 </w:t>
            </w:r>
          </w:p>
          <w:p w14:paraId="77828661">
            <w:pPr>
              <w:bidi w:val="0"/>
              <w:rPr>
                <w:color w:val="auto"/>
                <w:highlight w:val="none"/>
              </w:rPr>
            </w:pPr>
            <w:r>
              <w:rPr>
                <w:rFonts w:hint="eastAsia"/>
                <w:color w:val="auto"/>
                <w:highlight w:val="none"/>
                <w:lang w:val="en-US" w:eastAsia="zh-CN"/>
              </w:rPr>
              <w:t xml:space="preserve">⑥各罐区设计中考虑设置水消防系统、泡沫消防设施和火灾防护系统。 </w:t>
            </w:r>
          </w:p>
          <w:p w14:paraId="73C49034">
            <w:pPr>
              <w:bidi w:val="0"/>
              <w:rPr>
                <w:color w:val="auto"/>
                <w:highlight w:val="none"/>
              </w:rPr>
            </w:pPr>
            <w:r>
              <w:rPr>
                <w:rFonts w:hint="eastAsia"/>
                <w:color w:val="auto"/>
                <w:highlight w:val="none"/>
                <w:lang w:val="en-US" w:eastAsia="zh-CN"/>
              </w:rPr>
              <w:t xml:space="preserve">（2）运输、贮存及生产过程 </w:t>
            </w:r>
          </w:p>
          <w:p w14:paraId="33163D15">
            <w:pPr>
              <w:bidi w:val="0"/>
              <w:rPr>
                <w:color w:val="auto"/>
                <w:highlight w:val="none"/>
              </w:rPr>
            </w:pPr>
            <w:r>
              <w:rPr>
                <w:rFonts w:hint="eastAsia"/>
                <w:color w:val="auto"/>
                <w:highlight w:val="none"/>
                <w:lang w:val="en-US" w:eastAsia="zh-CN"/>
              </w:rPr>
              <w:t xml:space="preserve">①选择合理的运输路线，尽量避开人口密集区及居民生活区；同时对槽车的驾驶员要进行严格的培训和资格认证。 </w:t>
            </w:r>
          </w:p>
          <w:p w14:paraId="5A533C9B">
            <w:pPr>
              <w:bidi w:val="0"/>
              <w:rPr>
                <w:color w:val="auto"/>
                <w:highlight w:val="none"/>
              </w:rPr>
            </w:pPr>
            <w:r>
              <w:rPr>
                <w:rFonts w:hint="eastAsia"/>
                <w:color w:val="auto"/>
                <w:highlight w:val="none"/>
                <w:lang w:val="en-US" w:eastAsia="zh-CN"/>
              </w:rPr>
              <w:t xml:space="preserve">②储罐区要形成相对独立的区域，必须设有防火墙、隔离带；同时为防雷击、防静电，还需安装接地装置。 </w:t>
            </w:r>
          </w:p>
          <w:p w14:paraId="5C9B564E">
            <w:pPr>
              <w:bidi w:val="0"/>
              <w:rPr>
                <w:color w:val="auto"/>
                <w:highlight w:val="none"/>
              </w:rPr>
            </w:pPr>
            <w:r>
              <w:rPr>
                <w:rFonts w:hint="eastAsia"/>
                <w:color w:val="auto"/>
                <w:highlight w:val="none"/>
                <w:lang w:val="en-US" w:eastAsia="zh-CN"/>
              </w:rPr>
              <w:t xml:space="preserve">④储罐单罐要留有足够的容量，以便在一个储罐发生故障时，能及时将其中的物料泵入另一储罐，防止其外泄造成伤害。 </w:t>
            </w:r>
          </w:p>
          <w:p w14:paraId="69E25220">
            <w:pPr>
              <w:bidi w:val="0"/>
              <w:rPr>
                <w:color w:val="auto"/>
                <w:highlight w:val="none"/>
              </w:rPr>
            </w:pPr>
            <w:r>
              <w:rPr>
                <w:rFonts w:hint="eastAsia"/>
                <w:color w:val="auto"/>
                <w:highlight w:val="none"/>
                <w:lang w:val="en-US" w:eastAsia="zh-CN"/>
              </w:rPr>
              <w:t xml:space="preserve">⑤呼吸系统防护：空气中污染物浓度超标时，建议佩戴自吸过滤式防毒面具（半面罩）。紧急事态抢救或撤离时，应佩戴空气呼吸器，及其它安全防护措施。 </w:t>
            </w:r>
          </w:p>
          <w:p w14:paraId="70E31276">
            <w:pPr>
              <w:bidi w:val="0"/>
              <w:rPr>
                <w:color w:val="auto"/>
                <w:highlight w:val="none"/>
              </w:rPr>
            </w:pPr>
            <w:r>
              <w:rPr>
                <w:rFonts w:hint="eastAsia"/>
                <w:color w:val="auto"/>
                <w:highlight w:val="none"/>
                <w:lang w:val="en-US" w:eastAsia="zh-CN"/>
              </w:rPr>
              <w:t xml:space="preserve">⑥对储罐、管道和阀门等进行定期检测。 </w:t>
            </w:r>
          </w:p>
          <w:p w14:paraId="2060CEAC">
            <w:pPr>
              <w:bidi w:val="0"/>
              <w:rPr>
                <w:color w:val="auto"/>
                <w:highlight w:val="none"/>
              </w:rPr>
            </w:pPr>
            <w:r>
              <w:rPr>
                <w:rFonts w:hint="eastAsia"/>
                <w:color w:val="auto"/>
                <w:highlight w:val="none"/>
                <w:lang w:val="en-US" w:eastAsia="zh-CN"/>
              </w:rPr>
              <w:t xml:space="preserve">（3）其它 </w:t>
            </w:r>
          </w:p>
          <w:p w14:paraId="45462D40">
            <w:pPr>
              <w:bidi w:val="0"/>
              <w:rPr>
                <w:color w:val="auto"/>
                <w:highlight w:val="none"/>
              </w:rPr>
            </w:pPr>
            <w:r>
              <w:rPr>
                <w:rFonts w:hint="eastAsia"/>
                <w:color w:val="auto"/>
                <w:highlight w:val="none"/>
                <w:lang w:val="en-US" w:eastAsia="zh-CN"/>
              </w:rPr>
              <w:t xml:space="preserve">①在储存设备中，解决“跑、冒、滴、漏”。如使用密闭容器； 用管道输送；发现容器泄漏，及时修复；当生产贮存中万一有泄漏时，为不使物质扩散，应把生产贮存场所地面连成不渗透的结构。 </w:t>
            </w:r>
          </w:p>
          <w:p w14:paraId="562DCBFC">
            <w:pPr>
              <w:bidi w:val="0"/>
              <w:rPr>
                <w:color w:val="auto"/>
                <w:highlight w:val="none"/>
              </w:rPr>
            </w:pPr>
            <w:r>
              <w:rPr>
                <w:rFonts w:hint="eastAsia"/>
                <w:color w:val="auto"/>
                <w:highlight w:val="none"/>
                <w:lang w:val="en-US" w:eastAsia="zh-CN"/>
              </w:rPr>
              <w:t xml:space="preserve">②储罐存放地需设置围堰和地面硬化。 </w:t>
            </w:r>
          </w:p>
          <w:p w14:paraId="2B0D67CC">
            <w:pPr>
              <w:bidi w:val="0"/>
              <w:rPr>
                <w:rFonts w:hint="eastAsia"/>
                <w:color w:val="auto"/>
                <w:highlight w:val="none"/>
                <w:lang w:val="en-US" w:eastAsia="zh-CN"/>
              </w:rPr>
            </w:pPr>
            <w:r>
              <w:rPr>
                <w:rFonts w:hint="eastAsia"/>
                <w:color w:val="auto"/>
                <w:highlight w:val="none"/>
                <w:lang w:val="en-US" w:eastAsia="zh-CN"/>
              </w:rPr>
              <w:t>③消防设施完整有效，一旦发生火灾、爆炸事故能及时启动，进行灭火。</w:t>
            </w:r>
          </w:p>
          <w:p w14:paraId="4B549282">
            <w:pPr>
              <w:widowControl/>
              <w:ind w:firstLine="0" w:firstLineChars="0"/>
              <w:jc w:val="left"/>
              <w:rPr>
                <w:rFonts w:hint="eastAsia"/>
                <w:b/>
                <w:bCs/>
                <w:color w:val="auto"/>
                <w:sz w:val="28"/>
                <w:szCs w:val="32"/>
                <w:highlight w:val="none"/>
              </w:rPr>
            </w:pPr>
            <w:r>
              <w:rPr>
                <w:rFonts w:hint="eastAsia"/>
                <w:b/>
                <w:bCs/>
                <w:color w:val="auto"/>
                <w:sz w:val="28"/>
                <w:szCs w:val="32"/>
                <w:highlight w:val="none"/>
              </w:rPr>
              <w:t xml:space="preserve">4.5.6环境风险结论 </w:t>
            </w:r>
          </w:p>
          <w:p w14:paraId="2BE78391">
            <w:pPr>
              <w:ind w:firstLine="480"/>
              <w:rPr>
                <w:color w:val="auto"/>
                <w:highlight w:val="none"/>
              </w:rPr>
            </w:pPr>
            <w:r>
              <w:rPr>
                <w:color w:val="auto"/>
                <w:highlight w:val="none"/>
              </w:rPr>
              <w:t>根据《建设项目环境风险评价技术导则》（HJ169-2018），本项目环境风险潜势初判为Ⅰ，风险评价等级为简单分析，在采取有效环境风险防范措施后，可将风险减小到最低，控制在可接受水平，不会对周围环境造成较大影响。</w:t>
            </w:r>
          </w:p>
          <w:p w14:paraId="101A9205">
            <w:pPr>
              <w:pStyle w:val="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w:t>
            </w:r>
            <w:r>
              <w:rPr>
                <w:rFonts w:hint="eastAsia" w:ascii="Times New Roman" w:hAnsi="Times New Roman" w:eastAsia="宋体" w:cs="Times New Roman"/>
                <w:color w:val="auto"/>
                <w:highlight w:val="none"/>
                <w:lang w:val="en-US" w:eastAsia="zh-CN"/>
              </w:rPr>
              <w:t>6</w:t>
            </w:r>
            <w:r>
              <w:rPr>
                <w:rFonts w:hint="default" w:ascii="Times New Roman" w:hAnsi="Times New Roman" w:eastAsia="宋体" w:cs="Times New Roman"/>
                <w:color w:val="auto"/>
                <w:highlight w:val="none"/>
              </w:rPr>
              <w:t>环保投资估算</w:t>
            </w:r>
          </w:p>
          <w:p w14:paraId="2C5CDBBF">
            <w:pPr>
              <w:bidi w:val="0"/>
              <w:rPr>
                <w:rFonts w:hint="default"/>
                <w:color w:val="auto"/>
                <w:highlight w:val="none"/>
              </w:rPr>
            </w:pPr>
            <w:r>
              <w:rPr>
                <w:rFonts w:hint="default"/>
                <w:color w:val="auto"/>
                <w:highlight w:val="none"/>
              </w:rPr>
              <w:t>本项目总投资为</w:t>
            </w:r>
            <w:r>
              <w:rPr>
                <w:rFonts w:hint="eastAsia"/>
                <w:color w:val="auto"/>
                <w:highlight w:val="none"/>
                <w:lang w:val="en-US" w:eastAsia="zh-CN"/>
              </w:rPr>
              <w:t>30000</w:t>
            </w:r>
            <w:r>
              <w:rPr>
                <w:rFonts w:hint="default"/>
                <w:color w:val="auto"/>
                <w:highlight w:val="none"/>
              </w:rPr>
              <w:t>万元，其中环保投资估算为</w:t>
            </w:r>
            <w:r>
              <w:rPr>
                <w:rFonts w:hint="eastAsia"/>
                <w:color w:val="auto"/>
                <w:highlight w:val="none"/>
                <w:lang w:val="en-US" w:eastAsia="zh-CN"/>
              </w:rPr>
              <w:t>55</w:t>
            </w:r>
            <w:r>
              <w:rPr>
                <w:rFonts w:hint="default"/>
                <w:color w:val="auto"/>
                <w:highlight w:val="none"/>
              </w:rPr>
              <w:t>万元，约占总投资额的</w:t>
            </w:r>
            <w:r>
              <w:rPr>
                <w:rFonts w:hint="eastAsia"/>
                <w:color w:val="auto"/>
                <w:highlight w:val="none"/>
                <w:lang w:val="en-US" w:eastAsia="zh-CN"/>
              </w:rPr>
              <w:t>0.18</w:t>
            </w:r>
            <w:r>
              <w:rPr>
                <w:rFonts w:hint="default"/>
                <w:color w:val="auto"/>
                <w:highlight w:val="none"/>
              </w:rPr>
              <w:t>%。环保投资估算详见下表：</w:t>
            </w:r>
          </w:p>
          <w:p w14:paraId="38C29560">
            <w:pPr>
              <w:pStyle w:val="81"/>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表4.</w:t>
            </w:r>
            <w:r>
              <w:rPr>
                <w:rFonts w:hint="eastAsia" w:ascii="Times New Roman" w:hAnsi="Times New Roman" w:eastAsia="宋体" w:cs="Times New Roman"/>
                <w:color w:val="auto"/>
                <w:highlight w:val="none"/>
                <w:lang w:val="en-US" w:eastAsia="zh-CN"/>
              </w:rPr>
              <w:t>6</w:t>
            </w:r>
            <w:r>
              <w:rPr>
                <w:rFonts w:hint="default" w:ascii="Times New Roman" w:hAnsi="Times New Roman" w:eastAsia="宋体" w:cs="Times New Roman"/>
                <w:color w:val="auto"/>
                <w:highlight w:val="none"/>
                <w:lang w:val="en-US" w:eastAsia="zh-CN"/>
              </w:rPr>
              <w:t>-1  建设项目环保投资一览表</w:t>
            </w:r>
          </w:p>
          <w:tbl>
            <w:tblPr>
              <w:tblStyle w:val="27"/>
              <w:tblW w:w="847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6"/>
              <w:gridCol w:w="446"/>
              <w:gridCol w:w="1371"/>
              <w:gridCol w:w="4687"/>
              <w:gridCol w:w="1528"/>
            </w:tblGrid>
            <w:tr w14:paraId="244D3F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892" w:type="dxa"/>
                  <w:gridSpan w:val="2"/>
                  <w:noWrap w:val="0"/>
                  <w:vAlign w:val="center"/>
                </w:tcPr>
                <w:p w14:paraId="1BB58616">
                  <w:pPr>
                    <w:pStyle w:val="98"/>
                    <w:adjustRightInd/>
                    <w:snapToGrid/>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类别</w:t>
                  </w:r>
                </w:p>
              </w:tc>
              <w:tc>
                <w:tcPr>
                  <w:tcW w:w="6058" w:type="dxa"/>
                  <w:gridSpan w:val="2"/>
                  <w:noWrap w:val="0"/>
                  <w:vAlign w:val="center"/>
                </w:tcPr>
                <w:p w14:paraId="6E9B957B">
                  <w:pPr>
                    <w:pStyle w:val="98"/>
                    <w:adjustRightInd/>
                    <w:snapToGrid/>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项目</w:t>
                  </w:r>
                </w:p>
              </w:tc>
              <w:tc>
                <w:tcPr>
                  <w:tcW w:w="1528" w:type="dxa"/>
                  <w:noWrap w:val="0"/>
                  <w:vAlign w:val="center"/>
                </w:tcPr>
                <w:p w14:paraId="70EB7778">
                  <w:pPr>
                    <w:pStyle w:val="98"/>
                    <w:adjustRightInd/>
                    <w:snapToGrid/>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投资（万元）</w:t>
                  </w:r>
                </w:p>
              </w:tc>
            </w:tr>
            <w:tr w14:paraId="260E9A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446" w:type="dxa"/>
                  <w:vMerge w:val="restart"/>
                  <w:noWrap w:val="0"/>
                  <w:vAlign w:val="center"/>
                </w:tcPr>
                <w:p w14:paraId="4B8670AD">
                  <w:pPr>
                    <w:pStyle w:val="98"/>
                    <w:adjustRightInd/>
                    <w:snapToGrid/>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废气</w:t>
                  </w:r>
                </w:p>
              </w:tc>
              <w:tc>
                <w:tcPr>
                  <w:tcW w:w="446" w:type="dxa"/>
                  <w:noWrap w:val="0"/>
                  <w:vAlign w:val="center"/>
                </w:tcPr>
                <w:p w14:paraId="65AC4ED3">
                  <w:pPr>
                    <w:pStyle w:val="98"/>
                    <w:adjustRightInd/>
                    <w:snapToGrid/>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一期</w:t>
                  </w:r>
                </w:p>
              </w:tc>
              <w:tc>
                <w:tcPr>
                  <w:tcW w:w="6058" w:type="dxa"/>
                  <w:gridSpan w:val="2"/>
                  <w:noWrap w:val="0"/>
                  <w:vAlign w:val="center"/>
                </w:tcPr>
                <w:p w14:paraId="4FBA9721">
                  <w:pPr>
                    <w:pStyle w:val="98"/>
                    <w:adjustRightInd/>
                    <w:snapToGrid/>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①骨料烘干废气经“布袋除尘器”处理后通过20m高排气筒（</w:t>
                  </w:r>
                  <w:r>
                    <w:rPr>
                      <w:rFonts w:hint="default" w:ascii="Times New Roman" w:hAnsi="Times New Roman" w:eastAsia="宋体" w:cs="Times New Roman"/>
                      <w:color w:val="auto"/>
                      <w:szCs w:val="21"/>
                      <w:highlight w:val="none"/>
                      <w:lang w:val="en-US" w:eastAsia="zh-CN"/>
                    </w:rPr>
                    <w:t>DA001</w:t>
                  </w:r>
                  <w:r>
                    <w:rPr>
                      <w:rFonts w:hint="eastAsia" w:ascii="Times New Roman" w:hAnsi="Times New Roman" w:eastAsia="宋体" w:cs="Times New Roman"/>
                      <w:color w:val="auto"/>
                      <w:szCs w:val="21"/>
                      <w:highlight w:val="none"/>
                      <w:lang w:val="en-US" w:eastAsia="zh-CN"/>
                    </w:rPr>
                    <w:t>）排放；②导热油炉废气经“低氮燃烧”处理后通过1根8m高排气筒（DA002）排放；③沥青搅拌和沥青加热过程产生的废气经“</w:t>
                  </w:r>
                  <w:r>
                    <w:rPr>
                      <w:rFonts w:hint="eastAsia" w:ascii="Times New Roman" w:hAnsi="Times New Roman" w:eastAsia="宋体"/>
                      <w:color w:val="auto"/>
                      <w:sz w:val="21"/>
                      <w:szCs w:val="21"/>
                      <w:highlight w:val="none"/>
                      <w:lang w:val="en-US" w:eastAsia="zh-CN"/>
                    </w:rPr>
                    <w:t>喷淋塔+除雾器+活性炭吸附装置</w:t>
                  </w:r>
                  <w:r>
                    <w:rPr>
                      <w:rFonts w:hint="eastAsia" w:ascii="Times New Roman" w:hAnsi="Times New Roman" w:eastAsia="宋体" w:cs="Times New Roman"/>
                      <w:color w:val="auto"/>
                      <w:szCs w:val="21"/>
                      <w:highlight w:val="none"/>
                      <w:lang w:val="en-US" w:eastAsia="zh-CN"/>
                    </w:rPr>
                    <w:t>”处理后通过</w:t>
                  </w:r>
                  <w:r>
                    <w:rPr>
                      <w:rFonts w:hint="default" w:ascii="Times New Roman" w:hAnsi="Times New Roman" w:eastAsia="宋体" w:cs="Times New Roman"/>
                      <w:color w:val="auto"/>
                      <w:szCs w:val="21"/>
                      <w:highlight w:val="none"/>
                      <w:lang w:val="en-US" w:eastAsia="zh-CN"/>
                    </w:rPr>
                    <w:t>1</w:t>
                  </w:r>
                  <w:r>
                    <w:rPr>
                      <w:rFonts w:hint="eastAsia" w:ascii="Times New Roman" w:hAnsi="Times New Roman" w:eastAsia="宋体" w:cs="Times New Roman"/>
                      <w:color w:val="auto"/>
                      <w:szCs w:val="21"/>
                      <w:highlight w:val="none"/>
                      <w:lang w:val="en-US" w:eastAsia="zh-CN"/>
                    </w:rPr>
                    <w:t>根</w:t>
                  </w:r>
                  <w:r>
                    <w:rPr>
                      <w:rFonts w:hint="default" w:ascii="Times New Roman" w:hAnsi="Times New Roman" w:eastAsia="宋体" w:cs="Times New Roman"/>
                      <w:color w:val="auto"/>
                      <w:szCs w:val="21"/>
                      <w:highlight w:val="none"/>
                      <w:lang w:val="en-US" w:eastAsia="zh-CN"/>
                    </w:rPr>
                    <w:t>15m</w:t>
                  </w:r>
                  <w:r>
                    <w:rPr>
                      <w:rFonts w:hint="eastAsia" w:ascii="Times New Roman" w:hAnsi="Times New Roman" w:eastAsia="宋体" w:cs="Times New Roman"/>
                      <w:color w:val="auto"/>
                      <w:szCs w:val="21"/>
                      <w:highlight w:val="none"/>
                      <w:lang w:val="en-US" w:eastAsia="zh-CN"/>
                    </w:rPr>
                    <w:t>高排气筒（</w:t>
                  </w:r>
                  <w:r>
                    <w:rPr>
                      <w:rFonts w:hint="default" w:ascii="Times New Roman" w:hAnsi="Times New Roman" w:eastAsia="宋体" w:cs="Times New Roman"/>
                      <w:color w:val="auto"/>
                      <w:szCs w:val="21"/>
                      <w:highlight w:val="none"/>
                      <w:lang w:val="en-US" w:eastAsia="zh-CN"/>
                    </w:rPr>
                    <w:t>DA00</w:t>
                  </w:r>
                  <w:r>
                    <w:rPr>
                      <w:rFonts w:hint="eastAsia" w:ascii="Times New Roman" w:hAnsi="Times New Roman" w:eastAsia="宋体" w:cs="Times New Roman"/>
                      <w:color w:val="auto"/>
                      <w:szCs w:val="21"/>
                      <w:highlight w:val="none"/>
                      <w:lang w:val="en-US" w:eastAsia="zh-CN"/>
                    </w:rPr>
                    <w:t>3）排放</w:t>
                  </w:r>
                </w:p>
              </w:tc>
              <w:tc>
                <w:tcPr>
                  <w:tcW w:w="1528" w:type="dxa"/>
                  <w:noWrap w:val="0"/>
                  <w:vAlign w:val="center"/>
                </w:tcPr>
                <w:p w14:paraId="591B6432">
                  <w:pPr>
                    <w:pStyle w:val="98"/>
                    <w:adjustRightInd/>
                    <w:snapToGrid/>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15</w:t>
                  </w:r>
                </w:p>
              </w:tc>
            </w:tr>
            <w:tr w14:paraId="4F900B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446" w:type="dxa"/>
                  <w:vMerge w:val="continue"/>
                  <w:noWrap w:val="0"/>
                  <w:vAlign w:val="center"/>
                </w:tcPr>
                <w:p w14:paraId="7F49617F">
                  <w:pPr>
                    <w:pStyle w:val="98"/>
                    <w:adjustRightInd/>
                    <w:snapToGrid/>
                    <w:rPr>
                      <w:rFonts w:hint="default" w:ascii="Times New Roman" w:hAnsi="Times New Roman" w:eastAsia="宋体" w:cs="Times New Roman"/>
                      <w:color w:val="auto"/>
                      <w:szCs w:val="21"/>
                      <w:highlight w:val="none"/>
                    </w:rPr>
                  </w:pPr>
                </w:p>
              </w:tc>
              <w:tc>
                <w:tcPr>
                  <w:tcW w:w="446" w:type="dxa"/>
                  <w:noWrap w:val="0"/>
                  <w:vAlign w:val="center"/>
                </w:tcPr>
                <w:p w14:paraId="277F0FAB">
                  <w:pPr>
                    <w:pStyle w:val="98"/>
                    <w:adjustRightInd/>
                    <w:snapToGrid/>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二期</w:t>
                  </w:r>
                </w:p>
              </w:tc>
              <w:tc>
                <w:tcPr>
                  <w:tcW w:w="6058" w:type="dxa"/>
                  <w:gridSpan w:val="2"/>
                  <w:noWrap w:val="0"/>
                  <w:vAlign w:val="center"/>
                </w:tcPr>
                <w:p w14:paraId="591A0665">
                  <w:pPr>
                    <w:pStyle w:val="98"/>
                    <w:adjustRightInd/>
                    <w:snapToGrid/>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①骨料烘干废气经“布袋除尘器”处理后通过20m高排气筒（</w:t>
                  </w:r>
                  <w:r>
                    <w:rPr>
                      <w:rFonts w:hint="default" w:ascii="Times New Roman" w:hAnsi="Times New Roman" w:eastAsia="宋体" w:cs="Times New Roman"/>
                      <w:color w:val="auto"/>
                      <w:szCs w:val="21"/>
                      <w:highlight w:val="none"/>
                      <w:lang w:val="en-US" w:eastAsia="zh-CN"/>
                    </w:rPr>
                    <w:t>DA00</w:t>
                  </w:r>
                  <w:r>
                    <w:rPr>
                      <w:rFonts w:hint="eastAsia" w:cs="Times New Roman"/>
                      <w:color w:val="auto"/>
                      <w:szCs w:val="21"/>
                      <w:highlight w:val="none"/>
                      <w:lang w:val="en-US" w:eastAsia="zh-CN"/>
                    </w:rPr>
                    <w:t>4</w:t>
                  </w:r>
                  <w:r>
                    <w:rPr>
                      <w:rFonts w:hint="eastAsia" w:ascii="Times New Roman" w:hAnsi="Times New Roman" w:eastAsia="宋体" w:cs="Times New Roman"/>
                      <w:color w:val="auto"/>
                      <w:szCs w:val="21"/>
                      <w:highlight w:val="none"/>
                      <w:lang w:val="en-US" w:eastAsia="zh-CN"/>
                    </w:rPr>
                    <w:t>）排放；②导热油炉废气经“低氮燃烧”处理后通过1根8m高排气筒（DA00</w:t>
                  </w:r>
                  <w:r>
                    <w:rPr>
                      <w:rFonts w:hint="eastAsia" w:cs="Times New Roman"/>
                      <w:color w:val="auto"/>
                      <w:szCs w:val="21"/>
                      <w:highlight w:val="none"/>
                      <w:lang w:val="en-US" w:eastAsia="zh-CN"/>
                    </w:rPr>
                    <w:t>5</w:t>
                  </w:r>
                  <w:r>
                    <w:rPr>
                      <w:rFonts w:hint="eastAsia" w:ascii="Times New Roman" w:hAnsi="Times New Roman" w:eastAsia="宋体" w:cs="Times New Roman"/>
                      <w:color w:val="auto"/>
                      <w:szCs w:val="21"/>
                      <w:highlight w:val="none"/>
                      <w:lang w:val="en-US" w:eastAsia="zh-CN"/>
                    </w:rPr>
                    <w:t>）排放；③沥青搅拌和沥青加热过程产生的废气经“</w:t>
                  </w:r>
                  <w:r>
                    <w:rPr>
                      <w:rFonts w:hint="eastAsia" w:ascii="Times New Roman" w:hAnsi="Times New Roman" w:eastAsia="宋体"/>
                      <w:color w:val="auto"/>
                      <w:sz w:val="21"/>
                      <w:szCs w:val="21"/>
                      <w:highlight w:val="none"/>
                      <w:lang w:val="en-US" w:eastAsia="zh-CN"/>
                    </w:rPr>
                    <w:t>喷淋塔+除雾器+活性炭吸附装置</w:t>
                  </w:r>
                  <w:r>
                    <w:rPr>
                      <w:rFonts w:hint="eastAsia" w:ascii="Times New Roman" w:hAnsi="Times New Roman" w:eastAsia="宋体" w:cs="Times New Roman"/>
                      <w:color w:val="auto"/>
                      <w:szCs w:val="21"/>
                      <w:highlight w:val="none"/>
                      <w:lang w:val="en-US" w:eastAsia="zh-CN"/>
                    </w:rPr>
                    <w:t>”处理后通过</w:t>
                  </w:r>
                  <w:r>
                    <w:rPr>
                      <w:rFonts w:hint="default" w:ascii="Times New Roman" w:hAnsi="Times New Roman" w:eastAsia="宋体" w:cs="Times New Roman"/>
                      <w:color w:val="auto"/>
                      <w:szCs w:val="21"/>
                      <w:highlight w:val="none"/>
                      <w:lang w:val="en-US" w:eastAsia="zh-CN"/>
                    </w:rPr>
                    <w:t>1</w:t>
                  </w:r>
                  <w:r>
                    <w:rPr>
                      <w:rFonts w:hint="eastAsia" w:ascii="Times New Roman" w:hAnsi="Times New Roman" w:eastAsia="宋体" w:cs="Times New Roman"/>
                      <w:color w:val="auto"/>
                      <w:szCs w:val="21"/>
                      <w:highlight w:val="none"/>
                      <w:lang w:val="en-US" w:eastAsia="zh-CN"/>
                    </w:rPr>
                    <w:t>根</w:t>
                  </w:r>
                  <w:r>
                    <w:rPr>
                      <w:rFonts w:hint="default" w:ascii="Times New Roman" w:hAnsi="Times New Roman" w:eastAsia="宋体" w:cs="Times New Roman"/>
                      <w:color w:val="auto"/>
                      <w:szCs w:val="21"/>
                      <w:highlight w:val="none"/>
                      <w:lang w:val="en-US" w:eastAsia="zh-CN"/>
                    </w:rPr>
                    <w:t>15m</w:t>
                  </w:r>
                  <w:r>
                    <w:rPr>
                      <w:rFonts w:hint="eastAsia" w:ascii="Times New Roman" w:hAnsi="Times New Roman" w:eastAsia="宋体" w:cs="Times New Roman"/>
                      <w:color w:val="auto"/>
                      <w:szCs w:val="21"/>
                      <w:highlight w:val="none"/>
                      <w:lang w:val="en-US" w:eastAsia="zh-CN"/>
                    </w:rPr>
                    <w:t>高排气筒（</w:t>
                  </w:r>
                  <w:r>
                    <w:rPr>
                      <w:rFonts w:hint="default" w:ascii="Times New Roman" w:hAnsi="Times New Roman" w:eastAsia="宋体" w:cs="Times New Roman"/>
                      <w:color w:val="auto"/>
                      <w:szCs w:val="21"/>
                      <w:highlight w:val="none"/>
                      <w:lang w:val="en-US" w:eastAsia="zh-CN"/>
                    </w:rPr>
                    <w:t>DA00</w:t>
                  </w:r>
                  <w:r>
                    <w:rPr>
                      <w:rFonts w:hint="eastAsia" w:cs="Times New Roman"/>
                      <w:color w:val="auto"/>
                      <w:szCs w:val="21"/>
                      <w:highlight w:val="none"/>
                      <w:lang w:val="en-US" w:eastAsia="zh-CN"/>
                    </w:rPr>
                    <w:t>6</w:t>
                  </w:r>
                  <w:r>
                    <w:rPr>
                      <w:rFonts w:hint="eastAsia" w:ascii="Times New Roman" w:hAnsi="Times New Roman" w:eastAsia="宋体" w:cs="Times New Roman"/>
                      <w:color w:val="auto"/>
                      <w:szCs w:val="21"/>
                      <w:highlight w:val="none"/>
                      <w:lang w:val="en-US" w:eastAsia="zh-CN"/>
                    </w:rPr>
                    <w:t>）排放</w:t>
                  </w:r>
                </w:p>
              </w:tc>
              <w:tc>
                <w:tcPr>
                  <w:tcW w:w="1528" w:type="dxa"/>
                  <w:noWrap w:val="0"/>
                  <w:vAlign w:val="center"/>
                </w:tcPr>
                <w:p w14:paraId="37DF372E">
                  <w:pPr>
                    <w:pStyle w:val="98"/>
                    <w:adjustRightInd/>
                    <w:snapToGrid/>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15</w:t>
                  </w:r>
                </w:p>
              </w:tc>
            </w:tr>
            <w:tr w14:paraId="4A26E5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892" w:type="dxa"/>
                  <w:gridSpan w:val="2"/>
                  <w:noWrap w:val="0"/>
                  <w:vAlign w:val="center"/>
                </w:tcPr>
                <w:p w14:paraId="19CFA56C">
                  <w:pPr>
                    <w:pStyle w:val="98"/>
                    <w:adjustRightInd/>
                    <w:snapToGrid/>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废水</w:t>
                  </w:r>
                </w:p>
              </w:tc>
              <w:tc>
                <w:tcPr>
                  <w:tcW w:w="6058" w:type="dxa"/>
                  <w:gridSpan w:val="2"/>
                  <w:noWrap w:val="0"/>
                  <w:vAlign w:val="center"/>
                </w:tcPr>
                <w:p w14:paraId="59A238E3">
                  <w:pPr>
                    <w:pStyle w:val="98"/>
                    <w:adjustRightInd/>
                    <w:snapToGrid/>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本项目</w:t>
                  </w:r>
                  <w:r>
                    <w:rPr>
                      <w:rFonts w:hint="eastAsia" w:ascii="Times New Roman" w:hAnsi="Times New Roman" w:eastAsia="宋体" w:cs="Times New Roman"/>
                      <w:iCs/>
                      <w:color w:val="auto"/>
                      <w:kern w:val="0"/>
                      <w:sz w:val="21"/>
                      <w:szCs w:val="21"/>
                      <w:highlight w:val="none"/>
                      <w:lang w:val="en-US" w:eastAsia="zh-CN"/>
                    </w:rPr>
                    <w:t>食堂废水经隔油池预处理后与</w:t>
                  </w:r>
                  <w:r>
                    <w:rPr>
                      <w:rFonts w:hint="eastAsia" w:ascii="Times New Roman" w:hAnsi="Times New Roman" w:eastAsia="宋体" w:cs="Times New Roman"/>
                      <w:iCs/>
                      <w:color w:val="auto"/>
                      <w:kern w:val="0"/>
                      <w:sz w:val="21"/>
                      <w:szCs w:val="21"/>
                      <w:highlight w:val="none"/>
                    </w:rPr>
                    <w:t>生活废水一起经</w:t>
                  </w:r>
                  <w:r>
                    <w:rPr>
                      <w:rFonts w:hint="eastAsia" w:ascii="Times New Roman" w:hAnsi="Times New Roman" w:eastAsia="宋体" w:cs="Times New Roman"/>
                      <w:iCs/>
                      <w:color w:val="auto"/>
                      <w:kern w:val="0"/>
                      <w:sz w:val="21"/>
                      <w:szCs w:val="21"/>
                      <w:highlight w:val="none"/>
                      <w:lang w:val="en-US" w:eastAsia="zh-CN"/>
                    </w:rPr>
                    <w:t>厂区</w:t>
                  </w:r>
                  <w:r>
                    <w:rPr>
                      <w:rFonts w:hint="eastAsia" w:ascii="Times New Roman" w:hAnsi="Times New Roman" w:eastAsia="宋体" w:cs="Times New Roman"/>
                      <w:iCs/>
                      <w:color w:val="auto"/>
                      <w:kern w:val="0"/>
                      <w:sz w:val="21"/>
                      <w:szCs w:val="21"/>
                      <w:highlight w:val="none"/>
                    </w:rPr>
                    <w:t>化粪池处理达</w:t>
                  </w:r>
                  <w:r>
                    <w:rPr>
                      <w:rFonts w:hint="eastAsia" w:ascii="Times New Roman" w:hAnsi="Times New Roman" w:eastAsia="宋体" w:cs="Times New Roman"/>
                      <w:iCs/>
                      <w:color w:val="auto"/>
                      <w:kern w:val="0"/>
                      <w:sz w:val="21"/>
                      <w:szCs w:val="21"/>
                      <w:highlight w:val="none"/>
                      <w:lang w:val="en-US" w:eastAsia="zh-CN"/>
                    </w:rPr>
                    <w:t>标</w:t>
                  </w:r>
                  <w:r>
                    <w:rPr>
                      <w:rFonts w:hint="eastAsia" w:ascii="Times New Roman" w:hAnsi="Times New Roman" w:eastAsia="宋体" w:cs="Times New Roman"/>
                      <w:iCs/>
                      <w:color w:val="auto"/>
                      <w:kern w:val="0"/>
                      <w:sz w:val="21"/>
                      <w:szCs w:val="21"/>
                      <w:highlight w:val="none"/>
                    </w:rPr>
                    <w:t>后排入市政污水管网</w:t>
                  </w:r>
                  <w:r>
                    <w:rPr>
                      <w:rFonts w:hint="eastAsia" w:ascii="Times New Roman" w:hAnsi="Times New Roman" w:eastAsia="宋体" w:cs="Times New Roman"/>
                      <w:color w:val="auto"/>
                      <w:szCs w:val="21"/>
                      <w:highlight w:val="none"/>
                      <w:lang w:val="en-US" w:eastAsia="zh-CN"/>
                    </w:rPr>
                    <w:t>纳入</w:t>
                  </w:r>
                  <w:r>
                    <w:rPr>
                      <w:rFonts w:hint="default" w:ascii="Times New Roman" w:hAnsi="Times New Roman" w:eastAsia="宋体" w:cs="Times New Roman"/>
                      <w:color w:val="auto"/>
                      <w:szCs w:val="21"/>
                      <w:highlight w:val="none"/>
                      <w:lang w:val="en-US" w:eastAsia="zh-CN"/>
                    </w:rPr>
                    <w:t>金港工业区生活污水处理厂</w:t>
                  </w:r>
                  <w:r>
                    <w:rPr>
                      <w:rFonts w:hint="eastAsia" w:ascii="Times New Roman" w:hAnsi="Times New Roman" w:eastAsia="宋体" w:cs="Times New Roman"/>
                      <w:color w:val="auto"/>
                      <w:szCs w:val="21"/>
                      <w:highlight w:val="none"/>
                      <w:lang w:val="en-US" w:eastAsia="zh-CN"/>
                    </w:rPr>
                    <w:t>处理</w:t>
                  </w:r>
                </w:p>
              </w:tc>
              <w:tc>
                <w:tcPr>
                  <w:tcW w:w="1528" w:type="dxa"/>
                  <w:noWrap w:val="0"/>
                  <w:vAlign w:val="center"/>
                </w:tcPr>
                <w:p w14:paraId="3734A8B8">
                  <w:pPr>
                    <w:pStyle w:val="98"/>
                    <w:adjustRightInd/>
                    <w:snapToGrid/>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10</w:t>
                  </w:r>
                </w:p>
              </w:tc>
            </w:tr>
            <w:tr w14:paraId="17BCCF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892" w:type="dxa"/>
                  <w:gridSpan w:val="2"/>
                  <w:noWrap w:val="0"/>
                  <w:vAlign w:val="center"/>
                </w:tcPr>
                <w:p w14:paraId="19C447A0">
                  <w:pPr>
                    <w:pStyle w:val="98"/>
                    <w:adjustRightInd/>
                    <w:snapToGrid/>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噪声</w:t>
                  </w:r>
                </w:p>
              </w:tc>
              <w:tc>
                <w:tcPr>
                  <w:tcW w:w="6058" w:type="dxa"/>
                  <w:gridSpan w:val="2"/>
                  <w:noWrap w:val="0"/>
                  <w:vAlign w:val="center"/>
                </w:tcPr>
                <w:p w14:paraId="19F1C2C0">
                  <w:pPr>
                    <w:pStyle w:val="98"/>
                    <w:adjustRightInd/>
                    <w:snapToGrid/>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隔声、消声、减震等综合降噪措施</w:t>
                  </w:r>
                </w:p>
              </w:tc>
              <w:tc>
                <w:tcPr>
                  <w:tcW w:w="1528" w:type="dxa"/>
                  <w:noWrap w:val="0"/>
                  <w:vAlign w:val="center"/>
                </w:tcPr>
                <w:p w14:paraId="74394BEE">
                  <w:pPr>
                    <w:pStyle w:val="98"/>
                    <w:adjustRightInd/>
                    <w:snapToGrid/>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w:t>
                  </w:r>
                </w:p>
              </w:tc>
            </w:tr>
            <w:tr w14:paraId="71F2BE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892" w:type="dxa"/>
                  <w:gridSpan w:val="2"/>
                  <w:vMerge w:val="restart"/>
                  <w:noWrap w:val="0"/>
                  <w:vAlign w:val="center"/>
                </w:tcPr>
                <w:p w14:paraId="66115AC8">
                  <w:pPr>
                    <w:pStyle w:val="98"/>
                    <w:adjustRightInd/>
                    <w:snapToGrid/>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固废</w:t>
                  </w:r>
                </w:p>
              </w:tc>
              <w:tc>
                <w:tcPr>
                  <w:tcW w:w="1371" w:type="dxa"/>
                  <w:noWrap w:val="0"/>
                  <w:vAlign w:val="center"/>
                </w:tcPr>
                <w:p w14:paraId="7E80C96E">
                  <w:pPr>
                    <w:pStyle w:val="98"/>
                    <w:adjustRightInd/>
                    <w:snapToGrid/>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一般固废</w:t>
                  </w:r>
                </w:p>
              </w:tc>
              <w:tc>
                <w:tcPr>
                  <w:tcW w:w="4687" w:type="dxa"/>
                  <w:noWrap w:val="0"/>
                  <w:vAlign w:val="center"/>
                </w:tcPr>
                <w:p w14:paraId="2D0B99C6">
                  <w:pPr>
                    <w:pStyle w:val="98"/>
                    <w:adjustRightInd/>
                    <w:snapToGrid/>
                    <w:rPr>
                      <w:rFonts w:hint="default" w:ascii="Times New Roman" w:hAnsi="Times New Roman" w:eastAsia="宋体" w:cs="Times New Roman"/>
                      <w:color w:val="auto"/>
                      <w:szCs w:val="21"/>
                      <w:highlight w:val="none"/>
                    </w:rPr>
                  </w:pPr>
                  <w:r>
                    <w:rPr>
                      <w:rFonts w:hint="eastAsia"/>
                      <w:color w:val="auto"/>
                      <w:szCs w:val="21"/>
                      <w:highlight w:val="none"/>
                    </w:rPr>
                    <w:t>设置规范化的一般工业固体废物暂存区，一般工业固废分类收集、暂存后外售综合利用</w:t>
                  </w:r>
                  <w:r>
                    <w:rPr>
                      <w:rFonts w:hint="default" w:ascii="Times New Roman" w:hAnsi="Times New Roman" w:eastAsia="宋体" w:cs="Times New Roman"/>
                      <w:color w:val="auto"/>
                      <w:szCs w:val="21"/>
                      <w:highlight w:val="none"/>
                    </w:rPr>
                    <w:t>。</w:t>
                  </w:r>
                </w:p>
              </w:tc>
              <w:tc>
                <w:tcPr>
                  <w:tcW w:w="1528" w:type="dxa"/>
                  <w:noWrap w:val="0"/>
                  <w:vAlign w:val="center"/>
                </w:tcPr>
                <w:p w14:paraId="0DB1F82B">
                  <w:pPr>
                    <w:pStyle w:val="98"/>
                    <w:adjustRightInd/>
                    <w:snapToGrid/>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w:t>
                  </w:r>
                </w:p>
              </w:tc>
            </w:tr>
            <w:tr w14:paraId="3A5490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892" w:type="dxa"/>
                  <w:gridSpan w:val="2"/>
                  <w:vMerge w:val="continue"/>
                  <w:noWrap w:val="0"/>
                  <w:vAlign w:val="center"/>
                </w:tcPr>
                <w:p w14:paraId="0A2F38F0">
                  <w:pPr>
                    <w:pStyle w:val="98"/>
                    <w:adjustRightInd/>
                    <w:snapToGrid/>
                    <w:rPr>
                      <w:rFonts w:hint="default" w:ascii="Times New Roman" w:hAnsi="Times New Roman" w:eastAsia="宋体" w:cs="Times New Roman"/>
                      <w:color w:val="auto"/>
                      <w:szCs w:val="21"/>
                      <w:highlight w:val="none"/>
                    </w:rPr>
                  </w:pPr>
                </w:p>
              </w:tc>
              <w:tc>
                <w:tcPr>
                  <w:tcW w:w="1371" w:type="dxa"/>
                  <w:noWrap w:val="0"/>
                  <w:vAlign w:val="center"/>
                </w:tcPr>
                <w:p w14:paraId="1AD78D5D">
                  <w:pPr>
                    <w:pStyle w:val="98"/>
                    <w:adjustRightInd/>
                    <w:snapToGrid/>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生活垃圾</w:t>
                  </w:r>
                </w:p>
              </w:tc>
              <w:tc>
                <w:tcPr>
                  <w:tcW w:w="4687" w:type="dxa"/>
                  <w:noWrap w:val="0"/>
                  <w:vAlign w:val="center"/>
                </w:tcPr>
                <w:p w14:paraId="6B42A1C1">
                  <w:pPr>
                    <w:pStyle w:val="98"/>
                    <w:adjustRightInd/>
                    <w:snapToGrid/>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收集容器、垃圾桶</w:t>
                  </w:r>
                </w:p>
              </w:tc>
              <w:tc>
                <w:tcPr>
                  <w:tcW w:w="1528" w:type="dxa"/>
                  <w:noWrap w:val="0"/>
                  <w:vAlign w:val="center"/>
                </w:tcPr>
                <w:p w14:paraId="4A829BD0">
                  <w:pPr>
                    <w:pStyle w:val="98"/>
                    <w:adjustRightInd/>
                    <w:snapToGrid/>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w:t>
                  </w:r>
                </w:p>
              </w:tc>
            </w:tr>
            <w:tr w14:paraId="64A1A2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892" w:type="dxa"/>
                  <w:gridSpan w:val="2"/>
                  <w:vMerge w:val="continue"/>
                  <w:noWrap w:val="0"/>
                  <w:vAlign w:val="center"/>
                </w:tcPr>
                <w:p w14:paraId="6C79DB7F">
                  <w:pPr>
                    <w:pStyle w:val="98"/>
                    <w:adjustRightInd/>
                    <w:snapToGrid/>
                    <w:rPr>
                      <w:rFonts w:hint="default" w:ascii="Times New Roman" w:hAnsi="Times New Roman" w:eastAsia="宋体" w:cs="Times New Roman"/>
                      <w:color w:val="auto"/>
                      <w:szCs w:val="21"/>
                      <w:highlight w:val="none"/>
                    </w:rPr>
                  </w:pPr>
                </w:p>
              </w:tc>
              <w:tc>
                <w:tcPr>
                  <w:tcW w:w="1371" w:type="dxa"/>
                  <w:noWrap w:val="0"/>
                  <w:vAlign w:val="center"/>
                </w:tcPr>
                <w:p w14:paraId="4CFDCC57">
                  <w:pPr>
                    <w:pStyle w:val="98"/>
                    <w:adjustRightInd/>
                    <w:snapToGrid/>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危险废物</w:t>
                  </w:r>
                </w:p>
              </w:tc>
              <w:tc>
                <w:tcPr>
                  <w:tcW w:w="4687" w:type="dxa"/>
                  <w:noWrap w:val="0"/>
                  <w:vAlign w:val="center"/>
                </w:tcPr>
                <w:p w14:paraId="2610D7DD">
                  <w:pPr>
                    <w:pStyle w:val="98"/>
                    <w:adjustRightInd/>
                    <w:snapToGrid/>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设置危废间，签订危险废物处置协议。</w:t>
                  </w:r>
                </w:p>
              </w:tc>
              <w:tc>
                <w:tcPr>
                  <w:tcW w:w="1528" w:type="dxa"/>
                  <w:noWrap w:val="0"/>
                  <w:vAlign w:val="center"/>
                </w:tcPr>
                <w:p w14:paraId="211DC74B">
                  <w:pPr>
                    <w:pStyle w:val="98"/>
                    <w:adjustRightInd/>
                    <w:snapToGrid/>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w:t>
                  </w:r>
                </w:p>
              </w:tc>
            </w:tr>
            <w:tr w14:paraId="7C86AE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50" w:type="dxa"/>
                  <w:gridSpan w:val="4"/>
                  <w:noWrap w:val="0"/>
                  <w:vAlign w:val="center"/>
                </w:tcPr>
                <w:p w14:paraId="5513A2C8">
                  <w:pPr>
                    <w:pStyle w:val="98"/>
                    <w:adjustRightInd/>
                    <w:snapToGrid/>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合计</w:t>
                  </w:r>
                </w:p>
              </w:tc>
              <w:tc>
                <w:tcPr>
                  <w:tcW w:w="1528" w:type="dxa"/>
                  <w:noWrap w:val="0"/>
                  <w:vAlign w:val="center"/>
                </w:tcPr>
                <w:p w14:paraId="6A96C1E2">
                  <w:pPr>
                    <w:pStyle w:val="98"/>
                    <w:adjustRightInd/>
                    <w:snapToGrid/>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55</w:t>
                  </w:r>
                </w:p>
              </w:tc>
            </w:tr>
          </w:tbl>
          <w:p w14:paraId="73A40A97">
            <w:pPr>
              <w:ind w:firstLine="480"/>
              <w:rPr>
                <w:color w:val="auto"/>
                <w:highlight w:val="none"/>
              </w:rPr>
            </w:pPr>
          </w:p>
        </w:tc>
      </w:tr>
    </w:tbl>
    <w:p w14:paraId="21833B1E">
      <w:pPr>
        <w:adjustRightInd w:val="0"/>
        <w:snapToGrid w:val="0"/>
        <w:ind w:firstLine="562"/>
        <w:rPr>
          <w:b/>
          <w:color w:val="auto"/>
          <w:kern w:val="0"/>
          <w:sz w:val="28"/>
          <w:szCs w:val="28"/>
          <w:highlight w:val="none"/>
        </w:rPr>
        <w:sectPr>
          <w:pgSz w:w="11907" w:h="16840"/>
          <w:pgMar w:top="1418" w:right="1418" w:bottom="1418" w:left="1418" w:header="851" w:footer="851" w:gutter="0"/>
          <w:pgBorders>
            <w:top w:val="none" w:sz="0" w:space="0"/>
            <w:left w:val="none" w:sz="0" w:space="0"/>
            <w:bottom w:val="none" w:sz="0" w:space="0"/>
            <w:right w:val="none" w:sz="0" w:space="0"/>
          </w:pgBorders>
          <w:cols w:space="720" w:num="1"/>
          <w:docGrid w:linePitch="312" w:charSpace="0"/>
        </w:sectPr>
      </w:pPr>
    </w:p>
    <w:p w14:paraId="5E300F11">
      <w:pPr>
        <w:pStyle w:val="2"/>
        <w:rPr>
          <w:color w:val="auto"/>
          <w:highlight w:val="none"/>
        </w:rPr>
      </w:pPr>
      <w:bookmarkStart w:id="49" w:name="_Toc23108"/>
      <w:r>
        <w:rPr>
          <w:color w:val="auto"/>
          <w:highlight w:val="none"/>
        </w:rPr>
        <w:t>五、</w:t>
      </w:r>
      <w:bookmarkStart w:id="50" w:name="_Hlk54167917"/>
      <w:r>
        <w:rPr>
          <w:color w:val="auto"/>
          <w:highlight w:val="none"/>
        </w:rPr>
        <w:t>环境保护措施监督检查清单</w:t>
      </w:r>
      <w:bookmarkEnd w:id="49"/>
      <w:bookmarkEnd w:id="50"/>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60"/>
        <w:gridCol w:w="1608"/>
        <w:gridCol w:w="975"/>
        <w:gridCol w:w="2040"/>
        <w:gridCol w:w="3117"/>
      </w:tblGrid>
      <w:tr w14:paraId="12594E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1060" w:type="dxa"/>
            <w:tcBorders>
              <w:tl2br w:val="single" w:color="auto" w:sz="4" w:space="0"/>
            </w:tcBorders>
            <w:noWrap w:val="0"/>
            <w:vAlign w:val="center"/>
          </w:tcPr>
          <w:p w14:paraId="4F170E38">
            <w:pPr>
              <w:pStyle w:val="126"/>
              <w:snapToGrid w:val="0"/>
              <w:spacing w:line="360" w:lineRule="auto"/>
              <w:jc w:val="center"/>
              <w:rPr>
                <w:rFonts w:ascii="Times New Roman" w:hAnsi="Times New Roman" w:eastAsia="宋体"/>
                <w:b/>
                <w:bCs/>
                <w:color w:val="auto"/>
                <w:sz w:val="24"/>
                <w:szCs w:val="24"/>
                <w:highlight w:val="none"/>
              </w:rPr>
            </w:pPr>
            <w:r>
              <w:rPr>
                <w:rFonts w:hint="eastAsia" w:ascii="Times New Roman" w:hAnsi="Times New Roman" w:eastAsia="宋体"/>
                <w:b/>
                <w:bCs/>
                <w:color w:val="auto"/>
                <w:sz w:val="24"/>
                <w:szCs w:val="24"/>
                <w:highlight w:val="none"/>
              </w:rPr>
              <w:t xml:space="preserve">   </w:t>
            </w:r>
            <w:r>
              <w:rPr>
                <w:rFonts w:ascii="Times New Roman" w:hAnsi="Times New Roman" w:eastAsia="宋体"/>
                <w:b/>
                <w:bCs/>
                <w:color w:val="auto"/>
                <w:sz w:val="24"/>
                <w:szCs w:val="24"/>
                <w:highlight w:val="none"/>
              </w:rPr>
              <w:t>内容</w:t>
            </w:r>
          </w:p>
          <w:p w14:paraId="7EF378A3">
            <w:pPr>
              <w:pStyle w:val="126"/>
              <w:snapToGrid w:val="0"/>
              <w:spacing w:line="360" w:lineRule="auto"/>
              <w:rPr>
                <w:rFonts w:ascii="Times New Roman" w:hAnsi="Times New Roman" w:eastAsia="宋体"/>
                <w:b/>
                <w:bCs/>
                <w:color w:val="auto"/>
                <w:sz w:val="24"/>
                <w:szCs w:val="24"/>
                <w:highlight w:val="none"/>
              </w:rPr>
            </w:pPr>
          </w:p>
          <w:p w14:paraId="5ABFFA11">
            <w:pPr>
              <w:pStyle w:val="126"/>
              <w:snapToGrid w:val="0"/>
              <w:spacing w:line="360" w:lineRule="auto"/>
              <w:rPr>
                <w:rFonts w:ascii="Times New Roman" w:hAnsi="Times New Roman" w:eastAsia="宋体"/>
                <w:b/>
                <w:bCs/>
                <w:color w:val="auto"/>
                <w:sz w:val="24"/>
                <w:szCs w:val="24"/>
                <w:highlight w:val="none"/>
              </w:rPr>
            </w:pPr>
            <w:r>
              <w:rPr>
                <w:rFonts w:ascii="Times New Roman" w:hAnsi="Times New Roman" w:eastAsia="宋体"/>
                <w:b/>
                <w:bCs/>
                <w:color w:val="auto"/>
                <w:sz w:val="24"/>
                <w:szCs w:val="24"/>
                <w:highlight w:val="none"/>
              </w:rPr>
              <w:t>要素</w:t>
            </w:r>
          </w:p>
        </w:tc>
        <w:tc>
          <w:tcPr>
            <w:tcW w:w="1608" w:type="dxa"/>
            <w:noWrap w:val="0"/>
            <w:vAlign w:val="center"/>
          </w:tcPr>
          <w:p w14:paraId="39E94309">
            <w:pPr>
              <w:pStyle w:val="126"/>
              <w:snapToGrid w:val="0"/>
              <w:spacing w:line="340" w:lineRule="exact"/>
              <w:jc w:val="center"/>
              <w:rPr>
                <w:rFonts w:ascii="Times New Roman" w:hAnsi="Times New Roman" w:eastAsia="宋体"/>
                <w:b/>
                <w:bCs/>
                <w:color w:val="auto"/>
                <w:sz w:val="24"/>
                <w:szCs w:val="24"/>
                <w:highlight w:val="none"/>
              </w:rPr>
            </w:pPr>
            <w:r>
              <w:rPr>
                <w:rFonts w:ascii="Times New Roman" w:hAnsi="Times New Roman" w:eastAsia="宋体"/>
                <w:b/>
                <w:bCs/>
                <w:color w:val="auto"/>
                <w:sz w:val="24"/>
                <w:szCs w:val="24"/>
                <w:highlight w:val="none"/>
              </w:rPr>
              <w:t>排放口</w:t>
            </w:r>
            <w:r>
              <w:rPr>
                <w:rFonts w:hint="eastAsia" w:ascii="Times New Roman" w:hAnsi="Times New Roman" w:eastAsia="宋体"/>
                <w:b/>
                <w:bCs/>
                <w:color w:val="auto"/>
                <w:sz w:val="24"/>
                <w:szCs w:val="24"/>
                <w:highlight w:val="none"/>
              </w:rPr>
              <w:t>（</w:t>
            </w:r>
            <w:r>
              <w:rPr>
                <w:rFonts w:ascii="Times New Roman" w:hAnsi="Times New Roman" w:eastAsia="宋体"/>
                <w:b/>
                <w:bCs/>
                <w:color w:val="auto"/>
                <w:sz w:val="24"/>
                <w:szCs w:val="24"/>
                <w:highlight w:val="none"/>
              </w:rPr>
              <w:t>编号、名称</w:t>
            </w:r>
            <w:r>
              <w:rPr>
                <w:rFonts w:hint="eastAsia" w:ascii="Times New Roman" w:hAnsi="Times New Roman" w:eastAsia="宋体"/>
                <w:b/>
                <w:bCs/>
                <w:color w:val="auto"/>
                <w:sz w:val="24"/>
                <w:szCs w:val="24"/>
                <w:highlight w:val="none"/>
              </w:rPr>
              <w:t>）</w:t>
            </w:r>
            <w:r>
              <w:rPr>
                <w:rFonts w:ascii="Times New Roman" w:hAnsi="Times New Roman" w:eastAsia="宋体"/>
                <w:b/>
                <w:bCs/>
                <w:color w:val="auto"/>
                <w:sz w:val="24"/>
                <w:szCs w:val="24"/>
                <w:highlight w:val="none"/>
              </w:rPr>
              <w:t>/污染源</w:t>
            </w:r>
          </w:p>
        </w:tc>
        <w:tc>
          <w:tcPr>
            <w:tcW w:w="975" w:type="dxa"/>
            <w:noWrap w:val="0"/>
            <w:vAlign w:val="center"/>
          </w:tcPr>
          <w:p w14:paraId="28A1656E">
            <w:pPr>
              <w:pStyle w:val="126"/>
              <w:snapToGrid w:val="0"/>
              <w:spacing w:line="340" w:lineRule="exact"/>
              <w:jc w:val="center"/>
              <w:rPr>
                <w:rFonts w:ascii="Times New Roman" w:hAnsi="Times New Roman" w:eastAsia="宋体"/>
                <w:b/>
                <w:bCs/>
                <w:color w:val="auto"/>
                <w:sz w:val="24"/>
                <w:szCs w:val="24"/>
                <w:highlight w:val="none"/>
              </w:rPr>
            </w:pPr>
            <w:r>
              <w:rPr>
                <w:rFonts w:ascii="Times New Roman" w:hAnsi="Times New Roman" w:eastAsia="宋体"/>
                <w:b/>
                <w:bCs/>
                <w:color w:val="auto"/>
                <w:sz w:val="24"/>
                <w:szCs w:val="24"/>
                <w:highlight w:val="none"/>
              </w:rPr>
              <w:t>污染物</w:t>
            </w:r>
          </w:p>
          <w:p w14:paraId="75E05543">
            <w:pPr>
              <w:pStyle w:val="126"/>
              <w:snapToGrid w:val="0"/>
              <w:spacing w:line="340" w:lineRule="exact"/>
              <w:jc w:val="center"/>
              <w:rPr>
                <w:rFonts w:ascii="Times New Roman" w:hAnsi="Times New Roman" w:eastAsia="宋体"/>
                <w:b/>
                <w:bCs/>
                <w:color w:val="auto"/>
                <w:sz w:val="24"/>
                <w:szCs w:val="24"/>
                <w:highlight w:val="none"/>
              </w:rPr>
            </w:pPr>
            <w:r>
              <w:rPr>
                <w:rFonts w:ascii="Times New Roman" w:hAnsi="Times New Roman" w:eastAsia="宋体"/>
                <w:b/>
                <w:bCs/>
                <w:color w:val="auto"/>
                <w:sz w:val="24"/>
                <w:szCs w:val="24"/>
                <w:highlight w:val="none"/>
              </w:rPr>
              <w:t>项目</w:t>
            </w:r>
          </w:p>
        </w:tc>
        <w:tc>
          <w:tcPr>
            <w:tcW w:w="2040" w:type="dxa"/>
            <w:noWrap w:val="0"/>
            <w:vAlign w:val="center"/>
          </w:tcPr>
          <w:p w14:paraId="0A05E1C4">
            <w:pPr>
              <w:pStyle w:val="126"/>
              <w:snapToGrid w:val="0"/>
              <w:spacing w:line="340" w:lineRule="exact"/>
              <w:jc w:val="center"/>
              <w:rPr>
                <w:rFonts w:ascii="Times New Roman" w:hAnsi="Times New Roman" w:eastAsia="宋体"/>
                <w:b/>
                <w:bCs/>
                <w:color w:val="auto"/>
                <w:sz w:val="24"/>
                <w:szCs w:val="24"/>
                <w:highlight w:val="none"/>
              </w:rPr>
            </w:pPr>
            <w:r>
              <w:rPr>
                <w:rFonts w:ascii="Times New Roman" w:hAnsi="Times New Roman" w:eastAsia="宋体"/>
                <w:b/>
                <w:bCs/>
                <w:color w:val="auto"/>
                <w:sz w:val="24"/>
                <w:szCs w:val="24"/>
                <w:highlight w:val="none"/>
              </w:rPr>
              <w:t>环境保护措施</w:t>
            </w:r>
          </w:p>
        </w:tc>
        <w:tc>
          <w:tcPr>
            <w:tcW w:w="3117" w:type="dxa"/>
            <w:noWrap w:val="0"/>
            <w:vAlign w:val="center"/>
          </w:tcPr>
          <w:p w14:paraId="789A819D">
            <w:pPr>
              <w:pStyle w:val="126"/>
              <w:snapToGrid w:val="0"/>
              <w:spacing w:line="340" w:lineRule="exact"/>
              <w:jc w:val="center"/>
              <w:rPr>
                <w:rFonts w:ascii="Times New Roman" w:hAnsi="Times New Roman" w:eastAsia="宋体"/>
                <w:b/>
                <w:bCs/>
                <w:color w:val="auto"/>
                <w:sz w:val="24"/>
                <w:szCs w:val="24"/>
                <w:highlight w:val="none"/>
              </w:rPr>
            </w:pPr>
            <w:r>
              <w:rPr>
                <w:rFonts w:ascii="Times New Roman" w:hAnsi="Times New Roman" w:eastAsia="宋体"/>
                <w:b/>
                <w:bCs/>
                <w:color w:val="auto"/>
                <w:sz w:val="24"/>
                <w:szCs w:val="24"/>
                <w:highlight w:val="none"/>
              </w:rPr>
              <w:t>执行标准</w:t>
            </w:r>
          </w:p>
        </w:tc>
      </w:tr>
      <w:tr w14:paraId="030F3F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65" w:hRule="atLeast"/>
          <w:jc w:val="center"/>
        </w:trPr>
        <w:tc>
          <w:tcPr>
            <w:tcW w:w="1060" w:type="dxa"/>
            <w:vMerge w:val="restart"/>
            <w:noWrap w:val="0"/>
            <w:vAlign w:val="center"/>
          </w:tcPr>
          <w:p w14:paraId="79ED8BED">
            <w:pPr>
              <w:pStyle w:val="126"/>
              <w:snapToGrid w:val="0"/>
              <w:spacing w:line="340" w:lineRule="exact"/>
              <w:jc w:val="center"/>
              <w:rPr>
                <w:rFonts w:hint="default" w:ascii="Times New Roman" w:hAnsi="Times New Roman" w:eastAsia="宋体"/>
                <w:color w:val="auto"/>
                <w:sz w:val="24"/>
                <w:szCs w:val="24"/>
                <w:highlight w:val="none"/>
                <w:lang w:val="en-US" w:eastAsia="zh-CN"/>
              </w:rPr>
            </w:pPr>
            <w:r>
              <w:rPr>
                <w:rFonts w:hint="eastAsia" w:ascii="Times New Roman" w:hAnsi="Times New Roman" w:eastAsia="宋体"/>
                <w:color w:val="auto"/>
                <w:sz w:val="24"/>
                <w:szCs w:val="24"/>
                <w:highlight w:val="none"/>
                <w:lang w:val="en-US" w:eastAsia="zh-CN"/>
              </w:rPr>
              <w:t>大气环境</w:t>
            </w:r>
          </w:p>
        </w:tc>
        <w:tc>
          <w:tcPr>
            <w:tcW w:w="1608" w:type="dxa"/>
            <w:noWrap w:val="0"/>
            <w:vAlign w:val="center"/>
          </w:tcPr>
          <w:p w14:paraId="3692472B">
            <w:pPr>
              <w:pStyle w:val="126"/>
              <w:snapToGrid w:val="0"/>
              <w:spacing w:line="340" w:lineRule="exact"/>
              <w:jc w:val="center"/>
              <w:rPr>
                <w:rFonts w:hint="default" w:ascii="Times New Roman" w:hAnsi="Times New Roman" w:eastAsia="宋体"/>
                <w:color w:val="auto"/>
                <w:sz w:val="24"/>
                <w:szCs w:val="24"/>
                <w:highlight w:val="none"/>
                <w:lang w:val="en-US" w:eastAsia="zh-CN"/>
              </w:rPr>
            </w:pPr>
            <w:r>
              <w:rPr>
                <w:rFonts w:hint="eastAsia" w:ascii="Times New Roman" w:hAnsi="Times New Roman" w:eastAsia="宋体"/>
                <w:color w:val="auto"/>
                <w:sz w:val="24"/>
                <w:szCs w:val="24"/>
                <w:highlight w:val="none"/>
                <w:lang w:val="en-US" w:eastAsia="zh-CN"/>
              </w:rPr>
              <w:t>DA001</w:t>
            </w:r>
          </w:p>
          <w:p w14:paraId="7EE7039E">
            <w:pPr>
              <w:pStyle w:val="126"/>
              <w:snapToGrid w:val="0"/>
              <w:spacing w:line="340" w:lineRule="exact"/>
              <w:jc w:val="center"/>
              <w:rPr>
                <w:rFonts w:hint="eastAsia" w:ascii="Times New Roman" w:hAnsi="Times New Roman" w:eastAsia="宋体"/>
                <w:color w:val="auto"/>
                <w:sz w:val="24"/>
                <w:szCs w:val="24"/>
                <w:highlight w:val="none"/>
                <w:lang w:eastAsia="zh-CN"/>
              </w:rPr>
            </w:pPr>
            <w:r>
              <w:rPr>
                <w:rFonts w:hint="eastAsia" w:ascii="Times New Roman" w:hAnsi="Times New Roman" w:eastAsia="宋体"/>
                <w:color w:val="auto"/>
                <w:sz w:val="24"/>
                <w:szCs w:val="24"/>
                <w:highlight w:val="none"/>
                <w:lang w:eastAsia="zh-CN"/>
              </w:rPr>
              <w:t>（</w:t>
            </w:r>
            <w:r>
              <w:rPr>
                <w:rFonts w:hint="eastAsia" w:ascii="Times New Roman" w:hAnsi="Times New Roman" w:eastAsia="宋体"/>
                <w:color w:val="auto"/>
                <w:sz w:val="24"/>
                <w:szCs w:val="24"/>
                <w:highlight w:val="none"/>
                <w:lang w:val="en-US" w:eastAsia="zh-CN"/>
              </w:rPr>
              <w:t>一期项目骨料烘干废气</w:t>
            </w:r>
            <w:r>
              <w:rPr>
                <w:rFonts w:hint="eastAsia" w:ascii="Times New Roman" w:hAnsi="Times New Roman" w:eastAsia="宋体"/>
                <w:color w:val="auto"/>
                <w:sz w:val="24"/>
                <w:szCs w:val="24"/>
                <w:highlight w:val="none"/>
                <w:lang w:eastAsia="zh-CN"/>
              </w:rPr>
              <w:t>）</w:t>
            </w:r>
          </w:p>
        </w:tc>
        <w:tc>
          <w:tcPr>
            <w:tcW w:w="975" w:type="dxa"/>
            <w:vMerge w:val="restart"/>
            <w:noWrap w:val="0"/>
            <w:vAlign w:val="center"/>
          </w:tcPr>
          <w:p w14:paraId="502201CA">
            <w:pPr>
              <w:pStyle w:val="126"/>
              <w:snapToGrid w:val="0"/>
              <w:spacing w:line="340" w:lineRule="exact"/>
              <w:jc w:val="center"/>
              <w:rPr>
                <w:rFonts w:hint="default" w:ascii="Times New Roman" w:hAnsi="Times New Roman" w:eastAsia="宋体"/>
                <w:color w:val="auto"/>
                <w:sz w:val="24"/>
                <w:szCs w:val="24"/>
                <w:highlight w:val="none"/>
                <w:vertAlign w:val="baseline"/>
                <w:lang w:val="en-US" w:eastAsia="zh-CN"/>
              </w:rPr>
            </w:pPr>
            <w:r>
              <w:rPr>
                <w:rFonts w:hint="eastAsia" w:ascii="Times New Roman" w:hAnsi="Times New Roman" w:eastAsia="宋体"/>
                <w:color w:val="auto"/>
                <w:sz w:val="24"/>
                <w:szCs w:val="24"/>
                <w:highlight w:val="none"/>
                <w:lang w:val="en-US" w:eastAsia="zh-CN"/>
              </w:rPr>
              <w:t>颗粒物、</w:t>
            </w:r>
            <w:r>
              <w:rPr>
                <w:rFonts w:hint="eastAsia" w:ascii="Times New Roman" w:hAnsi="Times New Roman" w:eastAsia="宋体"/>
                <w:color w:val="auto"/>
                <w:sz w:val="24"/>
                <w:szCs w:val="24"/>
                <w:highlight w:val="none"/>
              </w:rPr>
              <w:t>SO</w:t>
            </w:r>
            <w:r>
              <w:rPr>
                <w:rFonts w:hint="eastAsia" w:ascii="Times New Roman" w:hAnsi="Times New Roman" w:eastAsia="宋体"/>
                <w:color w:val="auto"/>
                <w:sz w:val="24"/>
                <w:szCs w:val="24"/>
                <w:highlight w:val="none"/>
                <w:vertAlign w:val="subscript"/>
              </w:rPr>
              <w:t>2</w:t>
            </w:r>
            <w:r>
              <w:rPr>
                <w:rFonts w:hint="eastAsia" w:ascii="Times New Roman" w:hAnsi="Times New Roman" w:eastAsia="宋体"/>
                <w:color w:val="auto"/>
                <w:sz w:val="24"/>
                <w:szCs w:val="24"/>
                <w:highlight w:val="none"/>
                <w:vertAlign w:val="baseline"/>
                <w:lang w:eastAsia="zh-CN"/>
              </w:rPr>
              <w:t>、</w:t>
            </w:r>
            <w:r>
              <w:rPr>
                <w:rFonts w:hint="eastAsia" w:ascii="Times New Roman" w:hAnsi="Times New Roman" w:eastAsia="宋体"/>
                <w:color w:val="auto"/>
                <w:sz w:val="24"/>
                <w:szCs w:val="24"/>
                <w:highlight w:val="none"/>
                <w:vertAlign w:val="baseline"/>
                <w:lang w:val="en-US" w:eastAsia="zh-CN"/>
              </w:rPr>
              <w:t>NO</w:t>
            </w:r>
            <w:r>
              <w:rPr>
                <w:rFonts w:hint="eastAsia" w:ascii="Times New Roman" w:hAnsi="Times New Roman" w:eastAsia="宋体"/>
                <w:color w:val="auto"/>
                <w:sz w:val="24"/>
                <w:szCs w:val="24"/>
                <w:highlight w:val="none"/>
                <w:vertAlign w:val="subscript"/>
                <w:lang w:val="en-US" w:eastAsia="zh-CN"/>
              </w:rPr>
              <w:t>X</w:t>
            </w:r>
          </w:p>
        </w:tc>
        <w:tc>
          <w:tcPr>
            <w:tcW w:w="2040" w:type="dxa"/>
            <w:vMerge w:val="restart"/>
            <w:noWrap w:val="0"/>
            <w:vAlign w:val="center"/>
          </w:tcPr>
          <w:p w14:paraId="71195202">
            <w:pPr>
              <w:pStyle w:val="126"/>
              <w:snapToGrid w:val="0"/>
              <w:spacing w:line="34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经负压收集后，通过“布袋除尘器”处理后分别由1根20m高排气筒排放</w:t>
            </w:r>
          </w:p>
        </w:tc>
        <w:tc>
          <w:tcPr>
            <w:tcW w:w="3117" w:type="dxa"/>
            <w:vMerge w:val="restart"/>
            <w:noWrap w:val="0"/>
            <w:vAlign w:val="center"/>
          </w:tcPr>
          <w:p w14:paraId="7DCA91B8">
            <w:pPr>
              <w:pStyle w:val="126"/>
              <w:snapToGrid w:val="0"/>
              <w:spacing w:line="340" w:lineRule="exact"/>
              <w:jc w:val="center"/>
              <w:rPr>
                <w:rFonts w:hint="eastAsia"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rPr>
              <w:t>满足执行《工业炉窑大气污染物排放标准》</w:t>
            </w:r>
            <w:r>
              <w:rPr>
                <w:rFonts w:hint="eastAsia" w:ascii="Times New Roman" w:hAnsi="Times New Roman" w:eastAsia="宋体"/>
                <w:color w:val="auto"/>
                <w:sz w:val="24"/>
                <w:szCs w:val="24"/>
                <w:highlight w:val="none"/>
                <w:lang w:eastAsia="zh-CN"/>
              </w:rPr>
              <w:t>（</w:t>
            </w:r>
            <w:r>
              <w:rPr>
                <w:rFonts w:hint="eastAsia" w:ascii="Times New Roman" w:hAnsi="Times New Roman" w:eastAsia="宋体"/>
                <w:color w:val="auto"/>
                <w:sz w:val="24"/>
                <w:szCs w:val="24"/>
                <w:highlight w:val="none"/>
              </w:rPr>
              <w:t>GB9078-1996</w:t>
            </w:r>
            <w:r>
              <w:rPr>
                <w:rFonts w:hint="eastAsia" w:ascii="Times New Roman" w:hAnsi="Times New Roman" w:eastAsia="宋体"/>
                <w:color w:val="auto"/>
                <w:sz w:val="24"/>
                <w:szCs w:val="24"/>
                <w:highlight w:val="none"/>
                <w:lang w:eastAsia="zh-CN"/>
              </w:rPr>
              <w:t>）</w:t>
            </w:r>
            <w:r>
              <w:rPr>
                <w:rFonts w:hint="eastAsia" w:ascii="Times New Roman" w:hAnsi="Times New Roman" w:eastAsia="宋体"/>
                <w:color w:val="auto"/>
                <w:sz w:val="24"/>
                <w:szCs w:val="24"/>
                <w:highlight w:val="none"/>
                <w:lang w:val="en-US" w:eastAsia="zh-CN"/>
              </w:rPr>
              <w:t>表</w:t>
            </w:r>
            <w:r>
              <w:rPr>
                <w:rFonts w:hint="eastAsia" w:ascii="Times New Roman" w:hAnsi="Times New Roman" w:eastAsia="宋体"/>
                <w:color w:val="auto"/>
                <w:sz w:val="24"/>
                <w:szCs w:val="24"/>
                <w:highlight w:val="none"/>
              </w:rPr>
              <w:t>2中排放限值以及《福建省工业炉窑大气污染综合治理方案》（闽环保大气〔2019〕 10号）附件1中排放限值</w:t>
            </w:r>
            <w:r>
              <w:rPr>
                <w:rFonts w:hint="eastAsia" w:ascii="Times New Roman" w:hAnsi="Times New Roman" w:eastAsia="宋体"/>
                <w:color w:val="auto"/>
                <w:sz w:val="24"/>
                <w:szCs w:val="24"/>
                <w:highlight w:val="none"/>
                <w:lang w:eastAsia="zh-CN"/>
              </w:rPr>
              <w:t>。</w:t>
            </w:r>
            <w:r>
              <w:rPr>
                <w:rFonts w:hint="eastAsia" w:ascii="Times New Roman" w:hAnsi="Times New Roman" w:eastAsia="宋体"/>
                <w:color w:val="auto"/>
                <w:sz w:val="24"/>
                <w:szCs w:val="24"/>
                <w:highlight w:val="none"/>
              </w:rPr>
              <w:t>（最大允许排放浓度：</w:t>
            </w:r>
            <w:r>
              <w:rPr>
                <w:rFonts w:hint="eastAsia" w:ascii="Times New Roman" w:hAnsi="Times New Roman" w:eastAsia="宋体"/>
                <w:color w:val="auto"/>
                <w:sz w:val="24"/>
                <w:szCs w:val="24"/>
                <w:highlight w:val="none"/>
                <w:lang w:val="en-US" w:eastAsia="zh-CN"/>
              </w:rPr>
              <w:t>颗粒物</w:t>
            </w:r>
            <w:r>
              <w:rPr>
                <w:rFonts w:ascii="Times New Roman" w:hAnsi="Times New Roman" w:eastAsia="宋体"/>
                <w:color w:val="auto"/>
                <w:sz w:val="24"/>
                <w:szCs w:val="24"/>
                <w:highlight w:val="none"/>
              </w:rPr>
              <w:t>≤</w:t>
            </w:r>
            <w:r>
              <w:rPr>
                <w:rFonts w:hint="eastAsia" w:ascii="Times New Roman" w:hAnsi="Times New Roman" w:eastAsia="宋体"/>
                <w:color w:val="auto"/>
                <w:sz w:val="24"/>
                <w:szCs w:val="24"/>
                <w:highlight w:val="none"/>
              </w:rPr>
              <w:t>200</w:t>
            </w:r>
            <w:r>
              <w:rPr>
                <w:rFonts w:ascii="Times New Roman" w:hAnsi="Times New Roman" w:eastAsia="宋体"/>
                <w:color w:val="auto"/>
                <w:sz w:val="24"/>
                <w:szCs w:val="24"/>
                <w:highlight w:val="none"/>
              </w:rPr>
              <w:t>mg/m</w:t>
            </w:r>
            <w:r>
              <w:rPr>
                <w:rFonts w:ascii="Times New Roman" w:hAnsi="Times New Roman" w:eastAsia="宋体"/>
                <w:color w:val="auto"/>
                <w:sz w:val="24"/>
                <w:szCs w:val="24"/>
                <w:highlight w:val="none"/>
                <w:vertAlign w:val="superscript"/>
              </w:rPr>
              <w:t>3</w:t>
            </w:r>
            <w:r>
              <w:rPr>
                <w:rFonts w:hint="eastAsia" w:ascii="Times New Roman" w:hAnsi="Times New Roman" w:eastAsia="宋体"/>
                <w:color w:val="auto"/>
                <w:sz w:val="24"/>
                <w:szCs w:val="24"/>
                <w:highlight w:val="none"/>
                <w:lang w:val="en-US" w:eastAsia="zh-CN"/>
              </w:rPr>
              <w:t>；</w:t>
            </w:r>
            <w:r>
              <w:rPr>
                <w:rFonts w:hint="eastAsia" w:ascii="Times New Roman" w:hAnsi="Times New Roman" w:eastAsia="宋体"/>
                <w:color w:val="auto"/>
                <w:sz w:val="24"/>
                <w:szCs w:val="24"/>
                <w:highlight w:val="none"/>
              </w:rPr>
              <w:t>SO</w:t>
            </w:r>
            <w:r>
              <w:rPr>
                <w:rFonts w:hint="eastAsia" w:ascii="Times New Roman" w:hAnsi="Times New Roman" w:eastAsia="宋体"/>
                <w:color w:val="auto"/>
                <w:sz w:val="24"/>
                <w:szCs w:val="24"/>
                <w:highlight w:val="none"/>
                <w:vertAlign w:val="subscript"/>
              </w:rPr>
              <w:t>2</w:t>
            </w:r>
            <w:r>
              <w:rPr>
                <w:rFonts w:ascii="Times New Roman" w:hAnsi="Times New Roman" w:eastAsia="宋体"/>
                <w:color w:val="auto"/>
                <w:sz w:val="24"/>
                <w:szCs w:val="24"/>
                <w:highlight w:val="none"/>
              </w:rPr>
              <w:t>≤</w:t>
            </w:r>
            <w:r>
              <w:rPr>
                <w:rFonts w:hint="eastAsia" w:ascii="Times New Roman" w:hAnsi="Times New Roman" w:eastAsia="宋体"/>
                <w:color w:val="auto"/>
                <w:sz w:val="24"/>
                <w:szCs w:val="24"/>
                <w:highlight w:val="none"/>
              </w:rPr>
              <w:t>200</w:t>
            </w:r>
            <w:r>
              <w:rPr>
                <w:rFonts w:ascii="Times New Roman" w:hAnsi="Times New Roman" w:eastAsia="宋体"/>
                <w:color w:val="auto"/>
                <w:sz w:val="24"/>
                <w:szCs w:val="24"/>
                <w:highlight w:val="none"/>
              </w:rPr>
              <w:t>mg/m</w:t>
            </w:r>
            <w:r>
              <w:rPr>
                <w:rFonts w:ascii="Times New Roman" w:hAnsi="Times New Roman" w:eastAsia="宋体"/>
                <w:color w:val="auto"/>
                <w:sz w:val="24"/>
                <w:szCs w:val="24"/>
                <w:highlight w:val="none"/>
                <w:vertAlign w:val="superscript"/>
              </w:rPr>
              <w:t>3</w:t>
            </w:r>
            <w:r>
              <w:rPr>
                <w:rFonts w:hint="eastAsia" w:ascii="Times New Roman" w:hAnsi="Times New Roman" w:eastAsia="宋体"/>
                <w:color w:val="auto"/>
                <w:sz w:val="24"/>
                <w:szCs w:val="24"/>
                <w:highlight w:val="none"/>
              </w:rPr>
              <w:t>、NO</w:t>
            </w:r>
            <w:r>
              <w:rPr>
                <w:rFonts w:hint="eastAsia" w:ascii="Times New Roman" w:hAnsi="Times New Roman" w:eastAsia="宋体"/>
                <w:color w:val="auto"/>
                <w:sz w:val="24"/>
                <w:szCs w:val="24"/>
                <w:highlight w:val="none"/>
                <w:vertAlign w:val="subscript"/>
              </w:rPr>
              <w:t>X</w:t>
            </w:r>
            <w:r>
              <w:rPr>
                <w:rFonts w:ascii="Times New Roman" w:hAnsi="Times New Roman" w:eastAsia="宋体"/>
                <w:color w:val="auto"/>
                <w:sz w:val="24"/>
                <w:szCs w:val="24"/>
                <w:highlight w:val="none"/>
              </w:rPr>
              <w:t>≤</w:t>
            </w:r>
            <w:r>
              <w:rPr>
                <w:rFonts w:hint="eastAsia" w:ascii="Times New Roman" w:hAnsi="Times New Roman" w:eastAsia="宋体"/>
                <w:color w:val="auto"/>
                <w:sz w:val="24"/>
                <w:szCs w:val="24"/>
                <w:highlight w:val="none"/>
              </w:rPr>
              <w:t>300</w:t>
            </w:r>
            <w:r>
              <w:rPr>
                <w:rFonts w:ascii="Times New Roman" w:hAnsi="Times New Roman" w:eastAsia="宋体"/>
                <w:color w:val="auto"/>
                <w:sz w:val="24"/>
                <w:szCs w:val="24"/>
                <w:highlight w:val="none"/>
              </w:rPr>
              <w:t>mg/m</w:t>
            </w:r>
            <w:r>
              <w:rPr>
                <w:rFonts w:ascii="Times New Roman" w:hAnsi="Times New Roman" w:eastAsia="宋体"/>
                <w:color w:val="auto"/>
                <w:sz w:val="24"/>
                <w:szCs w:val="24"/>
                <w:highlight w:val="none"/>
                <w:vertAlign w:val="superscript"/>
              </w:rPr>
              <w:t>3</w:t>
            </w:r>
            <w:r>
              <w:rPr>
                <w:rFonts w:hint="eastAsia" w:ascii="Times New Roman" w:hAnsi="Times New Roman" w:eastAsia="宋体"/>
                <w:color w:val="auto"/>
                <w:sz w:val="24"/>
                <w:szCs w:val="24"/>
                <w:highlight w:val="none"/>
              </w:rPr>
              <w:t>；烟气黑度</w:t>
            </w:r>
            <w:r>
              <w:rPr>
                <w:rFonts w:ascii="Times New Roman" w:hAnsi="Times New Roman" w:eastAsia="宋体"/>
                <w:color w:val="auto"/>
                <w:sz w:val="24"/>
                <w:szCs w:val="24"/>
                <w:highlight w:val="none"/>
              </w:rPr>
              <w:t>≤</w:t>
            </w:r>
            <w:r>
              <w:rPr>
                <w:rFonts w:hint="eastAsia" w:ascii="Times New Roman" w:hAnsi="Times New Roman" w:eastAsia="宋体"/>
                <w:color w:val="auto"/>
                <w:sz w:val="24"/>
                <w:szCs w:val="24"/>
                <w:highlight w:val="none"/>
              </w:rPr>
              <w:t>1）</w:t>
            </w:r>
          </w:p>
        </w:tc>
      </w:tr>
      <w:tr w14:paraId="40F5F1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65" w:hRule="atLeast"/>
          <w:jc w:val="center"/>
        </w:trPr>
        <w:tc>
          <w:tcPr>
            <w:tcW w:w="1060" w:type="dxa"/>
            <w:vMerge w:val="continue"/>
            <w:noWrap w:val="0"/>
            <w:vAlign w:val="center"/>
          </w:tcPr>
          <w:p w14:paraId="117ADBF7">
            <w:pPr>
              <w:pStyle w:val="126"/>
              <w:snapToGrid w:val="0"/>
              <w:spacing w:line="340" w:lineRule="exact"/>
              <w:jc w:val="center"/>
              <w:rPr>
                <w:color w:val="auto"/>
                <w:highlight w:val="none"/>
              </w:rPr>
            </w:pPr>
          </w:p>
        </w:tc>
        <w:tc>
          <w:tcPr>
            <w:tcW w:w="1608" w:type="dxa"/>
            <w:noWrap w:val="0"/>
            <w:vAlign w:val="center"/>
          </w:tcPr>
          <w:p w14:paraId="795CA31D">
            <w:pPr>
              <w:pStyle w:val="126"/>
              <w:snapToGrid w:val="0"/>
              <w:spacing w:line="340" w:lineRule="exact"/>
              <w:jc w:val="center"/>
              <w:rPr>
                <w:rFonts w:hint="default" w:ascii="Times New Roman" w:hAnsi="Times New Roman" w:eastAsia="宋体"/>
                <w:color w:val="auto"/>
                <w:sz w:val="24"/>
                <w:szCs w:val="24"/>
                <w:highlight w:val="none"/>
                <w:lang w:val="en-US" w:eastAsia="zh-CN"/>
              </w:rPr>
            </w:pPr>
            <w:r>
              <w:rPr>
                <w:rFonts w:hint="eastAsia" w:ascii="Times New Roman" w:hAnsi="Times New Roman" w:eastAsia="宋体"/>
                <w:color w:val="auto"/>
                <w:sz w:val="24"/>
                <w:szCs w:val="24"/>
                <w:highlight w:val="none"/>
                <w:lang w:val="en-US" w:eastAsia="zh-CN"/>
              </w:rPr>
              <w:t>DA004</w:t>
            </w:r>
          </w:p>
          <w:p w14:paraId="5ACA0070">
            <w:pPr>
              <w:pStyle w:val="126"/>
              <w:snapToGrid w:val="0"/>
              <w:spacing w:line="340" w:lineRule="exact"/>
              <w:jc w:val="center"/>
              <w:rPr>
                <w:rFonts w:hint="eastAsia" w:ascii="Times New Roman" w:hAnsi="Times New Roman" w:eastAsia="宋体"/>
                <w:color w:val="auto"/>
                <w:sz w:val="24"/>
                <w:szCs w:val="24"/>
                <w:highlight w:val="none"/>
                <w:lang w:eastAsia="zh-CN"/>
              </w:rPr>
            </w:pPr>
            <w:r>
              <w:rPr>
                <w:rFonts w:hint="eastAsia" w:ascii="Times New Roman" w:hAnsi="Times New Roman" w:eastAsia="宋体"/>
                <w:color w:val="auto"/>
                <w:sz w:val="24"/>
                <w:szCs w:val="24"/>
                <w:highlight w:val="none"/>
                <w:lang w:eastAsia="zh-CN"/>
              </w:rPr>
              <w:t>（</w:t>
            </w:r>
            <w:r>
              <w:rPr>
                <w:rFonts w:hint="eastAsia" w:ascii="Times New Roman" w:hAnsi="Times New Roman" w:eastAsia="宋体"/>
                <w:color w:val="auto"/>
                <w:sz w:val="24"/>
                <w:szCs w:val="24"/>
                <w:highlight w:val="none"/>
                <w:lang w:val="en-US" w:eastAsia="zh-CN"/>
              </w:rPr>
              <w:t>二期项目骨料烘干废气</w:t>
            </w:r>
            <w:r>
              <w:rPr>
                <w:rFonts w:hint="eastAsia" w:ascii="Times New Roman" w:hAnsi="Times New Roman" w:eastAsia="宋体"/>
                <w:color w:val="auto"/>
                <w:sz w:val="24"/>
                <w:szCs w:val="24"/>
                <w:highlight w:val="none"/>
                <w:lang w:eastAsia="zh-CN"/>
              </w:rPr>
              <w:t>）</w:t>
            </w:r>
          </w:p>
        </w:tc>
        <w:tc>
          <w:tcPr>
            <w:tcW w:w="975" w:type="dxa"/>
            <w:vMerge w:val="continue"/>
            <w:noWrap w:val="0"/>
            <w:vAlign w:val="center"/>
          </w:tcPr>
          <w:p w14:paraId="2E83D359">
            <w:pPr>
              <w:pStyle w:val="126"/>
              <w:snapToGrid w:val="0"/>
              <w:spacing w:line="340" w:lineRule="exact"/>
              <w:jc w:val="center"/>
              <w:rPr>
                <w:rFonts w:hint="eastAsia" w:ascii="Times New Roman" w:hAnsi="Times New Roman" w:eastAsia="宋体"/>
                <w:color w:val="auto"/>
                <w:sz w:val="24"/>
                <w:szCs w:val="24"/>
                <w:highlight w:val="none"/>
                <w:lang w:eastAsia="zh-CN"/>
              </w:rPr>
            </w:pPr>
          </w:p>
        </w:tc>
        <w:tc>
          <w:tcPr>
            <w:tcW w:w="2040" w:type="dxa"/>
            <w:vMerge w:val="continue"/>
            <w:noWrap w:val="0"/>
            <w:vAlign w:val="center"/>
          </w:tcPr>
          <w:p w14:paraId="1DA80CDF">
            <w:pPr>
              <w:pStyle w:val="126"/>
              <w:snapToGrid w:val="0"/>
              <w:spacing w:line="340" w:lineRule="exact"/>
              <w:jc w:val="center"/>
              <w:rPr>
                <w:rFonts w:hint="eastAsia" w:ascii="Times New Roman" w:hAnsi="Times New Roman" w:eastAsia="宋体"/>
                <w:color w:val="auto"/>
                <w:sz w:val="24"/>
                <w:szCs w:val="24"/>
                <w:highlight w:val="none"/>
                <w:lang w:eastAsia="zh-CN"/>
              </w:rPr>
            </w:pPr>
          </w:p>
        </w:tc>
        <w:tc>
          <w:tcPr>
            <w:tcW w:w="3117" w:type="dxa"/>
            <w:vMerge w:val="continue"/>
            <w:noWrap w:val="0"/>
            <w:vAlign w:val="center"/>
          </w:tcPr>
          <w:p w14:paraId="6BB71729">
            <w:pPr>
              <w:pStyle w:val="126"/>
              <w:snapToGrid w:val="0"/>
              <w:spacing w:line="340" w:lineRule="exact"/>
              <w:jc w:val="center"/>
              <w:rPr>
                <w:rFonts w:hint="eastAsia" w:ascii="Times New Roman" w:hAnsi="Times New Roman" w:eastAsia="宋体"/>
                <w:color w:val="auto"/>
                <w:sz w:val="24"/>
                <w:szCs w:val="24"/>
                <w:highlight w:val="none"/>
                <w:lang w:eastAsia="zh-CN"/>
              </w:rPr>
            </w:pPr>
          </w:p>
        </w:tc>
      </w:tr>
      <w:tr w14:paraId="023795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25" w:hRule="atLeast"/>
          <w:jc w:val="center"/>
        </w:trPr>
        <w:tc>
          <w:tcPr>
            <w:tcW w:w="1060" w:type="dxa"/>
            <w:vMerge w:val="continue"/>
            <w:noWrap w:val="0"/>
            <w:vAlign w:val="center"/>
          </w:tcPr>
          <w:p w14:paraId="32800ED1">
            <w:pPr>
              <w:pStyle w:val="126"/>
              <w:snapToGrid w:val="0"/>
              <w:spacing w:line="340" w:lineRule="exact"/>
              <w:jc w:val="center"/>
              <w:rPr>
                <w:rFonts w:hint="eastAsia" w:ascii="Times New Roman" w:hAnsi="Times New Roman" w:eastAsia="宋体"/>
                <w:color w:val="auto"/>
                <w:sz w:val="24"/>
                <w:szCs w:val="24"/>
                <w:highlight w:val="none"/>
              </w:rPr>
            </w:pPr>
          </w:p>
        </w:tc>
        <w:tc>
          <w:tcPr>
            <w:tcW w:w="1608" w:type="dxa"/>
            <w:noWrap w:val="0"/>
            <w:vAlign w:val="center"/>
          </w:tcPr>
          <w:p w14:paraId="200A4AC3">
            <w:pPr>
              <w:pStyle w:val="126"/>
              <w:snapToGrid w:val="0"/>
              <w:spacing w:line="340" w:lineRule="exact"/>
              <w:jc w:val="center"/>
              <w:rPr>
                <w:rFonts w:hint="default" w:ascii="Times New Roman" w:hAnsi="Times New Roman" w:eastAsia="宋体"/>
                <w:color w:val="auto"/>
                <w:sz w:val="24"/>
                <w:szCs w:val="24"/>
                <w:highlight w:val="none"/>
                <w:lang w:val="en-US"/>
              </w:rPr>
            </w:pPr>
            <w:r>
              <w:rPr>
                <w:rFonts w:hint="eastAsia" w:ascii="Times New Roman" w:hAnsi="Times New Roman" w:eastAsia="宋体"/>
                <w:color w:val="auto"/>
                <w:sz w:val="24"/>
                <w:szCs w:val="24"/>
                <w:highlight w:val="none"/>
              </w:rPr>
              <w:t>DA002</w:t>
            </w:r>
          </w:p>
          <w:p w14:paraId="3845528B">
            <w:pPr>
              <w:pStyle w:val="126"/>
              <w:snapToGrid w:val="0"/>
              <w:spacing w:line="340" w:lineRule="exact"/>
              <w:jc w:val="center"/>
              <w:rPr>
                <w:rFonts w:hint="eastAsia" w:ascii="Times New Roman" w:hAnsi="Times New Roman" w:eastAsia="宋体"/>
                <w:color w:val="auto"/>
                <w:sz w:val="24"/>
                <w:szCs w:val="24"/>
                <w:highlight w:val="none"/>
                <w:lang w:eastAsia="zh-CN"/>
              </w:rPr>
            </w:pPr>
            <w:r>
              <w:rPr>
                <w:rFonts w:hint="eastAsia" w:ascii="Times New Roman" w:hAnsi="Times New Roman" w:eastAsia="宋体"/>
                <w:color w:val="auto"/>
                <w:sz w:val="24"/>
                <w:szCs w:val="24"/>
                <w:highlight w:val="none"/>
                <w:lang w:eastAsia="zh-CN"/>
              </w:rPr>
              <w:t>（</w:t>
            </w:r>
            <w:r>
              <w:rPr>
                <w:rFonts w:hint="eastAsia" w:ascii="Times New Roman" w:hAnsi="Times New Roman" w:eastAsia="宋体"/>
                <w:color w:val="auto"/>
                <w:sz w:val="24"/>
                <w:szCs w:val="24"/>
                <w:highlight w:val="none"/>
                <w:lang w:val="en-US" w:eastAsia="zh-CN"/>
              </w:rPr>
              <w:t>一期项目导热油炉废气</w:t>
            </w:r>
            <w:r>
              <w:rPr>
                <w:rFonts w:hint="eastAsia" w:ascii="Times New Roman" w:hAnsi="Times New Roman" w:eastAsia="宋体"/>
                <w:color w:val="auto"/>
                <w:sz w:val="24"/>
                <w:szCs w:val="24"/>
                <w:highlight w:val="none"/>
                <w:lang w:eastAsia="zh-CN"/>
              </w:rPr>
              <w:t>）</w:t>
            </w:r>
          </w:p>
        </w:tc>
        <w:tc>
          <w:tcPr>
            <w:tcW w:w="975" w:type="dxa"/>
            <w:vMerge w:val="restart"/>
            <w:noWrap w:val="0"/>
            <w:vAlign w:val="center"/>
          </w:tcPr>
          <w:p w14:paraId="49F3C1C8">
            <w:pPr>
              <w:pStyle w:val="126"/>
              <w:snapToGrid w:val="0"/>
              <w:spacing w:line="340" w:lineRule="exact"/>
              <w:jc w:val="center"/>
              <w:rPr>
                <w:rFonts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lang w:val="en-US" w:eastAsia="zh-CN"/>
              </w:rPr>
              <w:t>颗粒物、</w:t>
            </w:r>
            <w:r>
              <w:rPr>
                <w:rFonts w:hint="eastAsia" w:ascii="Times New Roman" w:hAnsi="Times New Roman" w:eastAsia="宋体"/>
                <w:color w:val="auto"/>
                <w:sz w:val="24"/>
                <w:szCs w:val="24"/>
                <w:highlight w:val="none"/>
              </w:rPr>
              <w:t>SO</w:t>
            </w:r>
            <w:r>
              <w:rPr>
                <w:rFonts w:hint="eastAsia" w:ascii="Times New Roman" w:hAnsi="Times New Roman" w:eastAsia="宋体"/>
                <w:color w:val="auto"/>
                <w:sz w:val="24"/>
                <w:szCs w:val="24"/>
                <w:highlight w:val="none"/>
                <w:vertAlign w:val="subscript"/>
              </w:rPr>
              <w:t>2</w:t>
            </w:r>
            <w:r>
              <w:rPr>
                <w:rFonts w:hint="eastAsia" w:ascii="Times New Roman" w:hAnsi="Times New Roman" w:eastAsia="宋体"/>
                <w:color w:val="auto"/>
                <w:sz w:val="24"/>
                <w:szCs w:val="24"/>
                <w:highlight w:val="none"/>
                <w:vertAlign w:val="baseline"/>
                <w:lang w:eastAsia="zh-CN"/>
              </w:rPr>
              <w:t>、</w:t>
            </w:r>
            <w:r>
              <w:rPr>
                <w:rFonts w:hint="eastAsia" w:ascii="Times New Roman" w:hAnsi="Times New Roman" w:eastAsia="宋体"/>
                <w:color w:val="auto"/>
                <w:sz w:val="24"/>
                <w:szCs w:val="24"/>
                <w:highlight w:val="none"/>
                <w:vertAlign w:val="baseline"/>
                <w:lang w:val="en-US" w:eastAsia="zh-CN"/>
              </w:rPr>
              <w:t>NO</w:t>
            </w:r>
            <w:r>
              <w:rPr>
                <w:rFonts w:hint="eastAsia" w:ascii="Times New Roman" w:hAnsi="Times New Roman" w:eastAsia="宋体"/>
                <w:color w:val="auto"/>
                <w:sz w:val="24"/>
                <w:szCs w:val="24"/>
                <w:highlight w:val="none"/>
                <w:vertAlign w:val="subscript"/>
                <w:lang w:val="en-US" w:eastAsia="zh-CN"/>
              </w:rPr>
              <w:t>X</w:t>
            </w:r>
          </w:p>
        </w:tc>
        <w:tc>
          <w:tcPr>
            <w:tcW w:w="2040" w:type="dxa"/>
            <w:vMerge w:val="restart"/>
            <w:noWrap w:val="0"/>
            <w:vAlign w:val="center"/>
          </w:tcPr>
          <w:p w14:paraId="40AB5124">
            <w:pPr>
              <w:pStyle w:val="126"/>
              <w:snapToGrid w:val="0"/>
              <w:spacing w:line="34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经“低氮燃烧”处理后分别通过1根8m高排气筒排放</w:t>
            </w:r>
          </w:p>
        </w:tc>
        <w:tc>
          <w:tcPr>
            <w:tcW w:w="3117" w:type="dxa"/>
            <w:vMerge w:val="restart"/>
            <w:noWrap w:val="0"/>
            <w:vAlign w:val="center"/>
          </w:tcPr>
          <w:p w14:paraId="20B4BB2C">
            <w:pPr>
              <w:pStyle w:val="126"/>
              <w:snapToGrid w:val="0"/>
              <w:spacing w:line="340" w:lineRule="exact"/>
              <w:jc w:val="center"/>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满足执行《锅炉大气污染物排放标准》</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GB13271-2014</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中表</w:t>
            </w:r>
            <w:r>
              <w:rPr>
                <w:rFonts w:hint="eastAsia" w:ascii="Times New Roman" w:hAnsi="Times New Roman" w:eastAsia="宋体"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rPr>
              <w:t>大气污染物特别排放限值中的燃气锅炉标准</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w:t>
            </w:r>
            <w:r>
              <w:rPr>
                <w:rFonts w:hint="eastAsia" w:ascii="Times New Roman" w:hAnsi="Times New Roman" w:eastAsia="宋体"/>
                <w:color w:val="auto"/>
                <w:sz w:val="24"/>
                <w:szCs w:val="24"/>
                <w:highlight w:val="none"/>
              </w:rPr>
              <w:t>最大允许排放浓度：</w:t>
            </w:r>
            <w:r>
              <w:rPr>
                <w:rFonts w:hint="eastAsia" w:ascii="Times New Roman" w:hAnsi="Times New Roman" w:eastAsia="宋体"/>
                <w:color w:val="auto"/>
                <w:sz w:val="24"/>
                <w:szCs w:val="24"/>
                <w:highlight w:val="none"/>
                <w:lang w:val="en-US" w:eastAsia="zh-CN"/>
              </w:rPr>
              <w:t>颗粒物</w:t>
            </w:r>
            <w:r>
              <w:rPr>
                <w:rFonts w:ascii="Times New Roman" w:hAnsi="Times New Roman" w:eastAsia="宋体"/>
                <w:color w:val="auto"/>
                <w:sz w:val="24"/>
                <w:szCs w:val="24"/>
                <w:highlight w:val="none"/>
              </w:rPr>
              <w:t>≤</w:t>
            </w:r>
            <w:r>
              <w:rPr>
                <w:rFonts w:hint="eastAsia" w:ascii="Times New Roman" w:hAnsi="Times New Roman" w:eastAsia="宋体"/>
                <w:color w:val="auto"/>
                <w:sz w:val="24"/>
                <w:szCs w:val="24"/>
                <w:highlight w:val="none"/>
              </w:rPr>
              <w:t>20</w:t>
            </w:r>
            <w:r>
              <w:rPr>
                <w:rFonts w:ascii="Times New Roman" w:hAnsi="Times New Roman" w:eastAsia="宋体"/>
                <w:color w:val="auto"/>
                <w:sz w:val="24"/>
                <w:szCs w:val="24"/>
                <w:highlight w:val="none"/>
              </w:rPr>
              <w:t>mg/m</w:t>
            </w:r>
            <w:r>
              <w:rPr>
                <w:rFonts w:ascii="Times New Roman" w:hAnsi="Times New Roman" w:eastAsia="宋体"/>
                <w:color w:val="auto"/>
                <w:sz w:val="24"/>
                <w:szCs w:val="24"/>
                <w:highlight w:val="none"/>
                <w:vertAlign w:val="superscript"/>
              </w:rPr>
              <w:t>3</w:t>
            </w:r>
            <w:r>
              <w:rPr>
                <w:rFonts w:hint="eastAsia" w:ascii="Times New Roman" w:hAnsi="Times New Roman" w:eastAsia="宋体"/>
                <w:color w:val="auto"/>
                <w:sz w:val="24"/>
                <w:szCs w:val="24"/>
                <w:highlight w:val="none"/>
                <w:lang w:val="en-US" w:eastAsia="zh-CN"/>
              </w:rPr>
              <w:t>；</w:t>
            </w:r>
            <w:r>
              <w:rPr>
                <w:rFonts w:hint="eastAsia" w:ascii="Times New Roman" w:hAnsi="Times New Roman" w:eastAsia="宋体"/>
                <w:color w:val="auto"/>
                <w:sz w:val="24"/>
                <w:szCs w:val="24"/>
                <w:highlight w:val="none"/>
              </w:rPr>
              <w:t>SO</w:t>
            </w:r>
            <w:r>
              <w:rPr>
                <w:rFonts w:hint="eastAsia" w:ascii="Times New Roman" w:hAnsi="Times New Roman" w:eastAsia="宋体"/>
                <w:color w:val="auto"/>
                <w:sz w:val="24"/>
                <w:szCs w:val="24"/>
                <w:highlight w:val="none"/>
                <w:vertAlign w:val="subscript"/>
              </w:rPr>
              <w:t>2</w:t>
            </w:r>
            <w:r>
              <w:rPr>
                <w:rFonts w:ascii="Times New Roman" w:hAnsi="Times New Roman" w:eastAsia="宋体"/>
                <w:color w:val="auto"/>
                <w:sz w:val="24"/>
                <w:szCs w:val="24"/>
                <w:highlight w:val="none"/>
              </w:rPr>
              <w:t>≤</w:t>
            </w:r>
            <w:r>
              <w:rPr>
                <w:rFonts w:hint="eastAsia" w:ascii="Times New Roman" w:hAnsi="Times New Roman" w:eastAsia="宋体"/>
                <w:color w:val="auto"/>
                <w:sz w:val="24"/>
                <w:szCs w:val="24"/>
                <w:highlight w:val="none"/>
                <w:lang w:val="en-US" w:eastAsia="zh-CN"/>
              </w:rPr>
              <w:t>5</w:t>
            </w:r>
            <w:r>
              <w:rPr>
                <w:rFonts w:hint="eastAsia" w:ascii="Times New Roman" w:hAnsi="Times New Roman" w:eastAsia="宋体"/>
                <w:color w:val="auto"/>
                <w:sz w:val="24"/>
                <w:szCs w:val="24"/>
                <w:highlight w:val="none"/>
              </w:rPr>
              <w:t>0</w:t>
            </w:r>
            <w:r>
              <w:rPr>
                <w:rFonts w:ascii="Times New Roman" w:hAnsi="Times New Roman" w:eastAsia="宋体"/>
                <w:color w:val="auto"/>
                <w:sz w:val="24"/>
                <w:szCs w:val="24"/>
                <w:highlight w:val="none"/>
              </w:rPr>
              <w:t>mg/m</w:t>
            </w:r>
            <w:r>
              <w:rPr>
                <w:rFonts w:ascii="Times New Roman" w:hAnsi="Times New Roman" w:eastAsia="宋体"/>
                <w:color w:val="auto"/>
                <w:sz w:val="24"/>
                <w:szCs w:val="24"/>
                <w:highlight w:val="none"/>
                <w:vertAlign w:val="superscript"/>
              </w:rPr>
              <w:t>3</w:t>
            </w:r>
            <w:r>
              <w:rPr>
                <w:rFonts w:hint="eastAsia" w:ascii="Times New Roman" w:hAnsi="Times New Roman" w:eastAsia="宋体"/>
                <w:color w:val="auto"/>
                <w:sz w:val="24"/>
                <w:szCs w:val="24"/>
                <w:highlight w:val="none"/>
              </w:rPr>
              <w:t>、NO</w:t>
            </w:r>
            <w:r>
              <w:rPr>
                <w:rFonts w:hint="eastAsia" w:ascii="Times New Roman" w:hAnsi="Times New Roman" w:eastAsia="宋体"/>
                <w:color w:val="auto"/>
                <w:sz w:val="24"/>
                <w:szCs w:val="24"/>
                <w:highlight w:val="none"/>
                <w:vertAlign w:val="subscript"/>
              </w:rPr>
              <w:t>X</w:t>
            </w:r>
            <w:r>
              <w:rPr>
                <w:rFonts w:ascii="Times New Roman" w:hAnsi="Times New Roman" w:eastAsia="宋体"/>
                <w:color w:val="auto"/>
                <w:sz w:val="24"/>
                <w:szCs w:val="24"/>
                <w:highlight w:val="none"/>
              </w:rPr>
              <w:t>≤</w:t>
            </w:r>
            <w:r>
              <w:rPr>
                <w:rFonts w:hint="eastAsia" w:ascii="Times New Roman" w:hAnsi="Times New Roman" w:eastAsia="宋体"/>
                <w:color w:val="auto"/>
                <w:sz w:val="24"/>
                <w:szCs w:val="24"/>
                <w:highlight w:val="none"/>
                <w:lang w:val="en-US" w:eastAsia="zh-CN"/>
              </w:rPr>
              <w:t>15</w:t>
            </w:r>
            <w:r>
              <w:rPr>
                <w:rFonts w:hint="eastAsia" w:ascii="Times New Roman" w:hAnsi="Times New Roman" w:eastAsia="宋体"/>
                <w:color w:val="auto"/>
                <w:sz w:val="24"/>
                <w:szCs w:val="24"/>
                <w:highlight w:val="none"/>
              </w:rPr>
              <w:t>0</w:t>
            </w:r>
            <w:r>
              <w:rPr>
                <w:rFonts w:ascii="Times New Roman" w:hAnsi="Times New Roman" w:eastAsia="宋体"/>
                <w:color w:val="auto"/>
                <w:sz w:val="24"/>
                <w:szCs w:val="24"/>
                <w:highlight w:val="none"/>
              </w:rPr>
              <w:t>mg/m</w:t>
            </w:r>
            <w:r>
              <w:rPr>
                <w:rFonts w:ascii="Times New Roman" w:hAnsi="Times New Roman" w:eastAsia="宋体"/>
                <w:color w:val="auto"/>
                <w:sz w:val="24"/>
                <w:szCs w:val="24"/>
                <w:highlight w:val="none"/>
                <w:vertAlign w:val="superscript"/>
              </w:rPr>
              <w:t>3</w:t>
            </w:r>
            <w:r>
              <w:rPr>
                <w:rFonts w:hint="eastAsia" w:ascii="Times New Roman" w:hAnsi="Times New Roman" w:eastAsia="宋体"/>
                <w:color w:val="auto"/>
                <w:sz w:val="24"/>
                <w:szCs w:val="24"/>
                <w:highlight w:val="none"/>
              </w:rPr>
              <w:t>；烟气黑度</w:t>
            </w:r>
            <w:r>
              <w:rPr>
                <w:rFonts w:ascii="Times New Roman" w:hAnsi="Times New Roman" w:eastAsia="宋体"/>
                <w:color w:val="auto"/>
                <w:sz w:val="24"/>
                <w:szCs w:val="24"/>
                <w:highlight w:val="none"/>
              </w:rPr>
              <w:t>≤</w:t>
            </w:r>
            <w:r>
              <w:rPr>
                <w:rFonts w:hint="eastAsia" w:ascii="Times New Roman" w:hAnsi="Times New Roman" w:eastAsia="宋体"/>
                <w:color w:val="auto"/>
                <w:sz w:val="24"/>
                <w:szCs w:val="24"/>
                <w:highlight w:val="none"/>
              </w:rPr>
              <w:t>1</w:t>
            </w:r>
            <w:r>
              <w:rPr>
                <w:rFonts w:hint="eastAsia" w:ascii="Times New Roman" w:hAnsi="Times New Roman" w:eastAsia="宋体" w:cs="Times New Roman"/>
                <w:color w:val="auto"/>
                <w:sz w:val="24"/>
                <w:szCs w:val="24"/>
                <w:highlight w:val="none"/>
              </w:rPr>
              <w:t>）</w:t>
            </w:r>
          </w:p>
        </w:tc>
      </w:tr>
      <w:tr w14:paraId="1CBFAD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25" w:hRule="atLeast"/>
          <w:jc w:val="center"/>
        </w:trPr>
        <w:tc>
          <w:tcPr>
            <w:tcW w:w="1060" w:type="dxa"/>
            <w:vMerge w:val="continue"/>
            <w:noWrap w:val="0"/>
            <w:vAlign w:val="center"/>
          </w:tcPr>
          <w:p w14:paraId="430BF2EA">
            <w:pPr>
              <w:pStyle w:val="126"/>
              <w:snapToGrid w:val="0"/>
              <w:spacing w:line="340" w:lineRule="exact"/>
              <w:jc w:val="center"/>
              <w:rPr>
                <w:color w:val="auto"/>
                <w:highlight w:val="none"/>
              </w:rPr>
            </w:pPr>
          </w:p>
        </w:tc>
        <w:tc>
          <w:tcPr>
            <w:tcW w:w="1608" w:type="dxa"/>
            <w:noWrap w:val="0"/>
            <w:vAlign w:val="center"/>
          </w:tcPr>
          <w:p w14:paraId="6618BB77">
            <w:pPr>
              <w:pStyle w:val="126"/>
              <w:snapToGrid w:val="0"/>
              <w:spacing w:line="340" w:lineRule="exact"/>
              <w:jc w:val="center"/>
              <w:rPr>
                <w:rFonts w:hint="default" w:ascii="Times New Roman" w:hAnsi="Times New Roman" w:eastAsia="宋体"/>
                <w:color w:val="auto"/>
                <w:sz w:val="24"/>
                <w:szCs w:val="24"/>
                <w:highlight w:val="none"/>
                <w:lang w:val="en-US"/>
              </w:rPr>
            </w:pPr>
            <w:r>
              <w:rPr>
                <w:rFonts w:hint="eastAsia" w:ascii="Times New Roman" w:hAnsi="Times New Roman" w:eastAsia="宋体"/>
                <w:color w:val="auto"/>
                <w:sz w:val="24"/>
                <w:szCs w:val="24"/>
                <w:highlight w:val="none"/>
                <w:lang w:val="en-US" w:eastAsia="zh-CN"/>
              </w:rPr>
              <w:t>DA005</w:t>
            </w:r>
          </w:p>
          <w:p w14:paraId="66972268">
            <w:pPr>
              <w:pStyle w:val="126"/>
              <w:snapToGrid w:val="0"/>
              <w:spacing w:line="340" w:lineRule="exact"/>
              <w:jc w:val="center"/>
              <w:rPr>
                <w:rFonts w:hint="eastAsia" w:ascii="Times New Roman" w:hAnsi="Times New Roman" w:eastAsia="宋体"/>
                <w:color w:val="auto"/>
                <w:sz w:val="24"/>
                <w:szCs w:val="24"/>
                <w:highlight w:val="none"/>
                <w:lang w:eastAsia="zh-CN"/>
              </w:rPr>
            </w:pPr>
            <w:r>
              <w:rPr>
                <w:rFonts w:hint="eastAsia" w:ascii="Times New Roman" w:hAnsi="Times New Roman" w:eastAsia="宋体"/>
                <w:color w:val="auto"/>
                <w:sz w:val="24"/>
                <w:szCs w:val="24"/>
                <w:highlight w:val="none"/>
                <w:lang w:eastAsia="zh-CN"/>
              </w:rPr>
              <w:t>（</w:t>
            </w:r>
            <w:r>
              <w:rPr>
                <w:rFonts w:hint="eastAsia" w:ascii="Times New Roman" w:hAnsi="Times New Roman" w:eastAsia="宋体"/>
                <w:color w:val="auto"/>
                <w:sz w:val="24"/>
                <w:szCs w:val="24"/>
                <w:highlight w:val="none"/>
                <w:lang w:val="en-US" w:eastAsia="zh-CN"/>
              </w:rPr>
              <w:t>二期项目导热油炉废气</w:t>
            </w:r>
            <w:r>
              <w:rPr>
                <w:rFonts w:hint="eastAsia" w:ascii="Times New Roman" w:hAnsi="Times New Roman" w:eastAsia="宋体"/>
                <w:color w:val="auto"/>
                <w:sz w:val="24"/>
                <w:szCs w:val="24"/>
                <w:highlight w:val="none"/>
                <w:lang w:eastAsia="zh-CN"/>
              </w:rPr>
              <w:t>）</w:t>
            </w:r>
          </w:p>
        </w:tc>
        <w:tc>
          <w:tcPr>
            <w:tcW w:w="975" w:type="dxa"/>
            <w:vMerge w:val="continue"/>
            <w:noWrap w:val="0"/>
            <w:vAlign w:val="center"/>
          </w:tcPr>
          <w:p w14:paraId="5AF9C644">
            <w:pPr>
              <w:pStyle w:val="126"/>
              <w:snapToGrid w:val="0"/>
              <w:spacing w:line="340" w:lineRule="exact"/>
              <w:jc w:val="center"/>
              <w:rPr>
                <w:rFonts w:hint="eastAsia" w:ascii="Times New Roman" w:hAnsi="Times New Roman" w:eastAsia="宋体"/>
                <w:color w:val="auto"/>
                <w:sz w:val="24"/>
                <w:szCs w:val="24"/>
                <w:highlight w:val="none"/>
                <w:lang w:eastAsia="zh-CN"/>
              </w:rPr>
            </w:pPr>
          </w:p>
        </w:tc>
        <w:tc>
          <w:tcPr>
            <w:tcW w:w="2040" w:type="dxa"/>
            <w:vMerge w:val="continue"/>
            <w:noWrap w:val="0"/>
            <w:vAlign w:val="center"/>
          </w:tcPr>
          <w:p w14:paraId="1714A7B7">
            <w:pPr>
              <w:pStyle w:val="126"/>
              <w:snapToGrid w:val="0"/>
              <w:spacing w:line="340" w:lineRule="exact"/>
              <w:jc w:val="center"/>
              <w:rPr>
                <w:rFonts w:hint="eastAsia" w:ascii="Times New Roman" w:hAnsi="Times New Roman" w:eastAsia="宋体" w:cs="Times New Roman"/>
                <w:color w:val="auto"/>
                <w:sz w:val="24"/>
                <w:szCs w:val="24"/>
                <w:highlight w:val="none"/>
                <w:lang w:val="en-US" w:eastAsia="zh-CN"/>
              </w:rPr>
            </w:pPr>
          </w:p>
        </w:tc>
        <w:tc>
          <w:tcPr>
            <w:tcW w:w="3117" w:type="dxa"/>
            <w:vMerge w:val="continue"/>
            <w:noWrap w:val="0"/>
            <w:vAlign w:val="center"/>
          </w:tcPr>
          <w:p w14:paraId="0DE0905D">
            <w:pPr>
              <w:pStyle w:val="126"/>
              <w:snapToGrid w:val="0"/>
              <w:spacing w:line="340" w:lineRule="exact"/>
              <w:jc w:val="center"/>
              <w:rPr>
                <w:rFonts w:hint="eastAsia" w:ascii="Times New Roman" w:hAnsi="Times New Roman" w:eastAsia="宋体"/>
                <w:color w:val="auto"/>
                <w:sz w:val="24"/>
                <w:szCs w:val="24"/>
                <w:highlight w:val="none"/>
                <w:lang w:eastAsia="zh-CN"/>
              </w:rPr>
            </w:pPr>
          </w:p>
        </w:tc>
      </w:tr>
      <w:tr w14:paraId="5CC375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65" w:hRule="atLeast"/>
          <w:jc w:val="center"/>
        </w:trPr>
        <w:tc>
          <w:tcPr>
            <w:tcW w:w="1060" w:type="dxa"/>
            <w:vMerge w:val="continue"/>
            <w:noWrap w:val="0"/>
            <w:vAlign w:val="center"/>
          </w:tcPr>
          <w:p w14:paraId="2810F4AD">
            <w:pPr>
              <w:pStyle w:val="126"/>
              <w:snapToGrid w:val="0"/>
              <w:spacing w:line="340" w:lineRule="exact"/>
              <w:jc w:val="center"/>
              <w:rPr>
                <w:rFonts w:hint="eastAsia" w:ascii="Times New Roman" w:hAnsi="Times New Roman" w:eastAsia="宋体"/>
                <w:color w:val="auto"/>
                <w:sz w:val="24"/>
                <w:szCs w:val="24"/>
                <w:highlight w:val="none"/>
              </w:rPr>
            </w:pPr>
          </w:p>
        </w:tc>
        <w:tc>
          <w:tcPr>
            <w:tcW w:w="1608" w:type="dxa"/>
            <w:noWrap w:val="0"/>
            <w:vAlign w:val="center"/>
          </w:tcPr>
          <w:p w14:paraId="1D732E66">
            <w:pPr>
              <w:pStyle w:val="126"/>
              <w:snapToGrid w:val="0"/>
              <w:spacing w:line="340" w:lineRule="exact"/>
              <w:jc w:val="center"/>
              <w:rPr>
                <w:rFonts w:hint="default" w:ascii="Times New Roman" w:hAnsi="Times New Roman" w:eastAsia="宋体"/>
                <w:color w:val="auto"/>
                <w:sz w:val="24"/>
                <w:szCs w:val="24"/>
                <w:highlight w:val="none"/>
                <w:lang w:val="en-US" w:eastAsia="zh-CN"/>
              </w:rPr>
            </w:pPr>
            <w:r>
              <w:rPr>
                <w:rFonts w:hint="eastAsia" w:ascii="Times New Roman" w:hAnsi="Times New Roman" w:eastAsia="宋体"/>
                <w:color w:val="auto"/>
                <w:sz w:val="24"/>
                <w:szCs w:val="24"/>
                <w:highlight w:val="none"/>
              </w:rPr>
              <w:t>DA00</w:t>
            </w:r>
            <w:r>
              <w:rPr>
                <w:rFonts w:hint="eastAsia" w:ascii="Times New Roman" w:hAnsi="Times New Roman" w:eastAsia="宋体"/>
                <w:color w:val="auto"/>
                <w:sz w:val="24"/>
                <w:szCs w:val="24"/>
                <w:highlight w:val="none"/>
                <w:lang w:val="en-US" w:eastAsia="zh-CN"/>
              </w:rPr>
              <w:t>3</w:t>
            </w:r>
          </w:p>
          <w:p w14:paraId="26B1519C">
            <w:pPr>
              <w:pStyle w:val="126"/>
              <w:snapToGrid w:val="0"/>
              <w:spacing w:line="340" w:lineRule="exact"/>
              <w:jc w:val="center"/>
              <w:rPr>
                <w:rFonts w:hint="eastAsia"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lang w:eastAsia="zh-CN"/>
              </w:rPr>
              <w:t>（</w:t>
            </w:r>
            <w:r>
              <w:rPr>
                <w:rFonts w:hint="eastAsia" w:ascii="Times New Roman" w:hAnsi="Times New Roman" w:eastAsia="宋体"/>
                <w:color w:val="auto"/>
                <w:sz w:val="24"/>
                <w:szCs w:val="24"/>
                <w:highlight w:val="none"/>
                <w:lang w:val="en-US" w:eastAsia="zh-CN"/>
              </w:rPr>
              <w:t>一期项目沥青烟废气</w:t>
            </w:r>
            <w:r>
              <w:rPr>
                <w:rFonts w:hint="eastAsia" w:ascii="Times New Roman" w:hAnsi="Times New Roman" w:eastAsia="宋体"/>
                <w:color w:val="auto"/>
                <w:sz w:val="24"/>
                <w:szCs w:val="24"/>
                <w:highlight w:val="none"/>
                <w:lang w:eastAsia="zh-CN"/>
              </w:rPr>
              <w:t>）</w:t>
            </w:r>
          </w:p>
        </w:tc>
        <w:tc>
          <w:tcPr>
            <w:tcW w:w="975" w:type="dxa"/>
            <w:vMerge w:val="restart"/>
            <w:noWrap w:val="0"/>
            <w:vAlign w:val="center"/>
          </w:tcPr>
          <w:p w14:paraId="1A006FF8">
            <w:pPr>
              <w:pStyle w:val="126"/>
              <w:snapToGrid w:val="0"/>
              <w:spacing w:line="340" w:lineRule="exact"/>
              <w:jc w:val="center"/>
              <w:rPr>
                <w:rFonts w:hint="default" w:ascii="Times New Roman" w:hAnsi="Times New Roman" w:eastAsia="宋体"/>
                <w:color w:val="auto"/>
                <w:sz w:val="24"/>
                <w:szCs w:val="24"/>
                <w:highlight w:val="none"/>
                <w:lang w:val="en-US" w:eastAsia="zh-CN"/>
              </w:rPr>
            </w:pPr>
            <w:r>
              <w:rPr>
                <w:rFonts w:hint="eastAsia" w:ascii="Times New Roman" w:hAnsi="Times New Roman" w:eastAsia="宋体"/>
                <w:color w:val="auto"/>
                <w:sz w:val="24"/>
                <w:szCs w:val="24"/>
                <w:highlight w:val="none"/>
                <w:lang w:val="en-US" w:eastAsia="zh-CN"/>
              </w:rPr>
              <w:t>沥青烟、</w:t>
            </w:r>
            <w:r>
              <w:rPr>
                <w:rFonts w:hint="eastAsia" w:ascii="Times New Roman" w:hAnsi="Times New Roman" w:eastAsia="宋体" w:cs="Times New Roman"/>
                <w:color w:val="auto"/>
                <w:sz w:val="24"/>
                <w:szCs w:val="24"/>
                <w:highlight w:val="none"/>
              </w:rPr>
              <w:t>苯并[a]芘</w:t>
            </w:r>
            <w:r>
              <w:rPr>
                <w:rFonts w:hint="eastAsia" w:ascii="Times New Roman" w:hAnsi="Times New Roman" w:eastAsia="宋体"/>
                <w:color w:val="auto"/>
                <w:sz w:val="24"/>
                <w:szCs w:val="24"/>
                <w:highlight w:val="none"/>
                <w:lang w:val="en-US" w:eastAsia="zh-CN"/>
              </w:rPr>
              <w:t>、非甲烷总烃</w:t>
            </w:r>
          </w:p>
        </w:tc>
        <w:tc>
          <w:tcPr>
            <w:tcW w:w="2040" w:type="dxa"/>
            <w:vMerge w:val="restart"/>
            <w:noWrap w:val="0"/>
            <w:vAlign w:val="center"/>
          </w:tcPr>
          <w:p w14:paraId="62FECE42">
            <w:pPr>
              <w:pStyle w:val="126"/>
              <w:snapToGrid w:val="0"/>
              <w:spacing w:line="34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经负压收集后经过“喷淋塔+除雾器+活性炭吸附装置”处理后分别通过1根15m高排气筒排放</w:t>
            </w:r>
          </w:p>
        </w:tc>
        <w:tc>
          <w:tcPr>
            <w:tcW w:w="3117" w:type="dxa"/>
            <w:vMerge w:val="restart"/>
            <w:noWrap w:val="0"/>
            <w:vAlign w:val="center"/>
          </w:tcPr>
          <w:p w14:paraId="66B3DD50">
            <w:pPr>
              <w:pStyle w:val="126"/>
              <w:snapToGrid w:val="0"/>
              <w:spacing w:line="340" w:lineRule="exact"/>
              <w:jc w:val="center"/>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满足执行《大气污染物综合排放标准》</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GB16297-1996</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表2二级标准（</w:t>
            </w:r>
            <w:r>
              <w:rPr>
                <w:rFonts w:hint="eastAsia" w:ascii="Times New Roman" w:hAnsi="Times New Roman" w:eastAsia="宋体"/>
                <w:color w:val="auto"/>
                <w:sz w:val="24"/>
                <w:szCs w:val="24"/>
                <w:highlight w:val="none"/>
              </w:rPr>
              <w:t>最</w:t>
            </w:r>
            <w:r>
              <w:rPr>
                <w:rFonts w:hint="eastAsia" w:ascii="Times New Roman" w:hAnsi="Times New Roman" w:eastAsia="宋体"/>
                <w:color w:val="auto"/>
                <w:sz w:val="24"/>
                <w:szCs w:val="24"/>
                <w:highlight w:val="none"/>
                <w:lang w:val="en-US" w:eastAsia="zh-CN"/>
              </w:rPr>
              <w:t>高</w:t>
            </w:r>
            <w:r>
              <w:rPr>
                <w:rFonts w:hint="eastAsia" w:ascii="Times New Roman" w:hAnsi="Times New Roman" w:eastAsia="宋体"/>
                <w:color w:val="auto"/>
                <w:sz w:val="24"/>
                <w:szCs w:val="24"/>
                <w:highlight w:val="none"/>
              </w:rPr>
              <w:t>允许排放浓度：</w:t>
            </w:r>
            <w:r>
              <w:rPr>
                <w:rFonts w:hint="eastAsia" w:ascii="Times New Roman" w:hAnsi="Times New Roman" w:eastAsia="宋体"/>
                <w:color w:val="auto"/>
                <w:sz w:val="24"/>
                <w:szCs w:val="24"/>
                <w:highlight w:val="none"/>
                <w:lang w:val="en-US" w:eastAsia="zh-CN"/>
              </w:rPr>
              <w:t>沥青烟</w:t>
            </w:r>
            <w:r>
              <w:rPr>
                <w:rFonts w:ascii="Times New Roman" w:hAnsi="Times New Roman" w:eastAsia="宋体"/>
                <w:color w:val="auto"/>
                <w:sz w:val="24"/>
                <w:szCs w:val="24"/>
                <w:highlight w:val="none"/>
              </w:rPr>
              <w:t>≤</w:t>
            </w:r>
            <w:r>
              <w:rPr>
                <w:rFonts w:hint="eastAsia" w:ascii="Times New Roman" w:hAnsi="Times New Roman" w:eastAsia="宋体"/>
                <w:color w:val="auto"/>
                <w:sz w:val="24"/>
                <w:szCs w:val="24"/>
                <w:highlight w:val="none"/>
                <w:lang w:val="en-US" w:eastAsia="zh-CN"/>
              </w:rPr>
              <w:t>75</w:t>
            </w:r>
            <w:r>
              <w:rPr>
                <w:rFonts w:ascii="Times New Roman" w:hAnsi="Times New Roman" w:eastAsia="宋体"/>
                <w:color w:val="auto"/>
                <w:sz w:val="24"/>
                <w:szCs w:val="24"/>
                <w:highlight w:val="none"/>
              </w:rPr>
              <w:t>mg/m</w:t>
            </w:r>
            <w:r>
              <w:rPr>
                <w:rFonts w:ascii="Times New Roman" w:hAnsi="Times New Roman" w:eastAsia="宋体"/>
                <w:color w:val="auto"/>
                <w:sz w:val="24"/>
                <w:szCs w:val="24"/>
                <w:highlight w:val="none"/>
                <w:vertAlign w:val="superscript"/>
              </w:rPr>
              <w:t>3</w:t>
            </w:r>
            <w:r>
              <w:rPr>
                <w:rFonts w:hint="eastAsia" w:ascii="Times New Roman" w:hAnsi="Times New Roman" w:eastAsia="宋体"/>
                <w:color w:val="auto"/>
                <w:sz w:val="24"/>
                <w:szCs w:val="24"/>
                <w:highlight w:val="none"/>
                <w:lang w:val="en-US" w:eastAsia="zh-CN"/>
              </w:rPr>
              <w:t>；</w:t>
            </w:r>
            <w:r>
              <w:rPr>
                <w:rFonts w:hint="eastAsia" w:ascii="Times New Roman" w:hAnsi="Times New Roman" w:eastAsia="宋体" w:cs="Times New Roman"/>
                <w:color w:val="auto"/>
                <w:sz w:val="24"/>
                <w:szCs w:val="24"/>
                <w:highlight w:val="none"/>
              </w:rPr>
              <w:t>苯并[a]芘</w:t>
            </w:r>
            <w:r>
              <w:rPr>
                <w:rFonts w:ascii="Times New Roman" w:hAnsi="Times New Roman" w:eastAsia="宋体"/>
                <w:color w:val="auto"/>
                <w:sz w:val="24"/>
                <w:szCs w:val="24"/>
                <w:highlight w:val="none"/>
              </w:rPr>
              <w:t>≤</w:t>
            </w:r>
            <w:r>
              <w:rPr>
                <w:rFonts w:hint="eastAsia" w:ascii="Times New Roman" w:hAnsi="Times New Roman" w:eastAsia="宋体"/>
                <w:color w:val="auto"/>
                <w:sz w:val="24"/>
                <w:szCs w:val="24"/>
                <w:highlight w:val="none"/>
                <w:lang w:val="en-US" w:eastAsia="zh-CN"/>
              </w:rPr>
              <w:t>0.3</w:t>
            </w:r>
            <w:r>
              <w:rPr>
                <w:rFonts w:hint="default" w:ascii="Arial" w:hAnsi="Arial" w:eastAsia="宋体" w:cs="Arial"/>
                <w:color w:val="auto"/>
                <w:sz w:val="24"/>
                <w:szCs w:val="24"/>
                <w:highlight w:val="none"/>
                <w:lang w:val="en-US" w:eastAsia="zh-CN"/>
              </w:rPr>
              <w:t>×</w:t>
            </w:r>
            <w:r>
              <w:rPr>
                <w:rFonts w:hint="eastAsia" w:ascii="Times New Roman" w:hAnsi="Times New Roman" w:eastAsia="宋体"/>
                <w:color w:val="auto"/>
                <w:sz w:val="24"/>
                <w:szCs w:val="24"/>
                <w:highlight w:val="none"/>
                <w:lang w:val="en-US" w:eastAsia="zh-CN"/>
              </w:rPr>
              <w:t>10</w:t>
            </w:r>
            <w:r>
              <w:rPr>
                <w:rFonts w:hint="eastAsia" w:ascii="Times New Roman" w:hAnsi="Times New Roman" w:eastAsia="宋体"/>
                <w:color w:val="auto"/>
                <w:sz w:val="24"/>
                <w:szCs w:val="24"/>
                <w:highlight w:val="none"/>
                <w:vertAlign w:val="superscript"/>
                <w:lang w:val="en-US" w:eastAsia="zh-CN"/>
              </w:rPr>
              <w:t>-3</w:t>
            </w:r>
            <w:r>
              <w:rPr>
                <w:rFonts w:ascii="Times New Roman" w:hAnsi="Times New Roman" w:eastAsia="宋体"/>
                <w:color w:val="auto"/>
                <w:sz w:val="24"/>
                <w:szCs w:val="24"/>
                <w:highlight w:val="none"/>
              </w:rPr>
              <w:t>mg/m</w:t>
            </w:r>
            <w:r>
              <w:rPr>
                <w:rFonts w:ascii="Times New Roman" w:hAnsi="Times New Roman" w:eastAsia="宋体"/>
                <w:color w:val="auto"/>
                <w:sz w:val="24"/>
                <w:szCs w:val="24"/>
                <w:highlight w:val="none"/>
                <w:vertAlign w:val="superscript"/>
              </w:rPr>
              <w:t>3</w:t>
            </w:r>
            <w:r>
              <w:rPr>
                <w:rFonts w:hint="eastAsia" w:ascii="Times New Roman" w:hAnsi="Times New Roman" w:eastAsia="宋体"/>
                <w:color w:val="auto"/>
                <w:sz w:val="24"/>
                <w:szCs w:val="24"/>
                <w:highlight w:val="none"/>
              </w:rPr>
              <w:t>、</w:t>
            </w:r>
            <w:r>
              <w:rPr>
                <w:rFonts w:hint="eastAsia" w:ascii="Times New Roman" w:hAnsi="Times New Roman" w:eastAsia="宋体"/>
                <w:color w:val="auto"/>
                <w:sz w:val="24"/>
                <w:szCs w:val="24"/>
                <w:highlight w:val="none"/>
                <w:lang w:val="en-US" w:eastAsia="zh-CN"/>
              </w:rPr>
              <w:t>非甲烷总烃</w:t>
            </w:r>
            <w:r>
              <w:rPr>
                <w:rFonts w:ascii="Times New Roman" w:hAnsi="Times New Roman" w:eastAsia="宋体"/>
                <w:color w:val="auto"/>
                <w:sz w:val="24"/>
                <w:szCs w:val="24"/>
                <w:highlight w:val="none"/>
              </w:rPr>
              <w:t>≤</w:t>
            </w:r>
            <w:r>
              <w:rPr>
                <w:rFonts w:hint="eastAsia" w:ascii="Times New Roman" w:hAnsi="Times New Roman" w:eastAsia="宋体"/>
                <w:color w:val="auto"/>
                <w:sz w:val="24"/>
                <w:szCs w:val="24"/>
                <w:highlight w:val="none"/>
                <w:lang w:val="en-US" w:eastAsia="zh-CN"/>
              </w:rPr>
              <w:t>120</w:t>
            </w:r>
            <w:r>
              <w:rPr>
                <w:rFonts w:ascii="Times New Roman" w:hAnsi="Times New Roman" w:eastAsia="宋体"/>
                <w:color w:val="auto"/>
                <w:sz w:val="24"/>
                <w:szCs w:val="24"/>
                <w:highlight w:val="none"/>
              </w:rPr>
              <w:t>mg/m</w:t>
            </w:r>
            <w:r>
              <w:rPr>
                <w:rFonts w:ascii="Times New Roman" w:hAnsi="Times New Roman" w:eastAsia="宋体"/>
                <w:color w:val="auto"/>
                <w:sz w:val="24"/>
                <w:szCs w:val="24"/>
                <w:highlight w:val="none"/>
                <w:vertAlign w:val="superscript"/>
              </w:rPr>
              <w:t>3</w:t>
            </w:r>
            <w:r>
              <w:rPr>
                <w:rFonts w:hint="eastAsia" w:ascii="Times New Roman" w:hAnsi="Times New Roman" w:eastAsia="宋体"/>
                <w:color w:val="auto"/>
                <w:sz w:val="24"/>
                <w:szCs w:val="24"/>
                <w:highlight w:val="none"/>
              </w:rPr>
              <w:t>；</w:t>
            </w:r>
            <w:r>
              <w:rPr>
                <w:rFonts w:hint="eastAsia" w:ascii="Times New Roman" w:hAnsi="Times New Roman" w:eastAsia="宋体" w:cs="Times New Roman"/>
                <w:color w:val="auto"/>
                <w:sz w:val="24"/>
                <w:szCs w:val="24"/>
                <w:highlight w:val="none"/>
              </w:rPr>
              <w:t>最</w:t>
            </w:r>
            <w:r>
              <w:rPr>
                <w:rFonts w:hint="eastAsia" w:ascii="Times New Roman" w:hAnsi="Times New Roman" w:eastAsia="宋体" w:cs="Times New Roman"/>
                <w:color w:val="auto"/>
                <w:sz w:val="24"/>
                <w:szCs w:val="24"/>
                <w:highlight w:val="none"/>
                <w:lang w:val="en-US" w:eastAsia="zh-CN"/>
              </w:rPr>
              <w:t>高</w:t>
            </w:r>
            <w:r>
              <w:rPr>
                <w:rFonts w:hint="eastAsia" w:ascii="Times New Roman" w:hAnsi="Times New Roman" w:eastAsia="宋体" w:cs="Times New Roman"/>
                <w:color w:val="auto"/>
                <w:sz w:val="24"/>
                <w:szCs w:val="24"/>
                <w:highlight w:val="none"/>
              </w:rPr>
              <w:t>允许排放速率</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沥青烟</w:t>
            </w:r>
            <w:r>
              <w:rPr>
                <w:rFonts w:hint="eastAsia"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0.18</w:t>
            </w:r>
            <w:r>
              <w:rPr>
                <w:rFonts w:hint="eastAsia" w:ascii="Times New Roman" w:hAnsi="Times New Roman" w:eastAsia="宋体" w:cs="Times New Roman"/>
                <w:color w:val="auto"/>
                <w:sz w:val="24"/>
                <w:szCs w:val="24"/>
                <w:highlight w:val="none"/>
              </w:rPr>
              <w:t>kg/h</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苯并[a]芘≤</w:t>
            </w:r>
            <w:r>
              <w:rPr>
                <w:rFonts w:hint="eastAsia" w:ascii="Times New Roman" w:hAnsi="Times New Roman" w:eastAsia="宋体"/>
                <w:color w:val="auto"/>
                <w:sz w:val="24"/>
                <w:szCs w:val="24"/>
                <w:highlight w:val="none"/>
                <w:lang w:val="en-US" w:eastAsia="zh-CN"/>
              </w:rPr>
              <w:t>0.05</w:t>
            </w:r>
            <w:r>
              <w:rPr>
                <w:rFonts w:hint="default" w:ascii="Arial" w:hAnsi="Arial" w:eastAsia="宋体" w:cs="Arial"/>
                <w:color w:val="auto"/>
                <w:sz w:val="24"/>
                <w:szCs w:val="24"/>
                <w:highlight w:val="none"/>
                <w:lang w:val="en-US" w:eastAsia="zh-CN"/>
              </w:rPr>
              <w:t>×</w:t>
            </w:r>
            <w:r>
              <w:rPr>
                <w:rFonts w:hint="eastAsia" w:ascii="Times New Roman" w:hAnsi="Times New Roman" w:eastAsia="宋体"/>
                <w:color w:val="auto"/>
                <w:sz w:val="24"/>
                <w:szCs w:val="24"/>
                <w:highlight w:val="none"/>
                <w:lang w:val="en-US" w:eastAsia="zh-CN"/>
              </w:rPr>
              <w:t>10</w:t>
            </w:r>
            <w:r>
              <w:rPr>
                <w:rFonts w:hint="eastAsia" w:ascii="Times New Roman" w:hAnsi="Times New Roman" w:eastAsia="宋体"/>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rPr>
              <w:t>kg/h</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olor w:val="auto"/>
                <w:sz w:val="24"/>
                <w:szCs w:val="24"/>
                <w:highlight w:val="none"/>
                <w:lang w:val="en-US" w:eastAsia="zh-CN"/>
              </w:rPr>
              <w:t>非甲烷总烃</w:t>
            </w:r>
            <w:r>
              <w:rPr>
                <w:rFonts w:hint="eastAsia"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10</w:t>
            </w:r>
            <w:r>
              <w:rPr>
                <w:rFonts w:hint="eastAsia" w:ascii="Times New Roman" w:hAnsi="Times New Roman" w:eastAsia="宋体" w:cs="Times New Roman"/>
                <w:color w:val="auto"/>
                <w:sz w:val="24"/>
                <w:szCs w:val="24"/>
                <w:highlight w:val="none"/>
              </w:rPr>
              <w:t>kg/h</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臭气浓度</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无量纲</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2000</w:t>
            </w:r>
            <w:r>
              <w:rPr>
                <w:rFonts w:hint="eastAsia" w:ascii="Times New Roman" w:hAnsi="Times New Roman" w:eastAsia="宋体" w:cs="Times New Roman"/>
                <w:color w:val="auto"/>
                <w:sz w:val="24"/>
                <w:szCs w:val="24"/>
                <w:highlight w:val="none"/>
              </w:rPr>
              <w:t>）</w:t>
            </w:r>
          </w:p>
        </w:tc>
      </w:tr>
      <w:tr w14:paraId="2D349C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65" w:hRule="atLeast"/>
          <w:jc w:val="center"/>
        </w:trPr>
        <w:tc>
          <w:tcPr>
            <w:tcW w:w="1060" w:type="dxa"/>
            <w:vMerge w:val="continue"/>
            <w:noWrap w:val="0"/>
            <w:vAlign w:val="center"/>
          </w:tcPr>
          <w:p w14:paraId="2F07C224">
            <w:pPr>
              <w:pStyle w:val="126"/>
              <w:snapToGrid w:val="0"/>
              <w:spacing w:line="340" w:lineRule="exact"/>
              <w:jc w:val="center"/>
              <w:rPr>
                <w:color w:val="auto"/>
                <w:highlight w:val="none"/>
              </w:rPr>
            </w:pPr>
          </w:p>
        </w:tc>
        <w:tc>
          <w:tcPr>
            <w:tcW w:w="1608" w:type="dxa"/>
            <w:noWrap w:val="0"/>
            <w:vAlign w:val="center"/>
          </w:tcPr>
          <w:p w14:paraId="36A7AC11">
            <w:pPr>
              <w:pStyle w:val="126"/>
              <w:snapToGrid w:val="0"/>
              <w:spacing w:line="340" w:lineRule="exact"/>
              <w:jc w:val="center"/>
              <w:rPr>
                <w:rFonts w:hint="default" w:ascii="Times New Roman" w:hAnsi="Times New Roman" w:eastAsia="宋体"/>
                <w:color w:val="auto"/>
                <w:sz w:val="24"/>
                <w:szCs w:val="24"/>
                <w:highlight w:val="none"/>
                <w:lang w:val="en-US" w:eastAsia="zh-CN"/>
              </w:rPr>
            </w:pPr>
            <w:r>
              <w:rPr>
                <w:rFonts w:hint="eastAsia" w:ascii="Times New Roman" w:hAnsi="Times New Roman" w:eastAsia="宋体"/>
                <w:color w:val="auto"/>
                <w:sz w:val="24"/>
                <w:szCs w:val="24"/>
                <w:highlight w:val="none"/>
                <w:lang w:val="en-US" w:eastAsia="zh-CN"/>
              </w:rPr>
              <w:t>DA006</w:t>
            </w:r>
          </w:p>
          <w:p w14:paraId="74AD576E">
            <w:pPr>
              <w:pStyle w:val="126"/>
              <w:snapToGrid w:val="0"/>
              <w:spacing w:line="340" w:lineRule="exact"/>
              <w:jc w:val="center"/>
              <w:rPr>
                <w:rFonts w:hint="eastAsia" w:ascii="Times New Roman" w:hAnsi="Times New Roman" w:eastAsia="宋体"/>
                <w:color w:val="auto"/>
                <w:sz w:val="24"/>
                <w:szCs w:val="24"/>
                <w:highlight w:val="none"/>
                <w:lang w:eastAsia="zh-CN"/>
              </w:rPr>
            </w:pPr>
            <w:r>
              <w:rPr>
                <w:rFonts w:hint="eastAsia" w:ascii="Times New Roman" w:hAnsi="Times New Roman" w:eastAsia="宋体"/>
                <w:color w:val="auto"/>
                <w:sz w:val="24"/>
                <w:szCs w:val="24"/>
                <w:highlight w:val="none"/>
                <w:lang w:eastAsia="zh-CN"/>
              </w:rPr>
              <w:t>（</w:t>
            </w:r>
            <w:r>
              <w:rPr>
                <w:rFonts w:hint="eastAsia" w:ascii="Times New Roman" w:hAnsi="Times New Roman" w:eastAsia="宋体"/>
                <w:color w:val="auto"/>
                <w:sz w:val="24"/>
                <w:szCs w:val="24"/>
                <w:highlight w:val="none"/>
                <w:lang w:val="en-US" w:eastAsia="zh-CN"/>
              </w:rPr>
              <w:t>二期项目沥青烟废气</w:t>
            </w:r>
            <w:r>
              <w:rPr>
                <w:rFonts w:hint="eastAsia" w:ascii="Times New Roman" w:hAnsi="Times New Roman" w:eastAsia="宋体"/>
                <w:color w:val="auto"/>
                <w:sz w:val="24"/>
                <w:szCs w:val="24"/>
                <w:highlight w:val="none"/>
                <w:lang w:eastAsia="zh-CN"/>
              </w:rPr>
              <w:t>）</w:t>
            </w:r>
          </w:p>
        </w:tc>
        <w:tc>
          <w:tcPr>
            <w:tcW w:w="975" w:type="dxa"/>
            <w:vMerge w:val="continue"/>
            <w:noWrap w:val="0"/>
            <w:vAlign w:val="center"/>
          </w:tcPr>
          <w:p w14:paraId="36F462AE">
            <w:pPr>
              <w:pStyle w:val="126"/>
              <w:snapToGrid w:val="0"/>
              <w:spacing w:line="340" w:lineRule="exact"/>
              <w:jc w:val="center"/>
              <w:rPr>
                <w:rFonts w:hint="eastAsia" w:ascii="Times New Roman" w:hAnsi="Times New Roman" w:eastAsia="宋体"/>
                <w:color w:val="auto"/>
                <w:sz w:val="24"/>
                <w:szCs w:val="24"/>
                <w:highlight w:val="none"/>
                <w:lang w:eastAsia="zh-CN"/>
              </w:rPr>
            </w:pPr>
          </w:p>
        </w:tc>
        <w:tc>
          <w:tcPr>
            <w:tcW w:w="2040" w:type="dxa"/>
            <w:vMerge w:val="continue"/>
            <w:noWrap w:val="0"/>
            <w:vAlign w:val="center"/>
          </w:tcPr>
          <w:p w14:paraId="549B0FCA">
            <w:pPr>
              <w:pStyle w:val="126"/>
              <w:snapToGrid w:val="0"/>
              <w:spacing w:line="340" w:lineRule="exact"/>
              <w:jc w:val="center"/>
              <w:rPr>
                <w:rFonts w:hint="eastAsia" w:ascii="Times New Roman" w:hAnsi="Times New Roman" w:eastAsia="宋体"/>
                <w:color w:val="auto"/>
                <w:sz w:val="24"/>
                <w:szCs w:val="24"/>
                <w:highlight w:val="none"/>
                <w:lang w:eastAsia="zh-CN"/>
              </w:rPr>
            </w:pPr>
          </w:p>
        </w:tc>
        <w:tc>
          <w:tcPr>
            <w:tcW w:w="3117" w:type="dxa"/>
            <w:vMerge w:val="continue"/>
            <w:noWrap w:val="0"/>
            <w:vAlign w:val="center"/>
          </w:tcPr>
          <w:p w14:paraId="6F2171B1">
            <w:pPr>
              <w:pStyle w:val="126"/>
              <w:snapToGrid w:val="0"/>
              <w:spacing w:line="340" w:lineRule="exact"/>
              <w:jc w:val="center"/>
              <w:rPr>
                <w:rFonts w:hint="eastAsia" w:ascii="Times New Roman" w:hAnsi="Times New Roman" w:eastAsia="宋体"/>
                <w:color w:val="auto"/>
                <w:sz w:val="24"/>
                <w:szCs w:val="24"/>
                <w:highlight w:val="none"/>
                <w:lang w:eastAsia="zh-CN"/>
              </w:rPr>
            </w:pPr>
          </w:p>
        </w:tc>
      </w:tr>
      <w:tr w14:paraId="4BCB59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60" w:type="dxa"/>
            <w:vMerge w:val="continue"/>
            <w:noWrap w:val="0"/>
            <w:vAlign w:val="center"/>
          </w:tcPr>
          <w:p w14:paraId="3B5B56C7">
            <w:pPr>
              <w:pStyle w:val="126"/>
              <w:snapToGrid w:val="0"/>
              <w:spacing w:line="340" w:lineRule="exact"/>
              <w:jc w:val="center"/>
              <w:rPr>
                <w:rFonts w:hint="eastAsia" w:ascii="Times New Roman" w:hAnsi="Times New Roman" w:eastAsia="宋体"/>
                <w:color w:val="auto"/>
                <w:sz w:val="24"/>
                <w:szCs w:val="24"/>
                <w:highlight w:val="none"/>
              </w:rPr>
            </w:pPr>
          </w:p>
        </w:tc>
        <w:tc>
          <w:tcPr>
            <w:tcW w:w="1608" w:type="dxa"/>
            <w:noWrap w:val="0"/>
            <w:vAlign w:val="center"/>
          </w:tcPr>
          <w:p w14:paraId="4D5924CC">
            <w:pPr>
              <w:pStyle w:val="126"/>
              <w:snapToGrid w:val="0"/>
              <w:spacing w:line="34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rPr>
              <w:t>DA00</w:t>
            </w:r>
            <w:r>
              <w:rPr>
                <w:rFonts w:hint="eastAsia" w:ascii="Times New Roman" w:hAnsi="Times New Roman" w:eastAsia="宋体" w:cs="Times New Roman"/>
                <w:color w:val="auto"/>
                <w:sz w:val="24"/>
                <w:szCs w:val="24"/>
                <w:highlight w:val="none"/>
                <w:lang w:val="en-US" w:eastAsia="zh-CN"/>
              </w:rPr>
              <w:t>7</w:t>
            </w:r>
          </w:p>
          <w:p w14:paraId="1D2B2080">
            <w:pPr>
              <w:pStyle w:val="126"/>
              <w:snapToGrid w:val="0"/>
              <w:spacing w:line="340" w:lineRule="exact"/>
              <w:jc w:val="center"/>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（油烟废气）</w:t>
            </w:r>
          </w:p>
        </w:tc>
        <w:tc>
          <w:tcPr>
            <w:tcW w:w="975" w:type="dxa"/>
            <w:noWrap w:val="0"/>
            <w:vAlign w:val="center"/>
          </w:tcPr>
          <w:p w14:paraId="6F302F74">
            <w:pPr>
              <w:pStyle w:val="126"/>
              <w:snapToGrid w:val="0"/>
              <w:spacing w:line="340" w:lineRule="exact"/>
              <w:jc w:val="center"/>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油烟</w:t>
            </w:r>
          </w:p>
        </w:tc>
        <w:tc>
          <w:tcPr>
            <w:tcW w:w="2040" w:type="dxa"/>
            <w:noWrap w:val="0"/>
            <w:vAlign w:val="center"/>
          </w:tcPr>
          <w:p w14:paraId="5B239243">
            <w:pPr>
              <w:pStyle w:val="126"/>
              <w:snapToGrid w:val="0"/>
              <w:spacing w:line="34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经油烟净化器处理后通过专用油烟管道引至屋面排放</w:t>
            </w:r>
          </w:p>
        </w:tc>
        <w:tc>
          <w:tcPr>
            <w:tcW w:w="3117" w:type="dxa"/>
            <w:noWrap w:val="0"/>
            <w:vAlign w:val="center"/>
          </w:tcPr>
          <w:p w14:paraId="1C3CC729">
            <w:pPr>
              <w:pStyle w:val="126"/>
              <w:snapToGrid w:val="0"/>
              <w:spacing w:line="340" w:lineRule="exact"/>
              <w:jc w:val="center"/>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满足执行</w:t>
            </w:r>
            <w:r>
              <w:rPr>
                <w:rFonts w:hint="eastAsia" w:ascii="Times New Roman" w:hAnsi="Times New Roman" w:eastAsia="宋体" w:cs="Times New Roman"/>
                <w:color w:val="auto"/>
                <w:sz w:val="24"/>
                <w:szCs w:val="24"/>
                <w:highlight w:val="none"/>
              </w:rPr>
              <w:fldChar w:fldCharType="begin"/>
            </w:r>
            <w:r>
              <w:rPr>
                <w:rFonts w:hint="eastAsia" w:ascii="Times New Roman" w:hAnsi="Times New Roman" w:eastAsia="宋体" w:cs="Times New Roman"/>
                <w:color w:val="auto"/>
                <w:sz w:val="24"/>
                <w:szCs w:val="24"/>
                <w:highlight w:val="none"/>
              </w:rPr>
              <w:instrText xml:space="preserve"> HYPERLINK "https://www.so.com/link?m=aCXGUMiagOefT7Zs105TTwBxKjz9HLm8nLTxnQAc8fHSrQvp19+bYlpOgAYnd6UlLHjiZHt3kHlQa4EFYMhVp58JzEQrh2KUmFHSI40HdeHRfslvIZX3U+SQN4IIT0rtC0KMr/lPnuZGkSr+YMuWSUI5ayToenMn4g1NGwH4HKN5ZsIouKEFrZFgseeJnzlj+m8vfwzhrxIKCejKR2gADF6zJhjvHUX/6qkdS0A==" \t "https://www.so.com/_blank" </w:instrText>
            </w:r>
            <w:r>
              <w:rPr>
                <w:rFonts w:hint="eastAsia" w:ascii="Times New Roman" w:hAnsi="Times New Roman" w:eastAsia="宋体" w:cs="Times New Roman"/>
                <w:color w:val="auto"/>
                <w:sz w:val="24"/>
                <w:szCs w:val="24"/>
                <w:highlight w:val="none"/>
              </w:rPr>
              <w:fldChar w:fldCharType="separate"/>
            </w:r>
            <w:r>
              <w:rPr>
                <w:rFonts w:hint="eastAsia" w:ascii="Times New Roman" w:hAnsi="Times New Roman" w:eastAsia="宋体" w:cs="Times New Roman"/>
                <w:color w:val="auto"/>
                <w:sz w:val="24"/>
                <w:szCs w:val="24"/>
                <w:highlight w:val="none"/>
              </w:rPr>
              <w:t>《饮食业油烟排放标准（试行）》（GB18483-2001）</w:t>
            </w:r>
            <w:r>
              <w:rPr>
                <w:rFonts w:hint="eastAsia" w:ascii="Times New Roman" w:hAnsi="Times New Roman" w:eastAsia="宋体" w:cs="Times New Roman"/>
                <w:color w:val="auto"/>
                <w:sz w:val="24"/>
                <w:szCs w:val="24"/>
                <w:highlight w:val="none"/>
              </w:rPr>
              <w:fldChar w:fldCharType="end"/>
            </w:r>
            <w:r>
              <w:rPr>
                <w:rFonts w:hint="eastAsia" w:ascii="Times New Roman" w:hAnsi="Times New Roman" w:eastAsia="宋体" w:cs="Times New Roman"/>
                <w:color w:val="auto"/>
                <w:sz w:val="24"/>
                <w:szCs w:val="24"/>
                <w:highlight w:val="none"/>
              </w:rPr>
              <w:t>表2中的</w:t>
            </w:r>
            <w:r>
              <w:rPr>
                <w:rFonts w:hint="eastAsia" w:ascii="Times New Roman" w:hAnsi="Times New Roman" w:eastAsia="宋体" w:cs="Times New Roman"/>
                <w:color w:val="auto"/>
                <w:sz w:val="24"/>
                <w:szCs w:val="24"/>
                <w:highlight w:val="none"/>
                <w:lang w:val="en-US" w:eastAsia="zh-CN"/>
              </w:rPr>
              <w:t>小</w:t>
            </w:r>
            <w:r>
              <w:rPr>
                <w:rFonts w:hint="eastAsia" w:ascii="Times New Roman" w:hAnsi="Times New Roman" w:eastAsia="宋体" w:cs="Times New Roman"/>
                <w:color w:val="auto"/>
                <w:sz w:val="24"/>
                <w:szCs w:val="24"/>
                <w:highlight w:val="none"/>
              </w:rPr>
              <w:t>型规模厨房排放标准限值要求（最高允许排放浓度≤2mg/m</w:t>
            </w:r>
            <w:r>
              <w:rPr>
                <w:rFonts w:hint="eastAsia"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rPr>
              <w:t>、净化设施最低去除效率≥</w:t>
            </w:r>
            <w:r>
              <w:rPr>
                <w:rFonts w:hint="eastAsia" w:ascii="Times New Roman" w:hAnsi="Times New Roman" w:eastAsia="宋体" w:cs="Times New Roman"/>
                <w:color w:val="auto"/>
                <w:sz w:val="24"/>
                <w:szCs w:val="24"/>
                <w:highlight w:val="none"/>
                <w:lang w:val="en-US" w:eastAsia="zh-CN"/>
              </w:rPr>
              <w:t>6</w:t>
            </w:r>
            <w:r>
              <w:rPr>
                <w:rFonts w:hint="eastAsia" w:ascii="Times New Roman" w:hAnsi="Times New Roman" w:eastAsia="宋体" w:cs="Times New Roman"/>
                <w:color w:val="auto"/>
                <w:sz w:val="24"/>
                <w:szCs w:val="24"/>
                <w:highlight w:val="none"/>
              </w:rPr>
              <w:t>5%）</w:t>
            </w:r>
          </w:p>
        </w:tc>
      </w:tr>
      <w:tr w14:paraId="540E42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40" w:hRule="atLeast"/>
          <w:jc w:val="center"/>
        </w:trPr>
        <w:tc>
          <w:tcPr>
            <w:tcW w:w="1060" w:type="dxa"/>
            <w:vMerge w:val="continue"/>
            <w:noWrap w:val="0"/>
            <w:vAlign w:val="center"/>
          </w:tcPr>
          <w:p w14:paraId="48350FEE">
            <w:pPr>
              <w:pStyle w:val="126"/>
              <w:snapToGrid w:val="0"/>
              <w:spacing w:line="340" w:lineRule="exact"/>
              <w:jc w:val="center"/>
              <w:rPr>
                <w:rFonts w:hint="eastAsia" w:ascii="Times New Roman" w:hAnsi="Times New Roman" w:eastAsia="宋体"/>
                <w:color w:val="auto"/>
                <w:sz w:val="24"/>
                <w:szCs w:val="24"/>
                <w:highlight w:val="none"/>
              </w:rPr>
            </w:pPr>
          </w:p>
        </w:tc>
        <w:tc>
          <w:tcPr>
            <w:tcW w:w="1608" w:type="dxa"/>
            <w:vMerge w:val="restart"/>
            <w:noWrap w:val="0"/>
            <w:vAlign w:val="center"/>
          </w:tcPr>
          <w:p w14:paraId="39B04B5F">
            <w:pPr>
              <w:pStyle w:val="126"/>
              <w:snapToGrid w:val="0"/>
              <w:spacing w:line="340" w:lineRule="exact"/>
              <w:jc w:val="center"/>
              <w:rPr>
                <w:rFonts w:hint="eastAsia"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rPr>
              <w:t>无组织排放</w:t>
            </w:r>
          </w:p>
        </w:tc>
        <w:tc>
          <w:tcPr>
            <w:tcW w:w="975" w:type="dxa"/>
            <w:noWrap w:val="0"/>
            <w:vAlign w:val="center"/>
          </w:tcPr>
          <w:p w14:paraId="7284234B">
            <w:pPr>
              <w:pStyle w:val="126"/>
              <w:snapToGrid w:val="0"/>
              <w:spacing w:line="340" w:lineRule="exact"/>
              <w:jc w:val="center"/>
              <w:rPr>
                <w:rFonts w:hint="eastAsia"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lang w:val="en-US" w:eastAsia="zh-CN"/>
              </w:rPr>
              <w:t>颗粒物、</w:t>
            </w:r>
            <w:r>
              <w:rPr>
                <w:rFonts w:hint="eastAsia" w:ascii="Times New Roman" w:hAnsi="Times New Roman" w:eastAsia="宋体" w:cs="Times New Roman"/>
                <w:color w:val="auto"/>
                <w:sz w:val="24"/>
                <w:szCs w:val="24"/>
                <w:highlight w:val="none"/>
              </w:rPr>
              <w:t>苯并[a]芘</w:t>
            </w:r>
          </w:p>
        </w:tc>
        <w:tc>
          <w:tcPr>
            <w:tcW w:w="2040" w:type="dxa"/>
            <w:vMerge w:val="restart"/>
            <w:noWrap w:val="0"/>
            <w:vAlign w:val="center"/>
          </w:tcPr>
          <w:p w14:paraId="631AAB6E">
            <w:pPr>
              <w:pStyle w:val="126"/>
              <w:snapToGrid w:val="0"/>
              <w:spacing w:line="340" w:lineRule="exact"/>
              <w:jc w:val="center"/>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加强废气的收集、定期对废气设施进行维护保养等</w:t>
            </w:r>
          </w:p>
        </w:tc>
        <w:tc>
          <w:tcPr>
            <w:tcW w:w="3117" w:type="dxa"/>
            <w:noWrap w:val="0"/>
            <w:vAlign w:val="center"/>
          </w:tcPr>
          <w:p w14:paraId="778EA547">
            <w:pPr>
              <w:pStyle w:val="126"/>
              <w:snapToGrid w:val="0"/>
              <w:spacing w:line="340" w:lineRule="exact"/>
              <w:jc w:val="center"/>
              <w:rPr>
                <w:rFonts w:hint="eastAsia"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rPr>
              <w:t>满足执</w:t>
            </w:r>
            <w:r>
              <w:rPr>
                <w:rFonts w:hint="eastAsia" w:ascii="Times New Roman" w:hAnsi="Times New Roman" w:eastAsia="宋体" w:cs="Times New Roman"/>
                <w:color w:val="auto"/>
                <w:sz w:val="24"/>
                <w:szCs w:val="24"/>
                <w:highlight w:val="none"/>
              </w:rPr>
              <w:t>行</w:t>
            </w:r>
            <w:r>
              <w:rPr>
                <w:rFonts w:hint="eastAsia" w:ascii="Times New Roman" w:hAnsi="Times New Roman" w:eastAsia="宋体" w:cs="Times New Roman"/>
                <w:color w:val="auto"/>
                <w:sz w:val="24"/>
                <w:szCs w:val="24"/>
                <w:highlight w:val="none"/>
                <w:lang w:val="en-US" w:eastAsia="zh-CN"/>
              </w:rPr>
              <w:t>《大气污染物综合排放标准》（</w:t>
            </w:r>
            <w:r>
              <w:rPr>
                <w:rFonts w:hint="default" w:ascii="Times New Roman" w:hAnsi="Times New Roman" w:eastAsia="宋体" w:cs="Times New Roman"/>
                <w:color w:val="auto"/>
                <w:sz w:val="24"/>
                <w:szCs w:val="24"/>
                <w:highlight w:val="none"/>
                <w:lang w:val="en-US" w:eastAsia="zh-CN"/>
              </w:rPr>
              <w:t>GB16297-1996</w:t>
            </w:r>
            <w:r>
              <w:rPr>
                <w:rFonts w:hint="eastAsia" w:ascii="Times New Roman" w:hAnsi="Times New Roman" w:eastAsia="宋体" w:cs="Times New Roman"/>
                <w:color w:val="auto"/>
                <w:sz w:val="24"/>
                <w:szCs w:val="24"/>
                <w:highlight w:val="none"/>
                <w:lang w:val="en-US" w:eastAsia="zh-CN"/>
              </w:rPr>
              <w:t>）表</w:t>
            </w:r>
            <w:r>
              <w:rPr>
                <w:rFonts w:hint="default"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val="en-US" w:eastAsia="zh-CN"/>
              </w:rPr>
              <w:t>中相关限值要求</w:t>
            </w:r>
            <w:r>
              <w:rPr>
                <w:rFonts w:hint="eastAsia"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厂界</w:t>
            </w:r>
            <w:r>
              <w:rPr>
                <w:rFonts w:hint="eastAsia" w:ascii="Times New Roman" w:hAnsi="Times New Roman" w:eastAsia="宋体" w:cs="Times New Roman"/>
                <w:color w:val="auto"/>
                <w:sz w:val="24"/>
                <w:szCs w:val="24"/>
                <w:highlight w:val="none"/>
              </w:rPr>
              <w:t>：周界外浓度最高点</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颗粒物</w:t>
            </w:r>
            <w:r>
              <w:rPr>
                <w:rFonts w:ascii="Times New Roman" w:hAnsi="Times New Roman" w:eastAsia="宋体"/>
                <w:color w:val="auto"/>
                <w:sz w:val="24"/>
                <w:szCs w:val="24"/>
                <w:highlight w:val="none"/>
              </w:rPr>
              <w:t>≤</w:t>
            </w:r>
            <w:r>
              <w:rPr>
                <w:rFonts w:hint="eastAsia" w:ascii="Times New Roman" w:hAnsi="Times New Roman" w:eastAsia="宋体"/>
                <w:color w:val="auto"/>
                <w:sz w:val="24"/>
                <w:szCs w:val="24"/>
                <w:highlight w:val="none"/>
                <w:lang w:val="en-US" w:eastAsia="zh-CN"/>
              </w:rPr>
              <w:t>1.0</w:t>
            </w:r>
            <w:r>
              <w:rPr>
                <w:rFonts w:hint="eastAsia" w:ascii="Times New Roman" w:hAnsi="Times New Roman" w:eastAsia="宋体"/>
                <w:color w:val="auto"/>
                <w:sz w:val="24"/>
                <w:szCs w:val="24"/>
                <w:highlight w:val="none"/>
              </w:rPr>
              <w:t>mg/m</w:t>
            </w:r>
            <w:r>
              <w:rPr>
                <w:rFonts w:hint="eastAsia" w:ascii="Times New Roman" w:hAnsi="Times New Roman" w:eastAsia="宋体"/>
                <w:color w:val="auto"/>
                <w:sz w:val="24"/>
                <w:szCs w:val="24"/>
                <w:highlight w:val="none"/>
                <w:vertAlign w:val="superscript"/>
              </w:rPr>
              <w:t>3</w:t>
            </w:r>
            <w:r>
              <w:rPr>
                <w:rFonts w:hint="eastAsia" w:ascii="Times New Roman" w:hAnsi="Times New Roman" w:eastAsia="宋体"/>
                <w:color w:val="auto"/>
                <w:sz w:val="24"/>
                <w:szCs w:val="24"/>
                <w:highlight w:val="none"/>
              </w:rPr>
              <w:t>、</w:t>
            </w:r>
            <w:r>
              <w:rPr>
                <w:rFonts w:hint="eastAsia" w:ascii="Times New Roman" w:hAnsi="Times New Roman" w:eastAsia="宋体" w:cs="Times New Roman"/>
                <w:color w:val="auto"/>
                <w:sz w:val="24"/>
                <w:szCs w:val="24"/>
                <w:highlight w:val="none"/>
              </w:rPr>
              <w:t>苯并[a]芘≤</w:t>
            </w:r>
            <w:r>
              <w:rPr>
                <w:rFonts w:hint="eastAsia" w:ascii="Times New Roman" w:hAnsi="Times New Roman" w:eastAsia="宋体" w:cs="Times New Roman"/>
                <w:color w:val="auto"/>
                <w:sz w:val="24"/>
                <w:szCs w:val="24"/>
                <w:highlight w:val="none"/>
                <w:lang w:val="en-US" w:eastAsia="zh-CN"/>
              </w:rPr>
              <w:t>0.008</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10</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olor w:val="auto"/>
                <w:sz w:val="24"/>
                <w:szCs w:val="24"/>
                <w:highlight w:val="none"/>
              </w:rPr>
              <w:t>mg/m</w:t>
            </w:r>
            <w:r>
              <w:rPr>
                <w:rFonts w:hint="eastAsia" w:ascii="Times New Roman" w:hAnsi="Times New Roman" w:eastAsia="宋体"/>
                <w:color w:val="auto"/>
                <w:sz w:val="24"/>
                <w:szCs w:val="24"/>
                <w:highlight w:val="none"/>
                <w:vertAlign w:val="superscript"/>
              </w:rPr>
              <w:t>3</w:t>
            </w:r>
            <w:r>
              <w:rPr>
                <w:rFonts w:hint="eastAsia" w:ascii="Times New Roman" w:hAnsi="Times New Roman" w:eastAsia="宋体"/>
                <w:color w:val="auto"/>
                <w:sz w:val="24"/>
                <w:szCs w:val="24"/>
                <w:highlight w:val="none"/>
              </w:rPr>
              <w:t>）</w:t>
            </w:r>
          </w:p>
        </w:tc>
      </w:tr>
      <w:tr w14:paraId="12CDE7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60" w:type="dxa"/>
            <w:vMerge w:val="continue"/>
            <w:noWrap w:val="0"/>
            <w:vAlign w:val="center"/>
          </w:tcPr>
          <w:p w14:paraId="3C3AC58D">
            <w:pPr>
              <w:pStyle w:val="126"/>
              <w:snapToGrid w:val="0"/>
              <w:spacing w:line="340" w:lineRule="exact"/>
              <w:jc w:val="center"/>
              <w:rPr>
                <w:rFonts w:hint="eastAsia" w:ascii="Times New Roman" w:hAnsi="Times New Roman" w:eastAsia="宋体"/>
                <w:color w:val="auto"/>
                <w:sz w:val="24"/>
                <w:szCs w:val="24"/>
                <w:highlight w:val="none"/>
              </w:rPr>
            </w:pPr>
          </w:p>
        </w:tc>
        <w:tc>
          <w:tcPr>
            <w:tcW w:w="1608" w:type="dxa"/>
            <w:vMerge w:val="continue"/>
            <w:noWrap w:val="0"/>
            <w:vAlign w:val="center"/>
          </w:tcPr>
          <w:p w14:paraId="588017CD">
            <w:pPr>
              <w:pStyle w:val="126"/>
              <w:snapToGrid w:val="0"/>
              <w:spacing w:line="340" w:lineRule="exact"/>
              <w:jc w:val="center"/>
              <w:rPr>
                <w:rFonts w:hint="eastAsia" w:ascii="Times New Roman" w:hAnsi="Times New Roman" w:eastAsia="宋体"/>
                <w:color w:val="auto"/>
                <w:sz w:val="24"/>
                <w:szCs w:val="24"/>
                <w:highlight w:val="none"/>
              </w:rPr>
            </w:pPr>
          </w:p>
        </w:tc>
        <w:tc>
          <w:tcPr>
            <w:tcW w:w="975" w:type="dxa"/>
            <w:noWrap w:val="0"/>
            <w:vAlign w:val="center"/>
          </w:tcPr>
          <w:p w14:paraId="1EE543CA">
            <w:pPr>
              <w:pStyle w:val="126"/>
              <w:snapToGrid w:val="0"/>
              <w:spacing w:line="340" w:lineRule="exact"/>
              <w:jc w:val="center"/>
              <w:rPr>
                <w:rFonts w:hint="eastAsia" w:ascii="Times New Roman" w:hAnsi="Times New Roman" w:eastAsia="宋体"/>
                <w:color w:val="auto"/>
                <w:sz w:val="24"/>
                <w:szCs w:val="24"/>
                <w:highlight w:val="none"/>
                <w:lang w:val="en-US" w:eastAsia="zh-CN"/>
              </w:rPr>
            </w:pPr>
            <w:r>
              <w:rPr>
                <w:rFonts w:hint="eastAsia" w:ascii="Times New Roman" w:hAnsi="Times New Roman" w:eastAsia="宋体"/>
                <w:color w:val="auto"/>
                <w:sz w:val="24"/>
                <w:szCs w:val="24"/>
                <w:highlight w:val="none"/>
                <w:lang w:val="en-US" w:eastAsia="zh-CN"/>
              </w:rPr>
              <w:t>非甲烷总烃</w:t>
            </w:r>
          </w:p>
        </w:tc>
        <w:tc>
          <w:tcPr>
            <w:tcW w:w="2040" w:type="dxa"/>
            <w:vMerge w:val="continue"/>
            <w:noWrap w:val="0"/>
            <w:vAlign w:val="center"/>
          </w:tcPr>
          <w:p w14:paraId="7C0E1BFA">
            <w:pPr>
              <w:pStyle w:val="126"/>
              <w:snapToGrid w:val="0"/>
              <w:spacing w:line="340" w:lineRule="exact"/>
              <w:jc w:val="center"/>
              <w:rPr>
                <w:rFonts w:hint="eastAsia" w:ascii="Times New Roman" w:hAnsi="Times New Roman" w:eastAsia="宋体" w:cs="Times New Roman"/>
                <w:color w:val="auto"/>
                <w:sz w:val="24"/>
                <w:szCs w:val="24"/>
                <w:highlight w:val="none"/>
              </w:rPr>
            </w:pPr>
          </w:p>
        </w:tc>
        <w:tc>
          <w:tcPr>
            <w:tcW w:w="3117" w:type="dxa"/>
            <w:noWrap w:val="0"/>
            <w:vAlign w:val="center"/>
          </w:tcPr>
          <w:p w14:paraId="5CF4BCC8">
            <w:pPr>
              <w:pStyle w:val="126"/>
              <w:snapToGrid w:val="0"/>
              <w:spacing w:line="340" w:lineRule="exact"/>
              <w:jc w:val="center"/>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满足执行</w:t>
            </w:r>
            <w:r>
              <w:rPr>
                <w:rFonts w:hint="eastAsia" w:ascii="Times New Roman" w:hAnsi="Times New Roman" w:eastAsia="宋体" w:cs="Times New Roman"/>
                <w:color w:val="auto"/>
                <w:sz w:val="24"/>
                <w:szCs w:val="24"/>
                <w:highlight w:val="none"/>
                <w:lang w:val="en-US" w:eastAsia="zh-CN"/>
              </w:rPr>
              <w:t>《大气污染物综合排放标准》（</w:t>
            </w:r>
            <w:r>
              <w:rPr>
                <w:rFonts w:hint="default" w:ascii="Times New Roman" w:hAnsi="Times New Roman" w:eastAsia="宋体" w:cs="Times New Roman"/>
                <w:color w:val="auto"/>
                <w:sz w:val="24"/>
                <w:szCs w:val="24"/>
                <w:highlight w:val="none"/>
                <w:lang w:val="en-US" w:eastAsia="zh-CN"/>
              </w:rPr>
              <w:t>GB16297-1996</w:t>
            </w:r>
            <w:r>
              <w:rPr>
                <w:rFonts w:hint="eastAsia" w:ascii="Times New Roman" w:hAnsi="Times New Roman" w:eastAsia="宋体" w:cs="Times New Roman"/>
                <w:color w:val="auto"/>
                <w:sz w:val="24"/>
                <w:szCs w:val="24"/>
                <w:highlight w:val="none"/>
                <w:lang w:val="en-US" w:eastAsia="zh-CN"/>
              </w:rPr>
              <w:t>）表</w:t>
            </w:r>
            <w:r>
              <w:rPr>
                <w:rFonts w:hint="default"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val="en-US" w:eastAsia="zh-CN"/>
              </w:rPr>
              <w:t>相关限值要求（厂界：</w:t>
            </w:r>
            <w:r>
              <w:rPr>
                <w:rFonts w:hint="eastAsia" w:ascii="Times New Roman" w:hAnsi="Times New Roman" w:eastAsia="宋体" w:cs="Times New Roman"/>
                <w:color w:val="auto"/>
                <w:sz w:val="24"/>
                <w:szCs w:val="24"/>
                <w:highlight w:val="none"/>
              </w:rPr>
              <w:t>周界外浓度最高点</w:t>
            </w:r>
            <w:r>
              <w:rPr>
                <w:rFonts w:ascii="Times New Roman" w:hAnsi="Times New Roman" w:eastAsia="宋体"/>
                <w:color w:val="auto"/>
                <w:sz w:val="24"/>
                <w:szCs w:val="24"/>
                <w:highlight w:val="none"/>
              </w:rPr>
              <w:t>≤</w:t>
            </w:r>
            <w:r>
              <w:rPr>
                <w:rFonts w:hint="eastAsia" w:ascii="Times New Roman" w:hAnsi="Times New Roman" w:eastAsia="宋体"/>
                <w:color w:val="auto"/>
                <w:sz w:val="24"/>
                <w:szCs w:val="24"/>
                <w:highlight w:val="none"/>
                <w:lang w:val="en-US" w:eastAsia="zh-CN"/>
              </w:rPr>
              <w:t>4.0</w:t>
            </w:r>
            <w:r>
              <w:rPr>
                <w:rFonts w:hint="eastAsia" w:ascii="Times New Roman" w:hAnsi="Times New Roman" w:eastAsia="宋体"/>
                <w:color w:val="auto"/>
                <w:sz w:val="24"/>
                <w:szCs w:val="24"/>
                <w:highlight w:val="none"/>
              </w:rPr>
              <w:t>mg/m</w:t>
            </w:r>
            <w:r>
              <w:rPr>
                <w:rFonts w:hint="eastAsia" w:ascii="Times New Roman" w:hAnsi="Times New Roman" w:eastAsia="宋体"/>
                <w:color w:val="auto"/>
                <w:sz w:val="24"/>
                <w:szCs w:val="24"/>
                <w:highlight w:val="none"/>
                <w:vertAlign w:val="superscript"/>
              </w:rPr>
              <w:t>3</w:t>
            </w:r>
            <w:r>
              <w:rPr>
                <w:rFonts w:hint="eastAsia" w:ascii="Times New Roman" w:hAnsi="Times New Roman" w:eastAsia="宋体" w:cs="Times New Roman"/>
                <w:color w:val="auto"/>
                <w:sz w:val="24"/>
                <w:szCs w:val="24"/>
                <w:highlight w:val="none"/>
                <w:lang w:val="en-US" w:eastAsia="zh-CN"/>
              </w:rPr>
              <w:t>）和《挥发性有机物无组织排放控制标准》（</w:t>
            </w:r>
            <w:r>
              <w:rPr>
                <w:rFonts w:hint="default" w:ascii="Times New Roman" w:hAnsi="Times New Roman" w:eastAsia="宋体" w:cs="Times New Roman"/>
                <w:color w:val="auto"/>
                <w:sz w:val="24"/>
                <w:szCs w:val="24"/>
                <w:highlight w:val="none"/>
                <w:lang w:val="en-US" w:eastAsia="zh-CN"/>
              </w:rPr>
              <w:t>DB37822-2019</w:t>
            </w:r>
            <w:r>
              <w:rPr>
                <w:rFonts w:hint="eastAsia" w:ascii="Times New Roman" w:hAnsi="Times New Roman" w:eastAsia="宋体" w:cs="Times New Roman"/>
                <w:color w:val="auto"/>
                <w:sz w:val="24"/>
                <w:szCs w:val="24"/>
                <w:highlight w:val="none"/>
                <w:lang w:val="en-US" w:eastAsia="zh-CN"/>
              </w:rPr>
              <w:t>）中表A.1相关限值要求（在厂房外设置监点：监控点处1h平均浓度值控</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1</w:t>
            </w:r>
            <w:r>
              <w:rPr>
                <w:rFonts w:hint="eastAsia" w:ascii="Times New Roman" w:hAnsi="Times New Roman" w:eastAsia="宋体"/>
                <w:color w:val="auto"/>
                <w:sz w:val="24"/>
                <w:szCs w:val="24"/>
                <w:highlight w:val="none"/>
                <w:lang w:val="en-US" w:eastAsia="zh-CN"/>
              </w:rPr>
              <w:t>0</w:t>
            </w:r>
            <w:r>
              <w:rPr>
                <w:rFonts w:hint="eastAsia" w:ascii="Times New Roman" w:hAnsi="Times New Roman" w:eastAsia="宋体"/>
                <w:color w:val="auto"/>
                <w:sz w:val="24"/>
                <w:szCs w:val="24"/>
                <w:highlight w:val="none"/>
              </w:rPr>
              <w:t>mg/m</w:t>
            </w:r>
            <w:r>
              <w:rPr>
                <w:rFonts w:hint="eastAsia" w:ascii="Times New Roman" w:hAnsi="Times New Roman" w:eastAsia="宋体"/>
                <w:color w:val="auto"/>
                <w:sz w:val="24"/>
                <w:szCs w:val="24"/>
                <w:highlight w:val="none"/>
                <w:vertAlign w:val="superscript"/>
              </w:rPr>
              <w:t>3</w:t>
            </w:r>
            <w:r>
              <w:rPr>
                <w:rFonts w:hint="eastAsia" w:ascii="Times New Roman" w:hAnsi="Times New Roman" w:eastAsia="宋体"/>
                <w:color w:val="auto"/>
                <w:sz w:val="24"/>
                <w:szCs w:val="24"/>
                <w:highlight w:val="none"/>
                <w:vertAlign w:val="baseline"/>
                <w:lang w:eastAsia="zh-CN"/>
              </w:rPr>
              <w:t>；</w:t>
            </w:r>
            <w:r>
              <w:rPr>
                <w:rFonts w:hint="eastAsia" w:ascii="Times New Roman" w:hAnsi="Times New Roman" w:eastAsia="宋体" w:cs="Times New Roman"/>
                <w:color w:val="auto"/>
                <w:sz w:val="24"/>
                <w:szCs w:val="24"/>
                <w:highlight w:val="none"/>
                <w:lang w:val="en-US" w:eastAsia="zh-CN"/>
              </w:rPr>
              <w:t>监控点处任意一次浓度值</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3</w:t>
            </w:r>
            <w:r>
              <w:rPr>
                <w:rFonts w:hint="eastAsia" w:ascii="Times New Roman" w:hAnsi="Times New Roman" w:eastAsia="宋体"/>
                <w:color w:val="auto"/>
                <w:sz w:val="24"/>
                <w:szCs w:val="24"/>
                <w:highlight w:val="none"/>
                <w:lang w:val="en-US" w:eastAsia="zh-CN"/>
              </w:rPr>
              <w:t>0</w:t>
            </w:r>
            <w:r>
              <w:rPr>
                <w:rFonts w:hint="eastAsia" w:ascii="Times New Roman" w:hAnsi="Times New Roman" w:eastAsia="宋体"/>
                <w:color w:val="auto"/>
                <w:sz w:val="24"/>
                <w:szCs w:val="24"/>
                <w:highlight w:val="none"/>
              </w:rPr>
              <w:t>mg/m</w:t>
            </w:r>
            <w:r>
              <w:rPr>
                <w:rFonts w:hint="eastAsia" w:ascii="Times New Roman" w:hAnsi="Times New Roman" w:eastAsia="宋体"/>
                <w:color w:val="auto"/>
                <w:sz w:val="24"/>
                <w:szCs w:val="24"/>
                <w:highlight w:val="none"/>
                <w:vertAlign w:val="superscript"/>
              </w:rPr>
              <w:t>3</w:t>
            </w:r>
            <w:r>
              <w:rPr>
                <w:rFonts w:hint="eastAsia" w:ascii="Times New Roman" w:hAnsi="Times New Roman" w:eastAsia="宋体" w:cs="Times New Roman"/>
                <w:color w:val="auto"/>
                <w:sz w:val="24"/>
                <w:szCs w:val="24"/>
                <w:highlight w:val="none"/>
                <w:lang w:val="en-US" w:eastAsia="zh-CN"/>
              </w:rPr>
              <w:t>）</w:t>
            </w:r>
          </w:p>
        </w:tc>
      </w:tr>
      <w:tr w14:paraId="70CFC5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1060" w:type="dxa"/>
            <w:vMerge w:val="continue"/>
            <w:noWrap w:val="0"/>
            <w:vAlign w:val="center"/>
          </w:tcPr>
          <w:p w14:paraId="1CD71220">
            <w:pPr>
              <w:pStyle w:val="126"/>
              <w:snapToGrid w:val="0"/>
              <w:spacing w:line="340" w:lineRule="exact"/>
              <w:jc w:val="center"/>
              <w:rPr>
                <w:rFonts w:hint="eastAsia" w:ascii="Times New Roman" w:hAnsi="Times New Roman" w:eastAsia="宋体"/>
                <w:color w:val="auto"/>
                <w:sz w:val="24"/>
                <w:szCs w:val="24"/>
                <w:highlight w:val="none"/>
              </w:rPr>
            </w:pPr>
          </w:p>
        </w:tc>
        <w:tc>
          <w:tcPr>
            <w:tcW w:w="1608" w:type="dxa"/>
            <w:vMerge w:val="continue"/>
            <w:noWrap w:val="0"/>
            <w:vAlign w:val="center"/>
          </w:tcPr>
          <w:p w14:paraId="26EDF3A7">
            <w:pPr>
              <w:pStyle w:val="126"/>
              <w:snapToGrid w:val="0"/>
              <w:spacing w:line="340" w:lineRule="exact"/>
              <w:jc w:val="center"/>
              <w:rPr>
                <w:rFonts w:hint="eastAsia" w:ascii="Times New Roman" w:hAnsi="Times New Roman" w:eastAsia="宋体"/>
                <w:color w:val="auto"/>
                <w:sz w:val="24"/>
                <w:szCs w:val="24"/>
                <w:highlight w:val="none"/>
              </w:rPr>
            </w:pPr>
          </w:p>
        </w:tc>
        <w:tc>
          <w:tcPr>
            <w:tcW w:w="975" w:type="dxa"/>
            <w:noWrap w:val="0"/>
            <w:vAlign w:val="center"/>
          </w:tcPr>
          <w:p w14:paraId="170878A3">
            <w:pPr>
              <w:pStyle w:val="126"/>
              <w:snapToGrid w:val="0"/>
              <w:spacing w:line="340" w:lineRule="exact"/>
              <w:jc w:val="center"/>
              <w:rPr>
                <w:rFonts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rPr>
              <w:t>臭气浓度</w:t>
            </w:r>
          </w:p>
        </w:tc>
        <w:tc>
          <w:tcPr>
            <w:tcW w:w="2040" w:type="dxa"/>
            <w:vMerge w:val="continue"/>
            <w:noWrap w:val="0"/>
            <w:vAlign w:val="center"/>
          </w:tcPr>
          <w:p w14:paraId="6C37D6D0">
            <w:pPr>
              <w:pStyle w:val="126"/>
              <w:snapToGrid w:val="0"/>
              <w:spacing w:line="340" w:lineRule="exact"/>
              <w:jc w:val="center"/>
              <w:rPr>
                <w:rFonts w:hint="eastAsia" w:ascii="Times New Roman" w:hAnsi="Times New Roman" w:eastAsia="宋体" w:cs="Times New Roman"/>
                <w:color w:val="auto"/>
                <w:sz w:val="24"/>
                <w:szCs w:val="24"/>
                <w:highlight w:val="none"/>
              </w:rPr>
            </w:pPr>
          </w:p>
        </w:tc>
        <w:tc>
          <w:tcPr>
            <w:tcW w:w="3117" w:type="dxa"/>
            <w:noWrap w:val="0"/>
            <w:vAlign w:val="center"/>
          </w:tcPr>
          <w:p w14:paraId="1F533C09">
            <w:pPr>
              <w:pStyle w:val="126"/>
              <w:snapToGrid w:val="0"/>
              <w:spacing w:line="340" w:lineRule="exact"/>
              <w:jc w:val="center"/>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满足执行《恶臭污染物排放标准》（GB 14554-93）表1恶臭污染源厂界标准值限值要求（厂界：周界外浓度最高点≤20（无量纲）</w:t>
            </w:r>
          </w:p>
        </w:tc>
      </w:tr>
      <w:tr w14:paraId="2D9AA6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30" w:hRule="atLeast"/>
          <w:jc w:val="center"/>
        </w:trPr>
        <w:tc>
          <w:tcPr>
            <w:tcW w:w="1060" w:type="dxa"/>
            <w:noWrap w:val="0"/>
            <w:vAlign w:val="center"/>
          </w:tcPr>
          <w:p w14:paraId="1F1E39FE">
            <w:pPr>
              <w:pStyle w:val="126"/>
              <w:snapToGrid w:val="0"/>
              <w:spacing w:line="340" w:lineRule="exact"/>
              <w:jc w:val="center"/>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地表水</w:t>
            </w:r>
          </w:p>
          <w:p w14:paraId="356EF8F3">
            <w:pPr>
              <w:pStyle w:val="126"/>
              <w:snapToGrid w:val="0"/>
              <w:spacing w:line="340" w:lineRule="exact"/>
              <w:jc w:val="center"/>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环境</w:t>
            </w:r>
          </w:p>
        </w:tc>
        <w:tc>
          <w:tcPr>
            <w:tcW w:w="1608" w:type="dxa"/>
            <w:noWrap w:val="0"/>
            <w:vAlign w:val="center"/>
          </w:tcPr>
          <w:p w14:paraId="7852150A">
            <w:pPr>
              <w:pStyle w:val="126"/>
              <w:snapToGrid w:val="0"/>
              <w:spacing w:line="340" w:lineRule="exact"/>
              <w:jc w:val="center"/>
              <w:rPr>
                <w:rFonts w:hint="eastAsia" w:ascii="Times New Roman" w:hAnsi="Times New Roman" w:eastAsia="宋体"/>
                <w:color w:val="auto"/>
                <w:sz w:val="24"/>
                <w:szCs w:val="24"/>
                <w:highlight w:val="none"/>
                <w:lang w:val="en-US" w:eastAsia="zh-CN"/>
              </w:rPr>
            </w:pPr>
            <w:r>
              <w:rPr>
                <w:rFonts w:hint="eastAsia" w:ascii="Times New Roman" w:hAnsi="Times New Roman" w:eastAsia="宋体"/>
                <w:color w:val="auto"/>
                <w:sz w:val="24"/>
                <w:szCs w:val="24"/>
                <w:highlight w:val="none"/>
              </w:rPr>
              <w:t>食堂废水、生活</w:t>
            </w:r>
            <w:r>
              <w:rPr>
                <w:rFonts w:hint="eastAsia" w:ascii="Times New Roman" w:hAnsi="Times New Roman" w:eastAsia="宋体"/>
                <w:color w:val="auto"/>
                <w:sz w:val="24"/>
                <w:szCs w:val="24"/>
                <w:highlight w:val="none"/>
                <w:lang w:val="en-US" w:eastAsia="zh-CN"/>
              </w:rPr>
              <w:t>废水</w:t>
            </w:r>
          </w:p>
        </w:tc>
        <w:tc>
          <w:tcPr>
            <w:tcW w:w="975" w:type="dxa"/>
            <w:noWrap w:val="0"/>
            <w:vAlign w:val="center"/>
          </w:tcPr>
          <w:p w14:paraId="6E0A7316">
            <w:pPr>
              <w:pStyle w:val="126"/>
              <w:snapToGrid w:val="0"/>
              <w:spacing w:line="340" w:lineRule="exact"/>
              <w:jc w:val="center"/>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COD</w:t>
            </w:r>
            <w:r>
              <w:rPr>
                <w:rFonts w:hint="eastAsia" w:ascii="Times New Roman" w:hAnsi="Times New Roman" w:eastAsia="宋体" w:cs="Times New Roman"/>
                <w:color w:val="auto"/>
                <w:sz w:val="24"/>
                <w:szCs w:val="24"/>
                <w:highlight w:val="none"/>
                <w:vertAlign w:val="subscript"/>
              </w:rPr>
              <w:t>Cr</w:t>
            </w:r>
            <w:r>
              <w:rPr>
                <w:rFonts w:hint="eastAsia" w:ascii="Times New Roman" w:hAnsi="Times New Roman" w:eastAsia="宋体" w:cs="Times New Roman"/>
                <w:color w:val="auto"/>
                <w:sz w:val="24"/>
                <w:szCs w:val="24"/>
                <w:highlight w:val="none"/>
              </w:rPr>
              <w:t>、BOD</w:t>
            </w:r>
            <w:r>
              <w:rPr>
                <w:rFonts w:hint="eastAsia" w:ascii="Times New Roman" w:hAnsi="Times New Roman" w:eastAsia="宋体" w:cs="Times New Roman"/>
                <w:color w:val="auto"/>
                <w:sz w:val="24"/>
                <w:szCs w:val="24"/>
                <w:highlight w:val="none"/>
                <w:vertAlign w:val="subscript"/>
              </w:rPr>
              <w:t>5</w:t>
            </w:r>
            <w:r>
              <w:rPr>
                <w:rFonts w:hint="eastAsia" w:ascii="Times New Roman" w:hAnsi="Times New Roman" w:eastAsia="宋体" w:cs="Times New Roman"/>
                <w:color w:val="auto"/>
                <w:sz w:val="24"/>
                <w:szCs w:val="24"/>
                <w:highlight w:val="none"/>
              </w:rPr>
              <w:t>、SS、NH</w:t>
            </w:r>
            <w:r>
              <w:rPr>
                <w:rFonts w:hint="eastAsia" w:ascii="Times New Roman" w:hAnsi="Times New Roman" w:eastAsia="宋体" w:cs="Times New Roman"/>
                <w:color w:val="auto"/>
                <w:sz w:val="24"/>
                <w:szCs w:val="24"/>
                <w:highlight w:val="none"/>
                <w:vertAlign w:val="subscript"/>
              </w:rPr>
              <w:t>3</w:t>
            </w:r>
            <w:r>
              <w:rPr>
                <w:rFonts w:hint="eastAsia" w:ascii="Times New Roman" w:hAnsi="Times New Roman" w:eastAsia="宋体" w:cs="Times New Roman"/>
                <w:color w:val="auto"/>
                <w:sz w:val="24"/>
                <w:szCs w:val="24"/>
                <w:highlight w:val="none"/>
              </w:rPr>
              <w:t>-N、动植物油</w:t>
            </w:r>
          </w:p>
        </w:tc>
        <w:tc>
          <w:tcPr>
            <w:tcW w:w="2040" w:type="dxa"/>
            <w:noWrap w:val="0"/>
            <w:vAlign w:val="center"/>
          </w:tcPr>
          <w:p w14:paraId="3EB52F62">
            <w:pPr>
              <w:pStyle w:val="126"/>
              <w:snapToGrid w:val="0"/>
              <w:spacing w:line="340" w:lineRule="exact"/>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食堂</w:t>
            </w:r>
            <w:r>
              <w:rPr>
                <w:rFonts w:hint="eastAsia" w:ascii="Times New Roman" w:hAnsi="Times New Roman" w:eastAsia="宋体" w:cs="Times New Roman"/>
                <w:color w:val="auto"/>
                <w:sz w:val="24"/>
                <w:szCs w:val="24"/>
                <w:highlight w:val="none"/>
                <w:lang w:val="en-US" w:eastAsia="zh-CN"/>
              </w:rPr>
              <w:t>废水</w:t>
            </w:r>
            <w:r>
              <w:rPr>
                <w:rFonts w:hint="default" w:ascii="Times New Roman" w:hAnsi="Times New Roman" w:eastAsia="宋体" w:cs="Times New Roman"/>
                <w:color w:val="auto"/>
                <w:sz w:val="24"/>
                <w:szCs w:val="24"/>
                <w:highlight w:val="none"/>
              </w:rPr>
              <w:t>经隔油池处理后与生活</w:t>
            </w:r>
            <w:r>
              <w:rPr>
                <w:rFonts w:hint="eastAsia" w:ascii="Times New Roman" w:hAnsi="Times New Roman" w:eastAsia="宋体" w:cs="Times New Roman"/>
                <w:color w:val="auto"/>
                <w:sz w:val="24"/>
                <w:szCs w:val="24"/>
                <w:highlight w:val="none"/>
                <w:lang w:val="en-US" w:eastAsia="zh-CN"/>
              </w:rPr>
              <w:t>废水</w:t>
            </w:r>
            <w:r>
              <w:rPr>
                <w:rFonts w:hint="default" w:ascii="Times New Roman" w:hAnsi="Times New Roman" w:eastAsia="宋体" w:cs="Times New Roman"/>
                <w:color w:val="auto"/>
                <w:sz w:val="24"/>
                <w:szCs w:val="24"/>
                <w:highlight w:val="none"/>
              </w:rPr>
              <w:t>一起</w:t>
            </w:r>
            <w:r>
              <w:rPr>
                <w:rFonts w:hint="eastAsia" w:ascii="Times New Roman" w:hAnsi="Times New Roman" w:eastAsia="宋体" w:cs="Times New Roman"/>
                <w:color w:val="auto"/>
                <w:sz w:val="24"/>
                <w:szCs w:val="24"/>
                <w:highlight w:val="none"/>
                <w:lang w:val="en-US" w:eastAsia="zh-CN"/>
              </w:rPr>
              <w:t>经化粪池</w:t>
            </w:r>
            <w:r>
              <w:rPr>
                <w:rFonts w:hint="default" w:ascii="Times New Roman" w:hAnsi="Times New Roman" w:eastAsia="宋体" w:cs="Times New Roman"/>
                <w:color w:val="auto"/>
                <w:sz w:val="24"/>
                <w:szCs w:val="24"/>
                <w:highlight w:val="none"/>
              </w:rPr>
              <w:t>处理后</w:t>
            </w:r>
            <w:r>
              <w:rPr>
                <w:rFonts w:hint="eastAsia" w:ascii="Times New Roman" w:hAnsi="Times New Roman" w:eastAsia="宋体"/>
                <w:color w:val="auto"/>
                <w:sz w:val="24"/>
                <w:szCs w:val="24"/>
                <w:highlight w:val="none"/>
              </w:rPr>
              <w:t>排入市政污水管网纳入金港工业区生活污水处理厂进一步处理</w:t>
            </w:r>
          </w:p>
        </w:tc>
        <w:tc>
          <w:tcPr>
            <w:tcW w:w="3117" w:type="dxa"/>
            <w:noWrap w:val="0"/>
            <w:vAlign w:val="center"/>
          </w:tcPr>
          <w:p w14:paraId="48BB0E08">
            <w:pPr>
              <w:pStyle w:val="126"/>
              <w:snapToGrid w:val="0"/>
              <w:spacing w:line="34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olor w:val="auto"/>
                <w:sz w:val="24"/>
                <w:szCs w:val="24"/>
                <w:highlight w:val="none"/>
              </w:rPr>
              <w:t>满足</w:t>
            </w:r>
            <w:r>
              <w:rPr>
                <w:rFonts w:ascii="Times New Roman" w:hAnsi="Times New Roman" w:eastAsia="宋体"/>
                <w:color w:val="auto"/>
                <w:sz w:val="24"/>
                <w:szCs w:val="24"/>
                <w:highlight w:val="none"/>
              </w:rPr>
              <w:t>执行GB8978-1996《污水综合排放标准》表4中的三级标准（其中氨氮参照执行《污水排入城镇下水道水质标准》</w:t>
            </w:r>
            <w:r>
              <w:rPr>
                <w:rFonts w:hint="eastAsia" w:ascii="Times New Roman" w:hAnsi="Times New Roman" w:eastAsia="宋体"/>
                <w:color w:val="auto"/>
                <w:sz w:val="24"/>
                <w:szCs w:val="24"/>
                <w:highlight w:val="none"/>
              </w:rPr>
              <w:t>（</w:t>
            </w:r>
            <w:r>
              <w:rPr>
                <w:rFonts w:ascii="Times New Roman" w:hAnsi="Times New Roman" w:eastAsia="宋体"/>
                <w:color w:val="auto"/>
                <w:sz w:val="24"/>
                <w:szCs w:val="24"/>
                <w:highlight w:val="none"/>
              </w:rPr>
              <w:t>GB/T31962-2015</w:t>
            </w:r>
            <w:r>
              <w:rPr>
                <w:rFonts w:hint="eastAsia" w:ascii="Times New Roman" w:hAnsi="Times New Roman" w:eastAsia="宋体"/>
                <w:color w:val="auto"/>
                <w:sz w:val="24"/>
                <w:szCs w:val="24"/>
                <w:highlight w:val="none"/>
              </w:rPr>
              <w:t>）（pH 6</w:t>
            </w:r>
            <w:r>
              <w:rPr>
                <w:rFonts w:ascii="Times New Roman" w:hAnsi="Times New Roman" w:eastAsia="宋体"/>
                <w:color w:val="auto"/>
                <w:sz w:val="24"/>
                <w:szCs w:val="24"/>
                <w:highlight w:val="none"/>
              </w:rPr>
              <w:t>~</w:t>
            </w:r>
            <w:r>
              <w:rPr>
                <w:rFonts w:hint="eastAsia" w:ascii="Times New Roman" w:hAnsi="Times New Roman" w:eastAsia="宋体"/>
                <w:color w:val="auto"/>
                <w:sz w:val="24"/>
                <w:szCs w:val="24"/>
                <w:highlight w:val="none"/>
              </w:rPr>
              <w:t>9、COD</w:t>
            </w:r>
            <w:r>
              <w:rPr>
                <w:rFonts w:ascii="Times New Roman" w:hAnsi="Times New Roman" w:eastAsia="宋体"/>
                <w:color w:val="auto"/>
                <w:sz w:val="24"/>
                <w:szCs w:val="24"/>
                <w:highlight w:val="none"/>
              </w:rPr>
              <w:t>≤</w:t>
            </w:r>
            <w:r>
              <w:rPr>
                <w:rFonts w:hint="eastAsia" w:ascii="Times New Roman" w:hAnsi="Times New Roman" w:eastAsia="宋体"/>
                <w:color w:val="auto"/>
                <w:sz w:val="24"/>
                <w:szCs w:val="24"/>
                <w:highlight w:val="none"/>
              </w:rPr>
              <w:t>500mg/L、BOD</w:t>
            </w:r>
            <w:r>
              <w:rPr>
                <w:rFonts w:hint="eastAsia" w:ascii="Times New Roman" w:hAnsi="Times New Roman" w:eastAsia="宋体"/>
                <w:color w:val="auto"/>
                <w:sz w:val="24"/>
                <w:szCs w:val="24"/>
                <w:highlight w:val="none"/>
                <w:vertAlign w:val="subscript"/>
              </w:rPr>
              <w:t>5</w:t>
            </w:r>
            <w:r>
              <w:rPr>
                <w:rFonts w:ascii="Times New Roman" w:hAnsi="Times New Roman" w:eastAsia="宋体"/>
                <w:color w:val="auto"/>
                <w:sz w:val="24"/>
                <w:szCs w:val="24"/>
                <w:highlight w:val="none"/>
              </w:rPr>
              <w:t>≤</w:t>
            </w:r>
            <w:r>
              <w:rPr>
                <w:rFonts w:hint="eastAsia" w:ascii="Times New Roman" w:hAnsi="Times New Roman" w:eastAsia="宋体"/>
                <w:color w:val="auto"/>
                <w:sz w:val="24"/>
                <w:szCs w:val="24"/>
                <w:highlight w:val="none"/>
              </w:rPr>
              <w:t>300mg/L、SS</w:t>
            </w:r>
            <w:r>
              <w:rPr>
                <w:rFonts w:ascii="Times New Roman" w:hAnsi="Times New Roman" w:eastAsia="宋体"/>
                <w:color w:val="auto"/>
                <w:sz w:val="24"/>
                <w:szCs w:val="24"/>
                <w:highlight w:val="none"/>
              </w:rPr>
              <w:t>≤</w:t>
            </w:r>
            <w:r>
              <w:rPr>
                <w:rFonts w:hint="eastAsia" w:ascii="Times New Roman" w:hAnsi="Times New Roman" w:eastAsia="宋体"/>
                <w:color w:val="auto"/>
                <w:sz w:val="24"/>
                <w:szCs w:val="24"/>
                <w:highlight w:val="none"/>
              </w:rPr>
              <w:t>400mg/L、氨氮</w:t>
            </w:r>
            <w:r>
              <w:rPr>
                <w:rFonts w:ascii="Times New Roman" w:hAnsi="Times New Roman" w:eastAsia="宋体"/>
                <w:color w:val="auto"/>
                <w:sz w:val="24"/>
                <w:szCs w:val="24"/>
                <w:highlight w:val="none"/>
              </w:rPr>
              <w:t>≤</w:t>
            </w:r>
            <w:r>
              <w:rPr>
                <w:rFonts w:hint="eastAsia" w:ascii="Times New Roman" w:hAnsi="Times New Roman" w:eastAsia="宋体"/>
                <w:color w:val="auto"/>
                <w:sz w:val="24"/>
                <w:szCs w:val="24"/>
                <w:highlight w:val="none"/>
              </w:rPr>
              <w:t>45mg/L</w:t>
            </w:r>
            <w:r>
              <w:rPr>
                <w:rFonts w:hint="eastAsia" w:ascii="Times New Roman" w:hAnsi="Times New Roman" w:eastAsia="宋体"/>
                <w:color w:val="auto"/>
                <w:sz w:val="24"/>
                <w:szCs w:val="24"/>
                <w:highlight w:val="none"/>
                <w:lang w:eastAsia="zh-CN"/>
              </w:rPr>
              <w:t>、</w:t>
            </w:r>
            <w:r>
              <w:rPr>
                <w:rFonts w:hint="eastAsia" w:ascii="Times New Roman" w:hAnsi="Times New Roman" w:eastAsia="宋体"/>
                <w:color w:val="auto"/>
                <w:sz w:val="24"/>
                <w:szCs w:val="24"/>
                <w:highlight w:val="none"/>
                <w:lang w:val="en-US" w:eastAsia="zh-CN"/>
              </w:rPr>
              <w:t>动植物油</w:t>
            </w:r>
            <w:r>
              <w:rPr>
                <w:rFonts w:ascii="Times New Roman" w:hAnsi="Times New Roman" w:eastAsia="宋体"/>
                <w:color w:val="auto"/>
                <w:sz w:val="24"/>
                <w:szCs w:val="24"/>
                <w:highlight w:val="none"/>
              </w:rPr>
              <w:t>≤</w:t>
            </w:r>
            <w:r>
              <w:rPr>
                <w:rFonts w:hint="eastAsia" w:ascii="Times New Roman" w:hAnsi="Times New Roman" w:eastAsia="宋体"/>
                <w:color w:val="auto"/>
                <w:sz w:val="24"/>
                <w:szCs w:val="24"/>
                <w:highlight w:val="none"/>
                <w:lang w:val="en-US" w:eastAsia="zh-CN"/>
              </w:rPr>
              <w:t>100</w:t>
            </w:r>
            <w:r>
              <w:rPr>
                <w:rFonts w:hint="eastAsia" w:ascii="Times New Roman" w:hAnsi="Times New Roman" w:eastAsia="宋体"/>
                <w:color w:val="auto"/>
                <w:sz w:val="24"/>
                <w:szCs w:val="24"/>
                <w:highlight w:val="none"/>
              </w:rPr>
              <w:t>mg/L）</w:t>
            </w:r>
          </w:p>
        </w:tc>
      </w:tr>
      <w:tr w14:paraId="388E1C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9" w:hRule="atLeast"/>
          <w:jc w:val="center"/>
        </w:trPr>
        <w:tc>
          <w:tcPr>
            <w:tcW w:w="1060" w:type="dxa"/>
            <w:noWrap w:val="0"/>
            <w:vAlign w:val="center"/>
          </w:tcPr>
          <w:p w14:paraId="5798D115">
            <w:pPr>
              <w:pStyle w:val="126"/>
              <w:snapToGrid w:val="0"/>
              <w:spacing w:line="340" w:lineRule="exact"/>
              <w:jc w:val="center"/>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声环境</w:t>
            </w:r>
          </w:p>
        </w:tc>
        <w:tc>
          <w:tcPr>
            <w:tcW w:w="1608" w:type="dxa"/>
            <w:noWrap w:val="0"/>
            <w:vAlign w:val="center"/>
          </w:tcPr>
          <w:p w14:paraId="640D8D3C">
            <w:pPr>
              <w:pStyle w:val="126"/>
              <w:snapToGrid w:val="0"/>
              <w:spacing w:line="340" w:lineRule="exact"/>
              <w:jc w:val="center"/>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厂界四周外1m</w:t>
            </w:r>
          </w:p>
        </w:tc>
        <w:tc>
          <w:tcPr>
            <w:tcW w:w="975" w:type="dxa"/>
            <w:noWrap w:val="0"/>
            <w:vAlign w:val="center"/>
          </w:tcPr>
          <w:p w14:paraId="715AEB14">
            <w:pPr>
              <w:pStyle w:val="126"/>
              <w:snapToGrid w:val="0"/>
              <w:spacing w:line="340" w:lineRule="exact"/>
              <w:jc w:val="center"/>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等效A声级</w:t>
            </w:r>
          </w:p>
        </w:tc>
        <w:tc>
          <w:tcPr>
            <w:tcW w:w="2040" w:type="dxa"/>
            <w:noWrap w:val="0"/>
            <w:vAlign w:val="center"/>
          </w:tcPr>
          <w:p w14:paraId="47F1E1FD">
            <w:pPr>
              <w:pStyle w:val="126"/>
              <w:snapToGrid w:val="0"/>
              <w:spacing w:line="340" w:lineRule="exact"/>
              <w:jc w:val="center"/>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GB"/>
              </w:rPr>
              <w:t>选用低噪声设备，加强设备维护，高噪声设备设置基础减振、隔声等措施</w:t>
            </w:r>
          </w:p>
        </w:tc>
        <w:tc>
          <w:tcPr>
            <w:tcW w:w="3117" w:type="dxa"/>
            <w:noWrap w:val="0"/>
            <w:vAlign w:val="center"/>
          </w:tcPr>
          <w:p w14:paraId="4FBE9397">
            <w:pPr>
              <w:pStyle w:val="126"/>
              <w:snapToGrid w:val="0"/>
              <w:spacing w:line="340" w:lineRule="exact"/>
              <w:jc w:val="center"/>
              <w:rPr>
                <w:rFonts w:hint="eastAsia" w:ascii="Times New Roman" w:hAnsi="Times New Roman" w:eastAsia="宋体"/>
                <w:color w:val="auto"/>
                <w:sz w:val="24"/>
                <w:szCs w:val="24"/>
                <w:highlight w:val="none"/>
                <w:lang w:val="en-US" w:eastAsia="zh-CN"/>
              </w:rPr>
            </w:pPr>
            <w:r>
              <w:rPr>
                <w:rFonts w:ascii="Times New Roman" w:hAnsi="Times New Roman" w:eastAsia="宋体"/>
                <w:color w:val="auto"/>
                <w:sz w:val="24"/>
                <w:szCs w:val="24"/>
                <w:highlight w:val="none"/>
              </w:rPr>
              <w:t>满足《工业企业厂界环境噪声排放标准》</w:t>
            </w:r>
            <w:r>
              <w:rPr>
                <w:rFonts w:hint="eastAsia" w:ascii="Times New Roman" w:hAnsi="Times New Roman" w:eastAsia="宋体"/>
                <w:color w:val="auto"/>
                <w:sz w:val="24"/>
                <w:szCs w:val="24"/>
                <w:highlight w:val="none"/>
              </w:rPr>
              <w:t>（</w:t>
            </w:r>
            <w:r>
              <w:rPr>
                <w:rFonts w:ascii="Times New Roman" w:hAnsi="Times New Roman" w:eastAsia="宋体"/>
                <w:color w:val="auto"/>
                <w:sz w:val="24"/>
                <w:szCs w:val="24"/>
                <w:highlight w:val="none"/>
              </w:rPr>
              <w:t>GB12348-2008</w:t>
            </w:r>
            <w:r>
              <w:rPr>
                <w:rFonts w:hint="eastAsia" w:ascii="Times New Roman" w:hAnsi="Times New Roman" w:eastAsia="宋体"/>
                <w:color w:val="auto"/>
                <w:sz w:val="24"/>
                <w:szCs w:val="24"/>
                <w:highlight w:val="none"/>
              </w:rPr>
              <w:t>）</w:t>
            </w:r>
            <w:r>
              <w:rPr>
                <w:rFonts w:ascii="Times New Roman" w:hAnsi="Times New Roman" w:eastAsia="宋体"/>
                <w:color w:val="auto"/>
                <w:sz w:val="24"/>
                <w:szCs w:val="24"/>
                <w:highlight w:val="none"/>
              </w:rPr>
              <w:t>中</w:t>
            </w:r>
            <w:r>
              <w:rPr>
                <w:rFonts w:hint="eastAsia" w:ascii="Times New Roman" w:hAnsi="Times New Roman" w:eastAsia="宋体"/>
                <w:color w:val="auto"/>
                <w:sz w:val="24"/>
                <w:szCs w:val="24"/>
                <w:highlight w:val="none"/>
              </w:rPr>
              <w:t>3</w:t>
            </w:r>
            <w:r>
              <w:rPr>
                <w:rFonts w:ascii="Times New Roman" w:hAnsi="Times New Roman" w:eastAsia="宋体"/>
                <w:color w:val="auto"/>
                <w:sz w:val="24"/>
                <w:szCs w:val="24"/>
                <w:highlight w:val="none"/>
              </w:rPr>
              <w:t>类标准</w:t>
            </w:r>
            <w:r>
              <w:rPr>
                <w:rFonts w:hint="eastAsia" w:ascii="Times New Roman" w:hAnsi="Times New Roman" w:eastAsia="宋体"/>
                <w:color w:val="auto"/>
                <w:sz w:val="24"/>
                <w:szCs w:val="24"/>
                <w:highlight w:val="none"/>
              </w:rPr>
              <w:t>（</w:t>
            </w:r>
            <w:r>
              <w:rPr>
                <w:rFonts w:ascii="Times New Roman" w:hAnsi="Times New Roman" w:eastAsia="宋体"/>
                <w:color w:val="auto"/>
                <w:sz w:val="24"/>
                <w:szCs w:val="24"/>
                <w:highlight w:val="none"/>
              </w:rPr>
              <w:t>昼间≤6</w:t>
            </w:r>
            <w:r>
              <w:rPr>
                <w:rFonts w:hint="eastAsia" w:ascii="Times New Roman" w:hAnsi="Times New Roman" w:eastAsia="宋体"/>
                <w:color w:val="auto"/>
                <w:sz w:val="24"/>
                <w:szCs w:val="24"/>
                <w:highlight w:val="none"/>
              </w:rPr>
              <w:t>5</w:t>
            </w:r>
            <w:r>
              <w:rPr>
                <w:rFonts w:ascii="Times New Roman" w:hAnsi="Times New Roman" w:eastAsia="宋体"/>
                <w:color w:val="auto"/>
                <w:sz w:val="24"/>
                <w:szCs w:val="24"/>
                <w:highlight w:val="none"/>
              </w:rPr>
              <w:t>dB(A)</w:t>
            </w:r>
            <w:r>
              <w:rPr>
                <w:rFonts w:hint="eastAsia" w:ascii="Times New Roman" w:hAnsi="Times New Roman" w:eastAsia="宋体"/>
                <w:color w:val="auto"/>
                <w:sz w:val="24"/>
                <w:szCs w:val="24"/>
                <w:highlight w:val="none"/>
              </w:rPr>
              <w:t>、夜间</w:t>
            </w:r>
            <w:r>
              <w:rPr>
                <w:rFonts w:ascii="Times New Roman" w:hAnsi="Times New Roman" w:eastAsia="宋体"/>
                <w:color w:val="auto"/>
                <w:sz w:val="24"/>
                <w:szCs w:val="24"/>
                <w:highlight w:val="none"/>
              </w:rPr>
              <w:t>≤</w:t>
            </w:r>
            <w:r>
              <w:rPr>
                <w:rFonts w:hint="eastAsia" w:ascii="Times New Roman" w:hAnsi="Times New Roman" w:eastAsia="宋体"/>
                <w:color w:val="auto"/>
                <w:sz w:val="24"/>
                <w:szCs w:val="24"/>
                <w:highlight w:val="none"/>
              </w:rPr>
              <w:t>55</w:t>
            </w:r>
            <w:r>
              <w:rPr>
                <w:rFonts w:ascii="Times New Roman" w:hAnsi="Times New Roman" w:eastAsia="宋体"/>
                <w:color w:val="auto"/>
                <w:sz w:val="24"/>
                <w:szCs w:val="24"/>
                <w:highlight w:val="none"/>
              </w:rPr>
              <w:t>dB(A)</w:t>
            </w:r>
            <w:r>
              <w:rPr>
                <w:rFonts w:hint="eastAsia" w:ascii="Times New Roman" w:hAnsi="Times New Roman" w:eastAsia="宋体"/>
                <w:color w:val="auto"/>
                <w:sz w:val="24"/>
                <w:szCs w:val="24"/>
                <w:highlight w:val="none"/>
              </w:rPr>
              <w:t>）</w:t>
            </w:r>
            <w:r>
              <w:rPr>
                <w:rFonts w:hint="eastAsia" w:ascii="Times New Roman" w:hAnsi="Times New Roman" w:eastAsia="宋体"/>
                <w:color w:val="auto"/>
                <w:sz w:val="24"/>
                <w:szCs w:val="24"/>
                <w:highlight w:val="none"/>
                <w:lang w:val="en-US" w:eastAsia="zh-CN"/>
              </w:rPr>
              <w:t>和4</w:t>
            </w:r>
            <w:r>
              <w:rPr>
                <w:rFonts w:ascii="Times New Roman" w:hAnsi="Times New Roman" w:eastAsia="宋体"/>
                <w:color w:val="auto"/>
                <w:sz w:val="24"/>
                <w:szCs w:val="24"/>
                <w:highlight w:val="none"/>
              </w:rPr>
              <w:t>类标准</w:t>
            </w:r>
            <w:r>
              <w:rPr>
                <w:rFonts w:hint="eastAsia" w:ascii="Times New Roman" w:hAnsi="Times New Roman" w:eastAsia="宋体"/>
                <w:color w:val="auto"/>
                <w:sz w:val="24"/>
                <w:szCs w:val="24"/>
                <w:highlight w:val="none"/>
              </w:rPr>
              <w:t>（</w:t>
            </w:r>
            <w:r>
              <w:rPr>
                <w:rFonts w:ascii="Times New Roman" w:hAnsi="Times New Roman" w:eastAsia="宋体"/>
                <w:color w:val="auto"/>
                <w:sz w:val="24"/>
                <w:szCs w:val="24"/>
                <w:highlight w:val="none"/>
              </w:rPr>
              <w:t>昼间≤</w:t>
            </w:r>
            <w:r>
              <w:rPr>
                <w:rFonts w:hint="eastAsia" w:ascii="Times New Roman" w:hAnsi="Times New Roman" w:eastAsia="宋体"/>
                <w:color w:val="auto"/>
                <w:sz w:val="24"/>
                <w:szCs w:val="24"/>
                <w:highlight w:val="none"/>
                <w:lang w:val="en-US" w:eastAsia="zh-CN"/>
              </w:rPr>
              <w:t>70</w:t>
            </w:r>
            <w:r>
              <w:rPr>
                <w:rFonts w:ascii="Times New Roman" w:hAnsi="Times New Roman" w:eastAsia="宋体"/>
                <w:color w:val="auto"/>
                <w:sz w:val="24"/>
                <w:szCs w:val="24"/>
                <w:highlight w:val="none"/>
              </w:rPr>
              <w:t>dB(A)</w:t>
            </w:r>
            <w:r>
              <w:rPr>
                <w:rFonts w:hint="eastAsia" w:ascii="Times New Roman" w:hAnsi="Times New Roman" w:eastAsia="宋体"/>
                <w:color w:val="auto"/>
                <w:sz w:val="24"/>
                <w:szCs w:val="24"/>
                <w:highlight w:val="none"/>
              </w:rPr>
              <w:t>、夜间</w:t>
            </w:r>
            <w:r>
              <w:rPr>
                <w:rFonts w:ascii="Times New Roman" w:hAnsi="Times New Roman" w:eastAsia="宋体"/>
                <w:color w:val="auto"/>
                <w:sz w:val="24"/>
                <w:szCs w:val="24"/>
                <w:highlight w:val="none"/>
              </w:rPr>
              <w:t>≤</w:t>
            </w:r>
            <w:r>
              <w:rPr>
                <w:rFonts w:hint="eastAsia" w:ascii="Times New Roman" w:hAnsi="Times New Roman" w:eastAsia="宋体"/>
                <w:color w:val="auto"/>
                <w:sz w:val="24"/>
                <w:szCs w:val="24"/>
                <w:highlight w:val="none"/>
              </w:rPr>
              <w:t>55</w:t>
            </w:r>
            <w:r>
              <w:rPr>
                <w:rFonts w:ascii="Times New Roman" w:hAnsi="Times New Roman" w:eastAsia="宋体"/>
                <w:color w:val="auto"/>
                <w:sz w:val="24"/>
                <w:szCs w:val="24"/>
                <w:highlight w:val="none"/>
              </w:rPr>
              <w:t>dB(A)</w:t>
            </w:r>
            <w:r>
              <w:rPr>
                <w:rFonts w:hint="eastAsia" w:ascii="Times New Roman" w:hAnsi="Times New Roman" w:eastAsia="宋体"/>
                <w:color w:val="auto"/>
                <w:sz w:val="24"/>
                <w:szCs w:val="24"/>
                <w:highlight w:val="none"/>
              </w:rPr>
              <w:t>）</w:t>
            </w:r>
          </w:p>
        </w:tc>
      </w:tr>
      <w:tr w14:paraId="753221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1060" w:type="dxa"/>
            <w:noWrap w:val="0"/>
            <w:vAlign w:val="center"/>
          </w:tcPr>
          <w:p w14:paraId="1EDA4158">
            <w:pPr>
              <w:pStyle w:val="126"/>
              <w:snapToGrid w:val="0"/>
              <w:spacing w:line="340" w:lineRule="exact"/>
              <w:jc w:val="center"/>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电磁辐射</w:t>
            </w:r>
          </w:p>
        </w:tc>
        <w:tc>
          <w:tcPr>
            <w:tcW w:w="1608" w:type="dxa"/>
            <w:noWrap w:val="0"/>
            <w:vAlign w:val="center"/>
          </w:tcPr>
          <w:p w14:paraId="15C0EC5F">
            <w:pPr>
              <w:pStyle w:val="126"/>
              <w:snapToGrid w:val="0"/>
              <w:spacing w:line="340" w:lineRule="exact"/>
              <w:jc w:val="center"/>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w:t>
            </w:r>
          </w:p>
        </w:tc>
        <w:tc>
          <w:tcPr>
            <w:tcW w:w="975" w:type="dxa"/>
            <w:noWrap w:val="0"/>
            <w:vAlign w:val="center"/>
          </w:tcPr>
          <w:p w14:paraId="49C2B773">
            <w:pPr>
              <w:pStyle w:val="126"/>
              <w:snapToGrid w:val="0"/>
              <w:spacing w:line="340" w:lineRule="exact"/>
              <w:jc w:val="center"/>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w:t>
            </w:r>
          </w:p>
        </w:tc>
        <w:tc>
          <w:tcPr>
            <w:tcW w:w="2040" w:type="dxa"/>
            <w:noWrap w:val="0"/>
            <w:vAlign w:val="center"/>
          </w:tcPr>
          <w:p w14:paraId="7A71C7F2">
            <w:pPr>
              <w:pStyle w:val="126"/>
              <w:snapToGrid w:val="0"/>
              <w:spacing w:line="340" w:lineRule="exact"/>
              <w:jc w:val="center"/>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w:t>
            </w:r>
          </w:p>
        </w:tc>
        <w:tc>
          <w:tcPr>
            <w:tcW w:w="3117" w:type="dxa"/>
            <w:noWrap w:val="0"/>
            <w:vAlign w:val="center"/>
          </w:tcPr>
          <w:p w14:paraId="1CF6093E">
            <w:pPr>
              <w:pStyle w:val="126"/>
              <w:snapToGrid w:val="0"/>
              <w:spacing w:line="340" w:lineRule="exact"/>
              <w:jc w:val="center"/>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w:t>
            </w:r>
          </w:p>
        </w:tc>
      </w:tr>
      <w:tr w14:paraId="3D053E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8" w:hRule="atLeast"/>
          <w:jc w:val="center"/>
        </w:trPr>
        <w:tc>
          <w:tcPr>
            <w:tcW w:w="1060" w:type="dxa"/>
            <w:noWrap w:val="0"/>
            <w:vAlign w:val="center"/>
          </w:tcPr>
          <w:p w14:paraId="01A802B4">
            <w:pPr>
              <w:pStyle w:val="126"/>
              <w:snapToGrid w:val="0"/>
              <w:spacing w:line="340" w:lineRule="exact"/>
              <w:jc w:val="center"/>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固体废物</w:t>
            </w:r>
          </w:p>
        </w:tc>
        <w:tc>
          <w:tcPr>
            <w:tcW w:w="7740" w:type="dxa"/>
            <w:gridSpan w:val="4"/>
            <w:noWrap w:val="0"/>
            <w:vAlign w:val="center"/>
          </w:tcPr>
          <w:p w14:paraId="3DE67ABA">
            <w:pPr>
              <w:ind w:firstLine="0" w:firstLineChars="0"/>
              <w:jc w:val="left"/>
              <w:rPr>
                <w:color w:val="auto"/>
                <w:highlight w:val="none"/>
                <w:lang w:val="en-GB"/>
              </w:rPr>
            </w:pPr>
            <w:r>
              <w:rPr>
                <w:color w:val="auto"/>
                <w:highlight w:val="none"/>
                <w:lang w:val="en-GB"/>
              </w:rPr>
              <w:t>一般工业固废：设置一般工业固废暂存间，妥善分类收集后出售给回收企业综合利用；满足《一般工业固体废物贮存和填埋污染控制标准》</w:t>
            </w:r>
            <w:r>
              <w:rPr>
                <w:rFonts w:hint="eastAsia"/>
                <w:color w:val="auto"/>
                <w:highlight w:val="none"/>
              </w:rPr>
              <w:t>（</w:t>
            </w:r>
            <w:r>
              <w:rPr>
                <w:color w:val="auto"/>
                <w:highlight w:val="none"/>
                <w:lang w:val="en-GB"/>
              </w:rPr>
              <w:t>GB 18599-2020</w:t>
            </w:r>
            <w:r>
              <w:rPr>
                <w:rFonts w:hint="eastAsia"/>
                <w:color w:val="auto"/>
                <w:highlight w:val="none"/>
              </w:rPr>
              <w:t>）</w:t>
            </w:r>
            <w:r>
              <w:rPr>
                <w:color w:val="auto"/>
                <w:highlight w:val="none"/>
                <w:lang w:val="en-GB"/>
              </w:rPr>
              <w:t>的相关要求；</w:t>
            </w:r>
          </w:p>
          <w:p w14:paraId="43034607">
            <w:pPr>
              <w:ind w:firstLine="0" w:firstLineChars="0"/>
              <w:jc w:val="left"/>
              <w:rPr>
                <w:color w:val="auto"/>
                <w:highlight w:val="none"/>
              </w:rPr>
            </w:pPr>
            <w:r>
              <w:rPr>
                <w:color w:val="auto"/>
                <w:highlight w:val="none"/>
              </w:rPr>
              <w:t>危险废物：</w:t>
            </w:r>
            <w:r>
              <w:rPr>
                <w:rFonts w:hint="eastAsia"/>
                <w:color w:val="auto"/>
                <w:highlight w:val="none"/>
                <w:lang w:val="en-US" w:eastAsia="zh-CN"/>
              </w:rPr>
              <w:t>拟</w:t>
            </w:r>
            <w:r>
              <w:rPr>
                <w:color w:val="auto"/>
                <w:highlight w:val="none"/>
              </w:rPr>
              <w:t>设置</w:t>
            </w:r>
            <w:r>
              <w:rPr>
                <w:rFonts w:hint="eastAsia"/>
                <w:color w:val="auto"/>
                <w:highlight w:val="none"/>
                <w:lang w:val="en-US" w:eastAsia="zh-CN"/>
              </w:rPr>
              <w:t>20m</w:t>
            </w:r>
            <w:r>
              <w:rPr>
                <w:rFonts w:hint="eastAsia"/>
                <w:color w:val="auto"/>
                <w:highlight w:val="none"/>
                <w:vertAlign w:val="superscript"/>
                <w:lang w:val="en-US" w:eastAsia="zh-CN"/>
              </w:rPr>
              <w:t>2</w:t>
            </w:r>
            <w:r>
              <w:rPr>
                <w:rFonts w:hint="eastAsia"/>
                <w:color w:val="auto"/>
                <w:highlight w:val="none"/>
                <w:lang w:eastAsia="zh-CN"/>
              </w:rPr>
              <w:t>危险废物贮存间</w:t>
            </w:r>
            <w:r>
              <w:rPr>
                <w:color w:val="auto"/>
                <w:highlight w:val="none"/>
              </w:rPr>
              <w:t>，</w:t>
            </w:r>
            <w:r>
              <w:rPr>
                <w:color w:val="auto"/>
                <w:highlight w:val="none"/>
                <w:lang w:val="en-GB"/>
              </w:rPr>
              <w:t>妥善分类收集后</w:t>
            </w:r>
            <w:r>
              <w:rPr>
                <w:color w:val="auto"/>
                <w:highlight w:val="none"/>
              </w:rPr>
              <w:t>定期委托有资质的单位进行处置</w:t>
            </w:r>
            <w:r>
              <w:rPr>
                <w:color w:val="auto"/>
                <w:highlight w:val="none"/>
                <w:lang w:val="en-GB"/>
              </w:rPr>
              <w:t>满足</w:t>
            </w:r>
            <w:r>
              <w:rPr>
                <w:color w:val="auto"/>
                <w:highlight w:val="none"/>
              </w:rPr>
              <w:t>《危险废物贮存污染控制标准》</w:t>
            </w:r>
            <w:r>
              <w:rPr>
                <w:rFonts w:hint="eastAsia"/>
                <w:color w:val="auto"/>
                <w:highlight w:val="none"/>
              </w:rPr>
              <w:t>（GB 18597—2023）</w:t>
            </w:r>
            <w:r>
              <w:rPr>
                <w:color w:val="auto"/>
                <w:highlight w:val="none"/>
                <w:lang w:val="en-GB"/>
              </w:rPr>
              <w:t>要求。</w:t>
            </w:r>
            <w:r>
              <w:rPr>
                <w:color w:val="auto"/>
                <w:highlight w:val="none"/>
              </w:rPr>
              <w:t>危废转移应严格按《危险废物转移管理办法》要求；</w:t>
            </w:r>
          </w:p>
          <w:p w14:paraId="36A1F143">
            <w:pPr>
              <w:ind w:firstLine="0" w:firstLineChars="0"/>
              <w:jc w:val="left"/>
              <w:rPr>
                <w:color w:val="auto"/>
                <w:highlight w:val="none"/>
              </w:rPr>
            </w:pPr>
            <w:r>
              <w:rPr>
                <w:color w:val="auto"/>
                <w:highlight w:val="none"/>
              </w:rPr>
              <w:t>生活垃圾：由垃圾桶收集，由市政环卫部门统一清运处理</w:t>
            </w:r>
          </w:p>
        </w:tc>
      </w:tr>
      <w:tr w14:paraId="4B5979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87" w:hRule="atLeast"/>
          <w:jc w:val="center"/>
        </w:trPr>
        <w:tc>
          <w:tcPr>
            <w:tcW w:w="1060" w:type="dxa"/>
            <w:noWrap w:val="0"/>
            <w:vAlign w:val="center"/>
          </w:tcPr>
          <w:p w14:paraId="7AB3844D">
            <w:pPr>
              <w:pStyle w:val="126"/>
              <w:snapToGrid w:val="0"/>
              <w:spacing w:line="340" w:lineRule="exact"/>
              <w:jc w:val="center"/>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土壤及地下水污染防治措施</w:t>
            </w:r>
          </w:p>
        </w:tc>
        <w:tc>
          <w:tcPr>
            <w:tcW w:w="7740" w:type="dxa"/>
            <w:gridSpan w:val="4"/>
            <w:noWrap w:val="0"/>
            <w:vAlign w:val="center"/>
          </w:tcPr>
          <w:p w14:paraId="4C5A5931">
            <w:pPr>
              <w:ind w:firstLine="480"/>
              <w:jc w:val="left"/>
              <w:rPr>
                <w:rFonts w:hint="eastAsia"/>
                <w:color w:val="auto"/>
                <w:highlight w:val="none"/>
              </w:rPr>
            </w:pPr>
            <w:r>
              <w:rPr>
                <w:rFonts w:hint="eastAsia"/>
                <w:color w:val="auto"/>
                <w:highlight w:val="none"/>
              </w:rPr>
              <w:t>厂区地面以水</w:t>
            </w:r>
            <w:r>
              <w:rPr>
                <w:rFonts w:hint="eastAsia" w:eastAsia="宋体"/>
                <w:color w:val="auto"/>
                <w:highlight w:val="none"/>
              </w:rPr>
              <w:t>泥硬化及绿化为主，采用以防渗混凝土为基础，污水管道采用PVC管道收集。</w:t>
            </w:r>
            <w:r>
              <w:rPr>
                <w:rFonts w:hint="eastAsia" w:eastAsia="宋体"/>
                <w:color w:val="auto"/>
                <w:highlight w:val="none"/>
                <w:lang w:val="en-US" w:eastAsia="zh-CN"/>
              </w:rPr>
              <w:t>沥青搅拌车间、储罐区</w:t>
            </w:r>
            <w:r>
              <w:rPr>
                <w:rFonts w:hint="eastAsia" w:eastAsia="宋体"/>
                <w:color w:val="auto"/>
                <w:highlight w:val="none"/>
              </w:rPr>
              <w:t>、危险废物贮存间按重点污染区防渗要求进行建设，其余</w:t>
            </w:r>
            <w:r>
              <w:rPr>
                <w:rFonts w:hint="eastAsia" w:eastAsia="宋体"/>
                <w:color w:val="auto"/>
                <w:highlight w:val="none"/>
                <w:lang w:val="en-US" w:eastAsia="zh-CN"/>
              </w:rPr>
              <w:t>骨料加热车间、骨料堆场、一般固废暂存间、</w:t>
            </w:r>
            <w:r>
              <w:rPr>
                <w:rFonts w:hint="eastAsia" w:eastAsia="宋体"/>
                <w:color w:val="auto"/>
                <w:highlight w:val="none"/>
              </w:rPr>
              <w:t>办公室、</w:t>
            </w:r>
            <w:r>
              <w:rPr>
                <w:rFonts w:hint="eastAsia" w:eastAsia="宋体"/>
                <w:color w:val="auto"/>
                <w:highlight w:val="none"/>
                <w:lang w:val="en-US" w:eastAsia="zh-CN"/>
              </w:rPr>
              <w:t>食堂、</w:t>
            </w:r>
            <w:r>
              <w:rPr>
                <w:rFonts w:hint="eastAsia" w:eastAsia="宋体"/>
                <w:color w:val="auto"/>
                <w:highlight w:val="none"/>
              </w:rPr>
              <w:t>宿舍等其他区域等按简易防渗要求进行建设。</w:t>
            </w:r>
          </w:p>
        </w:tc>
      </w:tr>
      <w:tr w14:paraId="2C742F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1060" w:type="dxa"/>
            <w:noWrap w:val="0"/>
            <w:vAlign w:val="center"/>
          </w:tcPr>
          <w:p w14:paraId="59438230">
            <w:pPr>
              <w:pStyle w:val="126"/>
              <w:snapToGrid w:val="0"/>
              <w:spacing w:line="340" w:lineRule="exact"/>
              <w:jc w:val="center"/>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生态保护措施</w:t>
            </w:r>
          </w:p>
        </w:tc>
        <w:tc>
          <w:tcPr>
            <w:tcW w:w="7740" w:type="dxa"/>
            <w:gridSpan w:val="4"/>
            <w:noWrap w:val="0"/>
            <w:vAlign w:val="center"/>
          </w:tcPr>
          <w:p w14:paraId="05EAF32B">
            <w:pPr>
              <w:ind w:firstLine="0" w:firstLineChars="0"/>
              <w:jc w:val="center"/>
              <w:rPr>
                <w:color w:val="auto"/>
                <w:highlight w:val="none"/>
              </w:rPr>
            </w:pPr>
            <w:r>
              <w:rPr>
                <w:color w:val="auto"/>
                <w:highlight w:val="none"/>
              </w:rPr>
              <w:t>无</w:t>
            </w:r>
          </w:p>
        </w:tc>
      </w:tr>
      <w:tr w14:paraId="5FD776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5" w:hRule="atLeast"/>
          <w:jc w:val="center"/>
        </w:trPr>
        <w:tc>
          <w:tcPr>
            <w:tcW w:w="1060" w:type="dxa"/>
            <w:noWrap w:val="0"/>
            <w:vAlign w:val="center"/>
          </w:tcPr>
          <w:p w14:paraId="64B4D2D1">
            <w:pPr>
              <w:pStyle w:val="126"/>
              <w:snapToGrid w:val="0"/>
              <w:spacing w:line="340" w:lineRule="exact"/>
              <w:jc w:val="center"/>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环境风险防范措施</w:t>
            </w:r>
          </w:p>
        </w:tc>
        <w:tc>
          <w:tcPr>
            <w:tcW w:w="7740" w:type="dxa"/>
            <w:gridSpan w:val="4"/>
            <w:noWrap w:val="0"/>
            <w:vAlign w:val="center"/>
          </w:tcPr>
          <w:p w14:paraId="074AD95F">
            <w:pPr>
              <w:widowControl/>
              <w:ind w:firstLine="480"/>
              <w:jc w:val="left"/>
              <w:rPr>
                <w:color w:val="auto"/>
                <w:highlight w:val="none"/>
              </w:rPr>
            </w:pPr>
            <w:r>
              <w:rPr>
                <w:rFonts w:hint="eastAsia"/>
                <w:color w:val="auto"/>
                <w:highlight w:val="none"/>
              </w:rPr>
              <w:t>加强生产管理贮运管理；设置完善的消防系统；开展员工上岗、安全培训等；</w:t>
            </w:r>
            <w:r>
              <w:rPr>
                <w:rFonts w:hint="eastAsia" w:ascii="宋体" w:hAnsi="宋体" w:cs="宋体"/>
                <w:color w:val="auto"/>
                <w:kern w:val="0"/>
                <w:highlight w:val="none"/>
                <w:lang w:bidi="ar"/>
              </w:rPr>
              <w:t>规范化建设危废贮存间。</w:t>
            </w:r>
          </w:p>
        </w:tc>
      </w:tr>
      <w:tr w14:paraId="252300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1060" w:type="dxa"/>
            <w:noWrap w:val="0"/>
            <w:vAlign w:val="center"/>
          </w:tcPr>
          <w:p w14:paraId="7B78374E">
            <w:pPr>
              <w:pStyle w:val="126"/>
              <w:snapToGrid w:val="0"/>
              <w:spacing w:line="340" w:lineRule="exact"/>
              <w:jc w:val="center"/>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其他环境管理要求</w:t>
            </w:r>
          </w:p>
        </w:tc>
        <w:tc>
          <w:tcPr>
            <w:tcW w:w="7740" w:type="dxa"/>
            <w:gridSpan w:val="4"/>
            <w:noWrap w:val="0"/>
            <w:vAlign w:val="center"/>
          </w:tcPr>
          <w:p w14:paraId="2230055E">
            <w:pPr>
              <w:adjustRightInd w:val="0"/>
              <w:snapToGrid w:val="0"/>
              <w:spacing w:before="120" w:beforeLines="50"/>
              <w:ind w:firstLine="0" w:firstLineChars="0"/>
              <w:jc w:val="left"/>
              <w:rPr>
                <w:b/>
                <w:bCs/>
                <w:color w:val="auto"/>
                <w:highlight w:val="none"/>
              </w:rPr>
            </w:pPr>
            <w:r>
              <w:rPr>
                <w:rFonts w:hint="eastAsia"/>
                <w:b/>
                <w:bCs/>
                <w:color w:val="auto"/>
                <w:highlight w:val="none"/>
              </w:rPr>
              <w:t>1</w:t>
            </w:r>
            <w:r>
              <w:rPr>
                <w:b/>
                <w:bCs/>
                <w:color w:val="auto"/>
                <w:highlight w:val="none"/>
              </w:rPr>
              <w:t>、排污许可管理要求</w:t>
            </w:r>
          </w:p>
          <w:p w14:paraId="2BE16E09">
            <w:pPr>
              <w:ind w:firstLine="480"/>
              <w:rPr>
                <w:rFonts w:hint="eastAsia" w:ascii="宋体" w:hAnsi="宋体" w:cs="宋体"/>
                <w:color w:val="auto"/>
                <w:sz w:val="21"/>
                <w:szCs w:val="21"/>
                <w:highlight w:val="none"/>
              </w:rPr>
            </w:pPr>
            <w:r>
              <w:rPr>
                <w:rFonts w:hint="eastAsia"/>
                <w:color w:val="auto"/>
                <w:highlight w:val="none"/>
              </w:rPr>
              <w:t>根据《固定污染源排污许可分类管理名录（2019年版）》（生态环境部 第11号）可知，本项目涉及通用工序中的</w:t>
            </w:r>
            <w:r>
              <w:rPr>
                <w:rFonts w:hint="eastAsia"/>
                <w:color w:val="auto"/>
                <w:highlight w:val="none"/>
                <w:lang w:val="en-US" w:eastAsia="zh-CN"/>
              </w:rPr>
              <w:t>锅炉和</w:t>
            </w:r>
            <w:r>
              <w:rPr>
                <w:rFonts w:hint="eastAsia"/>
                <w:color w:val="auto"/>
                <w:highlight w:val="none"/>
              </w:rPr>
              <w:t>工业炉窑，存在“</w:t>
            </w:r>
            <w:r>
              <w:rPr>
                <w:rFonts w:hint="eastAsia"/>
                <w:color w:val="auto"/>
                <w:szCs w:val="21"/>
                <w:highlight w:val="none"/>
              </w:rPr>
              <w:t>除</w:t>
            </w:r>
            <w:r>
              <w:rPr>
                <w:color w:val="auto"/>
                <w:szCs w:val="21"/>
                <w:highlight w:val="none"/>
              </w:rPr>
              <w:t>纳入重点排污单位名录的，以天然气或者电为能源的加热炉、热处理炉或者干燥炉（窑）</w:t>
            </w:r>
            <w:r>
              <w:rPr>
                <w:rFonts w:hint="eastAsia"/>
                <w:color w:val="auto"/>
                <w:highlight w:val="none"/>
              </w:rPr>
              <w:t>”</w:t>
            </w:r>
            <w:r>
              <w:rPr>
                <w:rFonts w:hint="eastAsia"/>
                <w:color w:val="auto"/>
                <w:highlight w:val="none"/>
                <w:lang w:val="en-US" w:eastAsia="zh-CN"/>
              </w:rPr>
              <w:t>和“</w:t>
            </w:r>
            <w:r>
              <w:rPr>
                <w:color w:val="auto"/>
                <w:highlight w:val="none"/>
              </w:rPr>
              <w:t>除纳入重点排污单位名录的，单台且合计出力20吨/小时（14兆瓦）以下的锅炉（不含电热锅炉）</w:t>
            </w:r>
            <w:r>
              <w:rPr>
                <w:rFonts w:hint="eastAsia"/>
                <w:color w:val="auto"/>
                <w:highlight w:val="none"/>
                <w:lang w:val="en-US" w:eastAsia="zh-CN"/>
              </w:rPr>
              <w:t>”</w:t>
            </w:r>
            <w:r>
              <w:rPr>
                <w:rFonts w:hint="eastAsia"/>
                <w:color w:val="auto"/>
                <w:highlight w:val="none"/>
              </w:rPr>
              <w:t>，</w:t>
            </w:r>
            <w:r>
              <w:rPr>
                <w:rFonts w:hint="eastAsia"/>
                <w:color w:val="auto"/>
                <w:highlight w:val="none"/>
                <w:lang w:val="en-US" w:eastAsia="zh-CN"/>
              </w:rPr>
              <w:t>同时本项目为沥青混凝土以及乳化沥青生产项目</w:t>
            </w:r>
            <w:r>
              <w:rPr>
                <w:rFonts w:hint="eastAsia"/>
                <w:color w:val="auto"/>
                <w:highlight w:val="none"/>
                <w:lang w:eastAsia="zh-CN"/>
              </w:rPr>
              <w:t>，</w:t>
            </w:r>
            <w:r>
              <w:rPr>
                <w:rFonts w:hint="eastAsia"/>
                <w:color w:val="auto"/>
                <w:highlight w:val="none"/>
                <w:lang w:val="en-US" w:eastAsia="zh-CN"/>
              </w:rPr>
              <w:t>属于</w:t>
            </w:r>
            <w:r>
              <w:rPr>
                <w:rFonts w:hint="eastAsia" w:ascii="Times New Roman" w:hAnsi="Times New Roman" w:eastAsia="宋体" w:cs="Times New Roman"/>
                <w:color w:val="auto"/>
                <w:szCs w:val="21"/>
                <w:highlight w:val="none"/>
              </w:rPr>
              <w:t>其他非金属矿物制品制造3099（单晶硅棒，沥青混合物）</w:t>
            </w:r>
            <w:r>
              <w:rPr>
                <w:rFonts w:hint="eastAsia"/>
                <w:color w:val="auto"/>
                <w:highlight w:val="none"/>
                <w:lang w:eastAsia="zh-CN"/>
              </w:rPr>
              <w:t>，</w:t>
            </w:r>
            <w:r>
              <w:rPr>
                <w:rFonts w:hint="eastAsia"/>
                <w:color w:val="auto"/>
                <w:highlight w:val="none"/>
              </w:rPr>
              <w:t>因此本项目实行排污许可</w:t>
            </w:r>
            <w:r>
              <w:rPr>
                <w:rFonts w:hint="eastAsia"/>
                <w:color w:val="auto"/>
                <w:highlight w:val="none"/>
                <w:lang w:val="en-US" w:eastAsia="zh-CN"/>
              </w:rPr>
              <w:t>简化</w:t>
            </w:r>
            <w:r>
              <w:rPr>
                <w:rFonts w:hint="eastAsia"/>
                <w:color w:val="auto"/>
                <w:highlight w:val="none"/>
              </w:rPr>
              <w:t>管理（详见1-1）；因此，建设单位应当在启动生产设施或者发生实际排污之前在全国排污许可证管理信息平台进行排污许可申报。</w:t>
            </w:r>
          </w:p>
          <w:p w14:paraId="5D57C4DD">
            <w:pPr>
              <w:pStyle w:val="22"/>
              <w:widowControl w:val="0"/>
              <w:spacing w:before="0" w:beforeAutospacing="0" w:after="0" w:afterAutospacing="0"/>
              <w:ind w:firstLine="0" w:firstLineChars="0"/>
              <w:jc w:val="center"/>
              <w:rPr>
                <w:rFonts w:ascii="Times New Roman" w:hAnsi="Times New Roman"/>
                <w:b/>
                <w:color w:val="auto"/>
                <w:szCs w:val="24"/>
                <w:highlight w:val="none"/>
              </w:rPr>
            </w:pPr>
            <w:r>
              <w:rPr>
                <w:rFonts w:ascii="Times New Roman" w:hAnsi="Times New Roman"/>
                <w:b/>
                <w:color w:val="auto"/>
                <w:szCs w:val="24"/>
                <w:highlight w:val="none"/>
              </w:rPr>
              <w:t>表</w:t>
            </w:r>
            <w:r>
              <w:rPr>
                <w:rFonts w:hint="eastAsia" w:ascii="Times New Roman" w:hAnsi="Times New Roman"/>
                <w:b/>
                <w:color w:val="auto"/>
                <w:szCs w:val="24"/>
                <w:highlight w:val="none"/>
              </w:rPr>
              <w:t>1</w:t>
            </w:r>
            <w:r>
              <w:rPr>
                <w:rFonts w:ascii="Times New Roman" w:hAnsi="Times New Roman"/>
                <w:b/>
                <w:color w:val="auto"/>
                <w:szCs w:val="24"/>
                <w:highlight w:val="none"/>
              </w:rPr>
              <w:t>-1 固定污染源排污许可分类管理名录</w:t>
            </w:r>
            <w:r>
              <w:rPr>
                <w:rFonts w:hint="eastAsia" w:ascii="Times New Roman" w:hAnsi="Times New Roman"/>
                <w:b/>
                <w:color w:val="auto"/>
                <w:szCs w:val="24"/>
                <w:highlight w:val="none"/>
              </w:rPr>
              <w:t>（</w:t>
            </w:r>
            <w:r>
              <w:rPr>
                <w:rFonts w:ascii="Times New Roman" w:hAnsi="Times New Roman"/>
                <w:b/>
                <w:color w:val="auto"/>
                <w:szCs w:val="24"/>
                <w:highlight w:val="none"/>
              </w:rPr>
              <w:t>摘录</w:t>
            </w:r>
            <w:r>
              <w:rPr>
                <w:rFonts w:hint="eastAsia" w:ascii="Times New Roman" w:hAnsi="Times New Roman"/>
                <w:b/>
                <w:color w:val="auto"/>
                <w:szCs w:val="24"/>
                <w:highlight w:val="none"/>
              </w:rPr>
              <w:t>）</w:t>
            </w:r>
          </w:p>
          <w:tbl>
            <w:tblPr>
              <w:tblStyle w:val="2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8"/>
              <w:gridCol w:w="1958"/>
              <w:gridCol w:w="1455"/>
              <w:gridCol w:w="1725"/>
              <w:gridCol w:w="1555"/>
            </w:tblGrid>
            <w:tr w14:paraId="2D07F6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8" w:type="dxa"/>
                  <w:shd w:val="clear" w:color="auto" w:fill="auto"/>
                  <w:noWrap w:val="0"/>
                  <w:vAlign w:val="center"/>
                </w:tcPr>
                <w:p w14:paraId="30D2D926">
                  <w:pPr>
                    <w:pStyle w:val="126"/>
                    <w:snapToGrid w:val="0"/>
                    <w:spacing w:line="340" w:lineRule="exact"/>
                    <w:jc w:val="center"/>
                    <w:rPr>
                      <w:rFonts w:ascii="Times New Roman" w:hAnsi="Times New Roman" w:eastAsia="宋体"/>
                      <w:b/>
                      <w:bCs/>
                      <w:color w:val="auto"/>
                      <w:szCs w:val="21"/>
                      <w:highlight w:val="none"/>
                    </w:rPr>
                  </w:pPr>
                  <w:r>
                    <w:rPr>
                      <w:rFonts w:ascii="Times New Roman" w:hAnsi="Times New Roman" w:eastAsia="宋体"/>
                      <w:b/>
                      <w:bCs/>
                      <w:color w:val="auto"/>
                      <w:szCs w:val="21"/>
                      <w:highlight w:val="none"/>
                    </w:rPr>
                    <w:t>序号</w:t>
                  </w:r>
                </w:p>
              </w:tc>
              <w:tc>
                <w:tcPr>
                  <w:tcW w:w="1958" w:type="dxa"/>
                  <w:shd w:val="clear" w:color="auto" w:fill="auto"/>
                  <w:noWrap w:val="0"/>
                  <w:vAlign w:val="center"/>
                </w:tcPr>
                <w:p w14:paraId="6E6D0895">
                  <w:pPr>
                    <w:pStyle w:val="126"/>
                    <w:snapToGrid w:val="0"/>
                    <w:spacing w:line="340" w:lineRule="exact"/>
                    <w:jc w:val="center"/>
                    <w:rPr>
                      <w:rFonts w:ascii="Times New Roman" w:hAnsi="Times New Roman" w:eastAsia="宋体"/>
                      <w:b/>
                      <w:bCs/>
                      <w:color w:val="auto"/>
                      <w:szCs w:val="21"/>
                      <w:highlight w:val="none"/>
                    </w:rPr>
                  </w:pPr>
                  <w:r>
                    <w:rPr>
                      <w:rFonts w:ascii="Times New Roman" w:hAnsi="Times New Roman" w:eastAsia="宋体"/>
                      <w:b/>
                      <w:bCs/>
                      <w:color w:val="auto"/>
                      <w:szCs w:val="21"/>
                      <w:highlight w:val="none"/>
                    </w:rPr>
                    <w:t>行业类别</w:t>
                  </w:r>
                </w:p>
              </w:tc>
              <w:tc>
                <w:tcPr>
                  <w:tcW w:w="1455" w:type="dxa"/>
                  <w:shd w:val="clear" w:color="auto" w:fill="auto"/>
                  <w:noWrap w:val="0"/>
                  <w:vAlign w:val="center"/>
                </w:tcPr>
                <w:p w14:paraId="5CDE0108">
                  <w:pPr>
                    <w:pStyle w:val="126"/>
                    <w:snapToGrid w:val="0"/>
                    <w:spacing w:line="340" w:lineRule="exact"/>
                    <w:jc w:val="center"/>
                    <w:rPr>
                      <w:rFonts w:ascii="Times New Roman" w:hAnsi="Times New Roman" w:eastAsia="宋体"/>
                      <w:b/>
                      <w:bCs/>
                      <w:color w:val="auto"/>
                      <w:szCs w:val="21"/>
                      <w:highlight w:val="none"/>
                    </w:rPr>
                  </w:pPr>
                  <w:r>
                    <w:rPr>
                      <w:rFonts w:ascii="Times New Roman" w:hAnsi="Times New Roman" w:eastAsia="宋体"/>
                      <w:b/>
                      <w:bCs/>
                      <w:color w:val="auto"/>
                      <w:szCs w:val="21"/>
                      <w:highlight w:val="none"/>
                    </w:rPr>
                    <w:t>重点管理</w:t>
                  </w:r>
                </w:p>
              </w:tc>
              <w:tc>
                <w:tcPr>
                  <w:tcW w:w="1725" w:type="dxa"/>
                  <w:shd w:val="clear" w:color="auto" w:fill="D7D7D7" w:themeFill="background1" w:themeFillShade="D8"/>
                  <w:noWrap w:val="0"/>
                  <w:vAlign w:val="center"/>
                </w:tcPr>
                <w:p w14:paraId="61770BB5">
                  <w:pPr>
                    <w:pStyle w:val="126"/>
                    <w:snapToGrid w:val="0"/>
                    <w:spacing w:line="340" w:lineRule="exact"/>
                    <w:jc w:val="center"/>
                    <w:rPr>
                      <w:rFonts w:ascii="Times New Roman" w:hAnsi="Times New Roman" w:eastAsia="宋体"/>
                      <w:b/>
                      <w:bCs/>
                      <w:color w:val="auto"/>
                      <w:szCs w:val="21"/>
                      <w:highlight w:val="none"/>
                    </w:rPr>
                  </w:pPr>
                  <w:r>
                    <w:rPr>
                      <w:rFonts w:ascii="Times New Roman" w:hAnsi="Times New Roman" w:eastAsia="宋体"/>
                      <w:b/>
                      <w:bCs/>
                      <w:color w:val="auto"/>
                      <w:szCs w:val="21"/>
                      <w:highlight w:val="none"/>
                    </w:rPr>
                    <w:t>简化管理</w:t>
                  </w:r>
                </w:p>
              </w:tc>
              <w:tc>
                <w:tcPr>
                  <w:tcW w:w="1555" w:type="dxa"/>
                  <w:shd w:val="clear" w:color="auto" w:fill="auto"/>
                  <w:noWrap w:val="0"/>
                  <w:vAlign w:val="center"/>
                </w:tcPr>
                <w:p w14:paraId="33CD5E5E">
                  <w:pPr>
                    <w:pStyle w:val="126"/>
                    <w:snapToGrid w:val="0"/>
                    <w:spacing w:line="340" w:lineRule="exact"/>
                    <w:jc w:val="center"/>
                    <w:rPr>
                      <w:rFonts w:ascii="Times New Roman" w:hAnsi="Times New Roman" w:eastAsia="宋体"/>
                      <w:b/>
                      <w:bCs/>
                      <w:color w:val="auto"/>
                      <w:szCs w:val="21"/>
                      <w:highlight w:val="none"/>
                    </w:rPr>
                  </w:pPr>
                  <w:r>
                    <w:rPr>
                      <w:rFonts w:ascii="Times New Roman" w:hAnsi="Times New Roman" w:eastAsia="宋体"/>
                      <w:b/>
                      <w:bCs/>
                      <w:color w:val="auto"/>
                      <w:szCs w:val="21"/>
                      <w:highlight w:val="none"/>
                    </w:rPr>
                    <w:t>登记管理</w:t>
                  </w:r>
                </w:p>
              </w:tc>
            </w:tr>
            <w:tr w14:paraId="4B04F5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1" w:type="dxa"/>
                  <w:gridSpan w:val="5"/>
                  <w:shd w:val="clear" w:color="auto" w:fill="D7D7D7"/>
                  <w:noWrap w:val="0"/>
                  <w:vAlign w:val="center"/>
                </w:tcPr>
                <w:p w14:paraId="2EE3E376">
                  <w:pPr>
                    <w:pStyle w:val="126"/>
                    <w:snapToGrid w:val="0"/>
                    <w:spacing w:line="300" w:lineRule="exact"/>
                    <w:rPr>
                      <w:rFonts w:ascii="Times New Roman" w:hAnsi="Times New Roman" w:eastAsia="宋体"/>
                      <w:color w:val="auto"/>
                      <w:szCs w:val="21"/>
                      <w:highlight w:val="none"/>
                    </w:rPr>
                  </w:pPr>
                  <w:r>
                    <w:rPr>
                      <w:rFonts w:hint="eastAsia" w:ascii="Times New Roman" w:hAnsi="Times New Roman" w:eastAsia="宋体" w:cs="Times New Roman"/>
                      <w:color w:val="auto"/>
                      <w:szCs w:val="21"/>
                      <w:highlight w:val="none"/>
                    </w:rPr>
                    <w:t>二十五、非金属矿物制品业30</w:t>
                  </w:r>
                </w:p>
              </w:tc>
            </w:tr>
            <w:tr w14:paraId="20D658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8" w:type="dxa"/>
                  <w:shd w:val="clear" w:color="auto" w:fill="auto"/>
                  <w:noWrap w:val="0"/>
                  <w:vAlign w:val="center"/>
                </w:tcPr>
                <w:p w14:paraId="4869832C">
                  <w:pPr>
                    <w:pStyle w:val="126"/>
                    <w:snapToGrid w:val="0"/>
                    <w:spacing w:line="30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70</w:t>
                  </w:r>
                </w:p>
              </w:tc>
              <w:tc>
                <w:tcPr>
                  <w:tcW w:w="1958" w:type="dxa"/>
                  <w:shd w:val="clear" w:color="auto" w:fill="auto"/>
                  <w:noWrap w:val="0"/>
                  <w:vAlign w:val="center"/>
                </w:tcPr>
                <w:p w14:paraId="24E79D9A">
                  <w:pPr>
                    <w:pStyle w:val="126"/>
                    <w:snapToGrid w:val="0"/>
                    <w:spacing w:line="30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石墨及其他非金属矿物制品制造309</w:t>
                  </w:r>
                </w:p>
              </w:tc>
              <w:tc>
                <w:tcPr>
                  <w:tcW w:w="1455" w:type="dxa"/>
                  <w:shd w:val="clear" w:color="auto" w:fill="auto"/>
                  <w:noWrap w:val="0"/>
                  <w:vAlign w:val="center"/>
                </w:tcPr>
                <w:p w14:paraId="514BF463">
                  <w:pPr>
                    <w:pStyle w:val="126"/>
                    <w:snapToGrid w:val="0"/>
                    <w:spacing w:line="30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石墨及碳素制品制造3091（石墨制品、碳制品、碳素新材料），其他非金属矿物制品制造3099（多晶硅棒）</w:t>
                  </w:r>
                </w:p>
              </w:tc>
              <w:tc>
                <w:tcPr>
                  <w:tcW w:w="1725" w:type="dxa"/>
                  <w:shd w:val="clear" w:color="auto" w:fill="D7D7D7" w:themeFill="background1" w:themeFillShade="D8"/>
                  <w:noWrap w:val="0"/>
                  <w:vAlign w:val="center"/>
                </w:tcPr>
                <w:p w14:paraId="1B163B74">
                  <w:pPr>
                    <w:pStyle w:val="126"/>
                    <w:snapToGrid w:val="0"/>
                    <w:spacing w:line="30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石墨及碳素制品制造3091（除石墨制品、碳制品、碳素新材料以外的），其他非金属矿物制品制造3099（单晶硅棒，沥青混合物）</w:t>
                  </w:r>
                </w:p>
              </w:tc>
              <w:tc>
                <w:tcPr>
                  <w:tcW w:w="1555" w:type="dxa"/>
                  <w:shd w:val="clear" w:color="auto" w:fill="auto"/>
                  <w:noWrap w:val="0"/>
                  <w:vAlign w:val="center"/>
                </w:tcPr>
                <w:p w14:paraId="6E808E04">
                  <w:pPr>
                    <w:pStyle w:val="126"/>
                    <w:snapToGrid w:val="0"/>
                    <w:spacing w:line="30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其他非金属矿物制品制造3099（除重点管理、简化管理以外的）</w:t>
                  </w:r>
                </w:p>
              </w:tc>
            </w:tr>
            <w:tr w14:paraId="087191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1" w:type="dxa"/>
                  <w:gridSpan w:val="5"/>
                  <w:shd w:val="clear" w:color="auto" w:fill="D7D7D7" w:themeFill="background1" w:themeFillShade="D8"/>
                  <w:noWrap w:val="0"/>
                  <w:vAlign w:val="center"/>
                </w:tcPr>
                <w:p w14:paraId="4BA1AF9A">
                  <w:pPr>
                    <w:pStyle w:val="126"/>
                    <w:snapToGrid w:val="0"/>
                    <w:spacing w:line="300" w:lineRule="exact"/>
                    <w:rPr>
                      <w:rFonts w:hint="eastAsia" w:ascii="Times New Roman" w:hAnsi="Times New Roman" w:eastAsia="宋体"/>
                      <w:color w:val="auto"/>
                      <w:szCs w:val="21"/>
                      <w:highlight w:val="none"/>
                    </w:rPr>
                  </w:pPr>
                  <w:r>
                    <w:rPr>
                      <w:rFonts w:hint="eastAsia" w:ascii="Times New Roman" w:hAnsi="Times New Roman" w:eastAsia="宋体"/>
                      <w:color w:val="auto"/>
                      <w:szCs w:val="21"/>
                      <w:highlight w:val="none"/>
                    </w:rPr>
                    <w:t>五</w:t>
                  </w:r>
                  <w:r>
                    <w:rPr>
                      <w:rFonts w:ascii="Times New Roman" w:hAnsi="Times New Roman" w:eastAsia="宋体"/>
                      <w:color w:val="auto"/>
                      <w:szCs w:val="21"/>
                      <w:highlight w:val="none"/>
                    </w:rPr>
                    <w:t>十一、通用工序</w:t>
                  </w:r>
                </w:p>
              </w:tc>
            </w:tr>
            <w:tr w14:paraId="2F13BE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8" w:type="dxa"/>
                  <w:shd w:val="clear" w:color="auto" w:fill="auto"/>
                  <w:noWrap w:val="0"/>
                  <w:vAlign w:val="center"/>
                </w:tcPr>
                <w:p w14:paraId="3C686536">
                  <w:pPr>
                    <w:pStyle w:val="126"/>
                    <w:snapToGrid w:val="0"/>
                    <w:spacing w:line="300" w:lineRule="exact"/>
                    <w:jc w:val="center"/>
                    <w:rPr>
                      <w:rFonts w:hint="default"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109</w:t>
                  </w:r>
                </w:p>
              </w:tc>
              <w:tc>
                <w:tcPr>
                  <w:tcW w:w="1958" w:type="dxa"/>
                  <w:shd w:val="clear" w:color="auto" w:fill="auto"/>
                  <w:noWrap w:val="0"/>
                  <w:vAlign w:val="center"/>
                </w:tcPr>
                <w:p w14:paraId="7A347867">
                  <w:pPr>
                    <w:pStyle w:val="126"/>
                    <w:snapToGrid w:val="0"/>
                    <w:spacing w:line="300" w:lineRule="exact"/>
                    <w:jc w:val="center"/>
                    <w:rPr>
                      <w:rFonts w:hint="eastAsia"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锅炉</w:t>
                  </w:r>
                </w:p>
              </w:tc>
              <w:tc>
                <w:tcPr>
                  <w:tcW w:w="1455" w:type="dxa"/>
                  <w:shd w:val="clear" w:color="auto" w:fill="auto"/>
                  <w:noWrap w:val="0"/>
                  <w:vAlign w:val="center"/>
                </w:tcPr>
                <w:p w14:paraId="0D1E51F2">
                  <w:pPr>
                    <w:pStyle w:val="126"/>
                    <w:snapToGrid w:val="0"/>
                    <w:spacing w:line="300" w:lineRule="exact"/>
                    <w:jc w:val="center"/>
                    <w:rPr>
                      <w:rFonts w:hint="eastAsia" w:ascii="Times New Roman" w:hAnsi="Times New Roman" w:eastAsia="宋体"/>
                      <w:color w:val="auto"/>
                      <w:szCs w:val="21"/>
                      <w:highlight w:val="none"/>
                    </w:rPr>
                  </w:pPr>
                  <w:r>
                    <w:rPr>
                      <w:rFonts w:hint="eastAsia" w:ascii="Times New Roman" w:hAnsi="Times New Roman" w:eastAsia="宋体"/>
                      <w:color w:val="auto"/>
                      <w:szCs w:val="21"/>
                      <w:highlight w:val="none"/>
                    </w:rPr>
                    <w:t>纳</w:t>
                  </w:r>
                  <w:r>
                    <w:rPr>
                      <w:rFonts w:ascii="Times New Roman" w:hAnsi="Times New Roman" w:eastAsia="宋体"/>
                      <w:color w:val="auto"/>
                      <w:szCs w:val="21"/>
                      <w:highlight w:val="none"/>
                    </w:rPr>
                    <w:t>入重点排污单位名录的</w:t>
                  </w:r>
                </w:p>
              </w:tc>
              <w:tc>
                <w:tcPr>
                  <w:tcW w:w="1725" w:type="dxa"/>
                  <w:shd w:val="clear" w:color="auto" w:fill="auto"/>
                  <w:noWrap w:val="0"/>
                  <w:vAlign w:val="center"/>
                </w:tcPr>
                <w:p w14:paraId="647CCEB3">
                  <w:pPr>
                    <w:pStyle w:val="126"/>
                    <w:snapToGrid w:val="0"/>
                    <w:spacing w:line="30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除纳入重点排污单位名录的，单台或者合计出力20吨/小时（14兆瓦）及以上的锅炉（不含电热锅炉）</w:t>
                  </w:r>
                </w:p>
              </w:tc>
              <w:tc>
                <w:tcPr>
                  <w:tcW w:w="1555" w:type="dxa"/>
                  <w:shd w:val="clear" w:color="auto" w:fill="D7D7D7"/>
                  <w:noWrap w:val="0"/>
                  <w:vAlign w:val="center"/>
                </w:tcPr>
                <w:p w14:paraId="1B8D9496">
                  <w:pPr>
                    <w:pStyle w:val="126"/>
                    <w:snapToGrid w:val="0"/>
                    <w:spacing w:line="30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除纳入重点排污单位名录的，单台且合计出力20吨/小时（14兆瓦）以下的锅炉（不含电热锅炉）</w:t>
                  </w:r>
                </w:p>
              </w:tc>
            </w:tr>
            <w:tr w14:paraId="47C74E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8" w:type="dxa"/>
                  <w:shd w:val="clear" w:color="auto" w:fill="auto"/>
                  <w:noWrap w:val="0"/>
                  <w:vAlign w:val="center"/>
                </w:tcPr>
                <w:p w14:paraId="6B08CDF2">
                  <w:pPr>
                    <w:pStyle w:val="126"/>
                    <w:snapToGrid w:val="0"/>
                    <w:spacing w:line="300" w:lineRule="exact"/>
                    <w:jc w:val="center"/>
                    <w:rPr>
                      <w:rFonts w:hint="eastAsia" w:ascii="Times New Roman" w:hAnsi="Times New Roman" w:eastAsia="宋体"/>
                      <w:color w:val="auto"/>
                      <w:szCs w:val="21"/>
                      <w:highlight w:val="none"/>
                    </w:rPr>
                  </w:pPr>
                  <w:r>
                    <w:rPr>
                      <w:rFonts w:hint="eastAsia" w:ascii="Times New Roman" w:hAnsi="Times New Roman" w:eastAsia="宋体"/>
                      <w:color w:val="auto"/>
                      <w:szCs w:val="21"/>
                      <w:highlight w:val="none"/>
                    </w:rPr>
                    <w:t>1</w:t>
                  </w:r>
                  <w:r>
                    <w:rPr>
                      <w:rFonts w:ascii="Times New Roman" w:hAnsi="Times New Roman" w:eastAsia="宋体"/>
                      <w:color w:val="auto"/>
                      <w:szCs w:val="21"/>
                      <w:highlight w:val="none"/>
                    </w:rPr>
                    <w:t>10</w:t>
                  </w:r>
                </w:p>
              </w:tc>
              <w:tc>
                <w:tcPr>
                  <w:tcW w:w="1958" w:type="dxa"/>
                  <w:shd w:val="clear" w:color="auto" w:fill="auto"/>
                  <w:noWrap w:val="0"/>
                  <w:vAlign w:val="center"/>
                </w:tcPr>
                <w:p w14:paraId="38081F39">
                  <w:pPr>
                    <w:pStyle w:val="126"/>
                    <w:snapToGrid w:val="0"/>
                    <w:spacing w:line="300" w:lineRule="exact"/>
                    <w:jc w:val="center"/>
                    <w:rPr>
                      <w:rFonts w:hint="eastAsia" w:ascii="Times New Roman" w:hAnsi="Times New Roman" w:eastAsia="宋体"/>
                      <w:color w:val="auto"/>
                      <w:szCs w:val="21"/>
                      <w:highlight w:val="none"/>
                    </w:rPr>
                  </w:pPr>
                  <w:r>
                    <w:rPr>
                      <w:rFonts w:ascii="Times New Roman" w:hAnsi="Times New Roman" w:eastAsia="宋体"/>
                      <w:color w:val="auto"/>
                      <w:szCs w:val="21"/>
                      <w:highlight w:val="none"/>
                    </w:rPr>
                    <w:t>工业炉窑</w:t>
                  </w:r>
                </w:p>
              </w:tc>
              <w:tc>
                <w:tcPr>
                  <w:tcW w:w="1455" w:type="dxa"/>
                  <w:shd w:val="clear" w:color="auto" w:fill="auto"/>
                  <w:noWrap w:val="0"/>
                  <w:vAlign w:val="center"/>
                </w:tcPr>
                <w:p w14:paraId="350E5F85">
                  <w:pPr>
                    <w:pStyle w:val="126"/>
                    <w:snapToGrid w:val="0"/>
                    <w:spacing w:line="300" w:lineRule="exact"/>
                    <w:jc w:val="center"/>
                    <w:rPr>
                      <w:rFonts w:hint="eastAsia" w:ascii="Times New Roman" w:hAnsi="Times New Roman" w:eastAsia="宋体"/>
                      <w:color w:val="auto"/>
                      <w:szCs w:val="21"/>
                      <w:highlight w:val="none"/>
                    </w:rPr>
                  </w:pPr>
                  <w:r>
                    <w:rPr>
                      <w:rFonts w:hint="eastAsia" w:ascii="Times New Roman" w:hAnsi="Times New Roman" w:eastAsia="宋体"/>
                      <w:color w:val="auto"/>
                      <w:szCs w:val="21"/>
                      <w:highlight w:val="none"/>
                    </w:rPr>
                    <w:t>纳</w:t>
                  </w:r>
                  <w:r>
                    <w:rPr>
                      <w:rFonts w:ascii="Times New Roman" w:hAnsi="Times New Roman" w:eastAsia="宋体"/>
                      <w:color w:val="auto"/>
                      <w:szCs w:val="21"/>
                      <w:highlight w:val="none"/>
                    </w:rPr>
                    <w:t>入重点排污单位名录的</w:t>
                  </w:r>
                </w:p>
              </w:tc>
              <w:tc>
                <w:tcPr>
                  <w:tcW w:w="1725" w:type="dxa"/>
                  <w:shd w:val="clear" w:color="auto" w:fill="auto"/>
                  <w:noWrap w:val="0"/>
                  <w:vAlign w:val="center"/>
                </w:tcPr>
                <w:p w14:paraId="73ECDAE3">
                  <w:pPr>
                    <w:pStyle w:val="126"/>
                    <w:snapToGrid w:val="0"/>
                    <w:spacing w:line="300" w:lineRule="exact"/>
                    <w:jc w:val="center"/>
                    <w:rPr>
                      <w:rFonts w:hint="eastAsia" w:ascii="Times New Roman" w:hAnsi="Times New Roman" w:eastAsia="宋体"/>
                      <w:color w:val="auto"/>
                      <w:szCs w:val="21"/>
                      <w:highlight w:val="none"/>
                    </w:rPr>
                  </w:pPr>
                  <w:r>
                    <w:rPr>
                      <w:rFonts w:hint="eastAsia" w:ascii="Times New Roman" w:hAnsi="Times New Roman" w:eastAsia="宋体"/>
                      <w:color w:val="auto"/>
                      <w:szCs w:val="21"/>
                      <w:highlight w:val="none"/>
                    </w:rPr>
                    <w:t>除</w:t>
                  </w:r>
                  <w:r>
                    <w:rPr>
                      <w:rFonts w:ascii="Times New Roman" w:hAnsi="Times New Roman" w:eastAsia="宋体"/>
                      <w:color w:val="auto"/>
                      <w:szCs w:val="21"/>
                      <w:highlight w:val="none"/>
                    </w:rPr>
                    <w:t>纳入重点排污单位名录的，除以天然气或者电为能源的加热炉、热处理炉、干燥炉（窑）以外的其他工业炉窑</w:t>
                  </w:r>
                </w:p>
              </w:tc>
              <w:tc>
                <w:tcPr>
                  <w:tcW w:w="1555" w:type="dxa"/>
                  <w:shd w:val="clear" w:color="auto" w:fill="D7D7D7"/>
                  <w:noWrap w:val="0"/>
                  <w:vAlign w:val="center"/>
                </w:tcPr>
                <w:p w14:paraId="3DFA4809">
                  <w:pPr>
                    <w:pStyle w:val="126"/>
                    <w:snapToGrid w:val="0"/>
                    <w:spacing w:line="300" w:lineRule="exact"/>
                    <w:jc w:val="center"/>
                    <w:rPr>
                      <w:rFonts w:hint="eastAsia" w:ascii="Times New Roman" w:hAnsi="Times New Roman" w:eastAsia="宋体"/>
                      <w:color w:val="auto"/>
                      <w:szCs w:val="21"/>
                      <w:highlight w:val="none"/>
                    </w:rPr>
                  </w:pPr>
                  <w:r>
                    <w:rPr>
                      <w:rFonts w:hint="eastAsia" w:ascii="Times New Roman" w:hAnsi="Times New Roman" w:eastAsia="宋体"/>
                      <w:color w:val="auto"/>
                      <w:szCs w:val="21"/>
                      <w:highlight w:val="none"/>
                    </w:rPr>
                    <w:t>除</w:t>
                  </w:r>
                  <w:r>
                    <w:rPr>
                      <w:rFonts w:ascii="Times New Roman" w:hAnsi="Times New Roman" w:eastAsia="宋体"/>
                      <w:color w:val="auto"/>
                      <w:szCs w:val="21"/>
                      <w:highlight w:val="none"/>
                    </w:rPr>
                    <w:t>纳入重点排污单位名录的，以天然气或者电为能源的加热炉、热处理炉或者干燥炉（窑）</w:t>
                  </w:r>
                </w:p>
              </w:tc>
            </w:tr>
          </w:tbl>
          <w:p w14:paraId="502D789C">
            <w:pPr>
              <w:adjustRightInd w:val="0"/>
              <w:snapToGrid w:val="0"/>
              <w:spacing w:before="120" w:beforeLines="50"/>
              <w:ind w:firstLine="0" w:firstLineChars="0"/>
              <w:jc w:val="left"/>
              <w:rPr>
                <w:b/>
                <w:bCs/>
                <w:color w:val="auto"/>
                <w:highlight w:val="none"/>
              </w:rPr>
            </w:pPr>
            <w:r>
              <w:rPr>
                <w:rFonts w:hint="eastAsia"/>
                <w:b/>
                <w:bCs/>
                <w:color w:val="auto"/>
                <w:highlight w:val="none"/>
              </w:rPr>
              <w:t>2、</w:t>
            </w:r>
            <w:r>
              <w:rPr>
                <w:b/>
                <w:bCs/>
                <w:color w:val="auto"/>
                <w:highlight w:val="none"/>
              </w:rPr>
              <w:t>自行监测计划</w:t>
            </w:r>
          </w:p>
          <w:p w14:paraId="6D8F3F25">
            <w:pPr>
              <w:ind w:firstLine="480"/>
              <w:rPr>
                <w:rFonts w:hint="eastAsia"/>
                <w:color w:val="auto"/>
                <w:highlight w:val="none"/>
              </w:rPr>
            </w:pPr>
            <w:r>
              <w:rPr>
                <w:rFonts w:hint="eastAsia"/>
                <w:color w:val="auto"/>
                <w:highlight w:val="none"/>
              </w:rPr>
              <w:t>根据《</w:t>
            </w:r>
            <w:r>
              <w:rPr>
                <w:rFonts w:hint="eastAsia"/>
                <w:color w:val="auto"/>
                <w:highlight w:val="none"/>
              </w:rPr>
              <w:fldChar w:fldCharType="begin"/>
            </w:r>
            <w:r>
              <w:rPr>
                <w:rFonts w:hint="eastAsia"/>
                <w:color w:val="auto"/>
                <w:highlight w:val="none"/>
              </w:rPr>
              <w:instrText xml:space="preserve"> HYPERLINK "https://www.eiacloud.com/hpyzs/lawsRegulations/searchDetail?modelName=%E6%8E%92%E6%B1%A1%E5%90%8D%E5%BD%95&amp;id=948cfd6c76e94f1dbc8849d16441e19d" \t "https://www.eiacloud.com/hpyzs/category/_blank" </w:instrText>
            </w:r>
            <w:r>
              <w:rPr>
                <w:rFonts w:hint="eastAsia"/>
                <w:color w:val="auto"/>
                <w:highlight w:val="none"/>
              </w:rPr>
              <w:fldChar w:fldCharType="separate"/>
            </w:r>
            <w:r>
              <w:rPr>
                <w:color w:val="auto"/>
                <w:highlight w:val="none"/>
              </w:rPr>
              <w:t>排污许可证申请与核发技术规范 总则</w:t>
            </w:r>
            <w:r>
              <w:rPr>
                <w:color w:val="auto"/>
                <w:highlight w:val="none"/>
              </w:rPr>
              <w:fldChar w:fldCharType="end"/>
            </w:r>
            <w:r>
              <w:rPr>
                <w:rFonts w:hint="eastAsia"/>
                <w:color w:val="auto"/>
                <w:highlight w:val="none"/>
              </w:rPr>
              <w:t>》（</w:t>
            </w:r>
            <w:r>
              <w:rPr>
                <w:color w:val="auto"/>
                <w:highlight w:val="none"/>
              </w:rPr>
              <w:t>HJ942-2018</w:t>
            </w:r>
            <w:r>
              <w:rPr>
                <w:rFonts w:hint="eastAsia"/>
                <w:color w:val="auto"/>
                <w:highlight w:val="none"/>
              </w:rPr>
              <w:t>）</w:t>
            </w:r>
            <w:r>
              <w:rPr>
                <w:rFonts w:hint="eastAsia"/>
                <w:color w:val="auto"/>
                <w:highlight w:val="none"/>
                <w:lang w:eastAsia="zh-CN"/>
              </w:rPr>
              <w:t>、</w:t>
            </w:r>
            <w:r>
              <w:rPr>
                <w:rFonts w:hint="eastAsia"/>
                <w:color w:val="auto"/>
                <w:highlight w:val="none"/>
              </w:rPr>
              <w:t>《排污许可证申请与核发技术规范 石墨及其他非金属矿物制品制造》（HJ1119-2020）</w:t>
            </w:r>
            <w:r>
              <w:rPr>
                <w:rFonts w:hint="eastAsia"/>
                <w:color w:val="auto"/>
                <w:highlight w:val="none"/>
                <w:lang w:eastAsia="zh-CN"/>
              </w:rPr>
              <w:t>、《排污许可证申请与核发技术规范 锅炉》（HJ953—2018）</w:t>
            </w:r>
            <w:r>
              <w:rPr>
                <w:rFonts w:hint="eastAsia"/>
                <w:color w:val="auto"/>
                <w:highlight w:val="none"/>
                <w:lang w:val="en-US" w:eastAsia="zh-CN"/>
              </w:rPr>
              <w:t>以及《排污许可证申请与核发技术规范 工业炉窑》（HJ1121—2020）</w:t>
            </w:r>
            <w:r>
              <w:rPr>
                <w:rFonts w:hint="eastAsia"/>
                <w:color w:val="auto"/>
                <w:highlight w:val="none"/>
              </w:rPr>
              <w:t>中自行监测管理要求。以及参考《环境监测技术规范》、</w:t>
            </w:r>
            <w:r>
              <w:rPr>
                <w:rFonts w:hint="eastAsia"/>
                <w:color w:val="auto"/>
                <w:highlight w:val="none"/>
                <w:lang w:val="en-US" w:eastAsia="zh-CN"/>
              </w:rPr>
              <w:t>《排污单位自行监测技术指南 火力发电及锅炉》（HJ 820-2017）、</w:t>
            </w:r>
            <w:r>
              <w:rPr>
                <w:rFonts w:hint="eastAsia"/>
                <w:color w:val="auto"/>
                <w:highlight w:val="none"/>
              </w:rPr>
              <w:t>《排污单位自行监测技术指南 总则》（HJ819-2017）和《排污许可证申请与核发技术规范 工业噪声》</w:t>
            </w:r>
            <w:r>
              <w:rPr>
                <w:rFonts w:hint="eastAsia"/>
                <w:color w:val="auto"/>
                <w:highlight w:val="none"/>
              </w:rPr>
              <w:fldChar w:fldCharType="begin"/>
            </w:r>
            <w:r>
              <w:rPr>
                <w:rFonts w:hint="eastAsia"/>
                <w:color w:val="auto"/>
                <w:highlight w:val="none"/>
              </w:rPr>
              <w:instrText xml:space="preserve"> HYPERLINK "http://wzq1.mee.gov.cn/ywgz/fgbz/bz/bzwb/pwxk/202308/W020230919349861394526.pdf" </w:instrText>
            </w:r>
            <w:r>
              <w:rPr>
                <w:rFonts w:hint="eastAsia"/>
                <w:color w:val="auto"/>
                <w:highlight w:val="none"/>
              </w:rPr>
              <w:fldChar w:fldCharType="separate"/>
            </w:r>
            <w:r>
              <w:rPr>
                <w:rFonts w:hint="eastAsia"/>
                <w:color w:val="auto"/>
                <w:highlight w:val="none"/>
              </w:rPr>
              <w:t>（HJ 1301—2023）</w:t>
            </w:r>
            <w:r>
              <w:rPr>
                <w:rFonts w:hint="eastAsia"/>
                <w:color w:val="auto"/>
                <w:highlight w:val="none"/>
              </w:rPr>
              <w:fldChar w:fldCharType="end"/>
            </w:r>
            <w:r>
              <w:rPr>
                <w:rFonts w:hint="eastAsia"/>
                <w:color w:val="auto"/>
                <w:highlight w:val="none"/>
              </w:rPr>
              <w:t xml:space="preserve">等相关标准规定，制定本项目的监测计划。 </w:t>
            </w:r>
          </w:p>
          <w:p w14:paraId="670B4DA2">
            <w:pPr>
              <w:ind w:firstLine="480"/>
              <w:rPr>
                <w:rFonts w:hint="eastAsia"/>
                <w:color w:val="auto"/>
                <w:highlight w:val="none"/>
              </w:rPr>
            </w:pPr>
            <w:r>
              <w:rPr>
                <w:rFonts w:hint="eastAsia"/>
                <w:color w:val="auto"/>
                <w:highlight w:val="none"/>
              </w:rPr>
              <w:t>每次监测都应有完整的记录。监测数据应及时整理、统计，按时向管理部门、调度部门报告，做好监测资料的归档工作。就本项目而言，除对厂区各污染源进行监测外，建设单位还应当定期委托监测单位对敏感点环境空气质量、声环境质量进行采样监测，并做好台账。</w:t>
            </w:r>
          </w:p>
          <w:p w14:paraId="26A80F53">
            <w:pPr>
              <w:pStyle w:val="20"/>
              <w:ind w:firstLine="0" w:firstLineChars="0"/>
              <w:jc w:val="center"/>
              <w:rPr>
                <w:b/>
                <w:color w:val="auto"/>
                <w:kern w:val="0"/>
                <w:highlight w:val="none"/>
              </w:rPr>
            </w:pPr>
            <w:r>
              <w:rPr>
                <w:b/>
                <w:color w:val="auto"/>
                <w:kern w:val="0"/>
                <w:highlight w:val="none"/>
              </w:rPr>
              <w:t>表</w:t>
            </w:r>
            <w:r>
              <w:rPr>
                <w:rFonts w:hint="eastAsia"/>
                <w:b/>
                <w:color w:val="auto"/>
                <w:kern w:val="0"/>
                <w:highlight w:val="none"/>
              </w:rPr>
              <w:t>2-1</w:t>
            </w:r>
            <w:r>
              <w:rPr>
                <w:b/>
                <w:color w:val="auto"/>
                <w:kern w:val="0"/>
                <w:highlight w:val="none"/>
              </w:rPr>
              <w:t xml:space="preserve">  本项目环境监测计划监测内容一览表</w:t>
            </w:r>
          </w:p>
          <w:tbl>
            <w:tblPr>
              <w:tblStyle w:val="27"/>
              <w:tblW w:w="763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76"/>
              <w:gridCol w:w="660"/>
              <w:gridCol w:w="1513"/>
              <w:gridCol w:w="2685"/>
              <w:gridCol w:w="1096"/>
              <w:gridCol w:w="1107"/>
            </w:tblGrid>
            <w:tr w14:paraId="235D0A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236" w:type="dxa"/>
                  <w:gridSpan w:val="2"/>
                  <w:noWrap w:val="0"/>
                  <w:vAlign w:val="center"/>
                </w:tcPr>
                <w:p w14:paraId="6959036D">
                  <w:pPr>
                    <w:pStyle w:val="126"/>
                    <w:jc w:val="center"/>
                    <w:rPr>
                      <w:rFonts w:hint="eastAsia" w:ascii="Times New Roman" w:hAnsi="Times New Roman" w:eastAsia="宋体"/>
                      <w:b/>
                      <w:bCs/>
                      <w:color w:val="auto"/>
                      <w:szCs w:val="21"/>
                      <w:highlight w:val="none"/>
                    </w:rPr>
                  </w:pPr>
                  <w:r>
                    <w:rPr>
                      <w:rFonts w:hint="eastAsia" w:ascii="Times New Roman" w:hAnsi="Times New Roman" w:eastAsia="宋体"/>
                      <w:b/>
                      <w:bCs/>
                      <w:color w:val="auto"/>
                      <w:szCs w:val="21"/>
                      <w:highlight w:val="none"/>
                    </w:rPr>
                    <w:t>要素</w:t>
                  </w:r>
                </w:p>
              </w:tc>
              <w:tc>
                <w:tcPr>
                  <w:tcW w:w="1513" w:type="dxa"/>
                  <w:noWrap w:val="0"/>
                  <w:vAlign w:val="center"/>
                </w:tcPr>
                <w:p w14:paraId="43A0EBED">
                  <w:pPr>
                    <w:pStyle w:val="126"/>
                    <w:jc w:val="center"/>
                    <w:rPr>
                      <w:rFonts w:hint="eastAsia" w:ascii="Times New Roman" w:hAnsi="Times New Roman" w:eastAsia="宋体"/>
                      <w:b/>
                      <w:bCs/>
                      <w:color w:val="auto"/>
                      <w:szCs w:val="21"/>
                      <w:highlight w:val="none"/>
                    </w:rPr>
                  </w:pPr>
                  <w:r>
                    <w:rPr>
                      <w:rFonts w:hint="eastAsia" w:ascii="Times New Roman" w:hAnsi="Times New Roman" w:eastAsia="宋体"/>
                      <w:b/>
                      <w:bCs/>
                      <w:color w:val="auto"/>
                      <w:szCs w:val="21"/>
                      <w:highlight w:val="none"/>
                    </w:rPr>
                    <w:t>监测位点位</w:t>
                  </w:r>
                </w:p>
              </w:tc>
              <w:tc>
                <w:tcPr>
                  <w:tcW w:w="2685" w:type="dxa"/>
                  <w:noWrap w:val="0"/>
                  <w:vAlign w:val="center"/>
                </w:tcPr>
                <w:p w14:paraId="015DCCE2">
                  <w:pPr>
                    <w:pStyle w:val="126"/>
                    <w:jc w:val="center"/>
                    <w:rPr>
                      <w:rFonts w:hint="eastAsia" w:ascii="Times New Roman" w:hAnsi="Times New Roman" w:eastAsia="宋体"/>
                      <w:b/>
                      <w:bCs/>
                      <w:color w:val="auto"/>
                      <w:szCs w:val="21"/>
                      <w:highlight w:val="none"/>
                    </w:rPr>
                  </w:pPr>
                  <w:r>
                    <w:rPr>
                      <w:rFonts w:hint="eastAsia" w:ascii="Times New Roman" w:hAnsi="Times New Roman" w:eastAsia="宋体"/>
                      <w:b/>
                      <w:bCs/>
                      <w:color w:val="auto"/>
                      <w:szCs w:val="21"/>
                      <w:highlight w:val="none"/>
                    </w:rPr>
                    <w:t>监测项目</w:t>
                  </w:r>
                </w:p>
              </w:tc>
              <w:tc>
                <w:tcPr>
                  <w:tcW w:w="1096" w:type="dxa"/>
                  <w:noWrap w:val="0"/>
                  <w:vAlign w:val="center"/>
                </w:tcPr>
                <w:p w14:paraId="0545681C">
                  <w:pPr>
                    <w:pStyle w:val="126"/>
                    <w:jc w:val="center"/>
                    <w:rPr>
                      <w:rFonts w:hint="eastAsia" w:ascii="Times New Roman" w:hAnsi="Times New Roman" w:eastAsia="宋体"/>
                      <w:b/>
                      <w:bCs/>
                      <w:color w:val="auto"/>
                      <w:szCs w:val="21"/>
                      <w:highlight w:val="none"/>
                    </w:rPr>
                  </w:pPr>
                  <w:r>
                    <w:rPr>
                      <w:rFonts w:hint="eastAsia" w:ascii="Times New Roman" w:hAnsi="Times New Roman" w:eastAsia="宋体"/>
                      <w:b/>
                      <w:bCs/>
                      <w:color w:val="auto"/>
                      <w:szCs w:val="21"/>
                      <w:highlight w:val="none"/>
                    </w:rPr>
                    <w:t>监测频次</w:t>
                  </w:r>
                </w:p>
              </w:tc>
              <w:tc>
                <w:tcPr>
                  <w:tcW w:w="1107" w:type="dxa"/>
                  <w:noWrap w:val="0"/>
                  <w:vAlign w:val="center"/>
                </w:tcPr>
                <w:p w14:paraId="09C271C4">
                  <w:pPr>
                    <w:pStyle w:val="126"/>
                    <w:jc w:val="center"/>
                    <w:rPr>
                      <w:rFonts w:hint="eastAsia" w:ascii="Times New Roman" w:hAnsi="Times New Roman" w:eastAsia="宋体"/>
                      <w:b/>
                      <w:bCs/>
                      <w:color w:val="auto"/>
                      <w:szCs w:val="21"/>
                      <w:highlight w:val="none"/>
                    </w:rPr>
                  </w:pPr>
                  <w:r>
                    <w:rPr>
                      <w:rFonts w:hint="eastAsia" w:ascii="Times New Roman" w:hAnsi="Times New Roman" w:eastAsia="宋体"/>
                      <w:b/>
                      <w:bCs/>
                      <w:color w:val="auto"/>
                      <w:szCs w:val="21"/>
                      <w:highlight w:val="none"/>
                    </w:rPr>
                    <w:t>执行机构</w:t>
                  </w:r>
                </w:p>
              </w:tc>
            </w:tr>
            <w:tr w14:paraId="751C44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576" w:type="dxa"/>
                  <w:vMerge w:val="restart"/>
                  <w:noWrap w:val="0"/>
                  <w:vAlign w:val="center"/>
                </w:tcPr>
                <w:p w14:paraId="6F053CB6">
                  <w:pPr>
                    <w:pStyle w:val="126"/>
                    <w:jc w:val="center"/>
                    <w:rPr>
                      <w:rFonts w:hint="eastAsia" w:ascii="Times New Roman" w:hAnsi="Times New Roman" w:eastAsia="宋体"/>
                      <w:color w:val="auto"/>
                      <w:szCs w:val="21"/>
                      <w:highlight w:val="none"/>
                    </w:rPr>
                  </w:pPr>
                  <w:r>
                    <w:rPr>
                      <w:rFonts w:hint="eastAsia" w:ascii="Times New Roman" w:hAnsi="Times New Roman" w:eastAsia="宋体"/>
                      <w:color w:val="auto"/>
                      <w:szCs w:val="21"/>
                      <w:highlight w:val="none"/>
                    </w:rPr>
                    <w:t>废气</w:t>
                  </w:r>
                </w:p>
              </w:tc>
              <w:tc>
                <w:tcPr>
                  <w:tcW w:w="660" w:type="dxa"/>
                  <w:vMerge w:val="restart"/>
                  <w:noWrap w:val="0"/>
                  <w:vAlign w:val="center"/>
                </w:tcPr>
                <w:p w14:paraId="3AF87CBF">
                  <w:pPr>
                    <w:pStyle w:val="126"/>
                    <w:jc w:val="center"/>
                    <w:rPr>
                      <w:rFonts w:hint="eastAsia" w:ascii="Times New Roman" w:hAnsi="Times New Roman" w:eastAsia="宋体"/>
                      <w:color w:val="auto"/>
                      <w:szCs w:val="21"/>
                      <w:highlight w:val="none"/>
                    </w:rPr>
                  </w:pPr>
                  <w:r>
                    <w:rPr>
                      <w:rFonts w:hint="eastAsia" w:ascii="Times New Roman" w:hAnsi="Times New Roman" w:eastAsia="宋体"/>
                      <w:color w:val="auto"/>
                      <w:szCs w:val="21"/>
                      <w:highlight w:val="none"/>
                    </w:rPr>
                    <w:t>有组织</w:t>
                  </w:r>
                </w:p>
              </w:tc>
              <w:tc>
                <w:tcPr>
                  <w:tcW w:w="1513" w:type="dxa"/>
                  <w:noWrap w:val="0"/>
                  <w:vAlign w:val="center"/>
                </w:tcPr>
                <w:p w14:paraId="4F47D005">
                  <w:pPr>
                    <w:spacing w:line="340" w:lineRule="exact"/>
                    <w:ind w:firstLine="0" w:firstLineChars="0"/>
                    <w:jc w:val="center"/>
                    <w:rPr>
                      <w:rFonts w:hint="eastAsia" w:ascii="Times New Roman" w:hAnsi="Times New Roman" w:eastAsia="宋体" w:cs="Times New Roman"/>
                      <w:color w:val="auto"/>
                      <w:sz w:val="21"/>
                      <w:szCs w:val="21"/>
                      <w:highlight w:val="none"/>
                      <w:lang w:bidi="ar"/>
                    </w:rPr>
                  </w:pPr>
                  <w:r>
                    <w:rPr>
                      <w:rFonts w:hint="eastAsia" w:ascii="Times New Roman" w:hAnsi="Times New Roman" w:eastAsia="宋体" w:cs="Times New Roman"/>
                      <w:color w:val="auto"/>
                      <w:sz w:val="21"/>
                      <w:szCs w:val="21"/>
                      <w:highlight w:val="none"/>
                      <w:lang w:bidi="ar"/>
                    </w:rPr>
                    <w:t>排气筒DA001</w:t>
                  </w:r>
                </w:p>
                <w:p w14:paraId="2E5B3A15">
                  <w:pPr>
                    <w:spacing w:line="340" w:lineRule="exact"/>
                    <w:ind w:firstLine="0" w:firstLineChars="0"/>
                    <w:jc w:val="center"/>
                    <w:rPr>
                      <w:rFonts w:hint="eastAsia"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bidi="ar"/>
                    </w:rPr>
                    <w:t>排气筒DA004</w:t>
                  </w:r>
                  <w:r>
                    <w:rPr>
                      <w:rFonts w:hint="eastAsia" w:ascii="Times New Roman" w:hAnsi="Times New Roman" w:eastAsia="宋体" w:cs="Times New Roman"/>
                      <w:color w:val="auto"/>
                      <w:sz w:val="21"/>
                      <w:szCs w:val="21"/>
                      <w:highlight w:val="none"/>
                      <w:lang w:bidi="ar"/>
                    </w:rPr>
                    <w:t xml:space="preserve"> </w:t>
                  </w:r>
                </w:p>
              </w:tc>
              <w:tc>
                <w:tcPr>
                  <w:tcW w:w="2685" w:type="dxa"/>
                  <w:noWrap w:val="0"/>
                  <w:vAlign w:val="center"/>
                </w:tcPr>
                <w:p w14:paraId="019A5BAB">
                  <w:pPr>
                    <w:spacing w:line="340" w:lineRule="exact"/>
                    <w:ind w:firstLine="0" w:firstLineChars="0"/>
                    <w:jc w:val="center"/>
                    <w:rPr>
                      <w:rFonts w:hint="eastAsia"/>
                      <w:color w:val="auto"/>
                      <w:sz w:val="21"/>
                      <w:szCs w:val="21"/>
                      <w:highlight w:val="none"/>
                      <w:lang w:bidi="ar"/>
                    </w:rPr>
                  </w:pPr>
                  <w:r>
                    <w:rPr>
                      <w:rFonts w:hint="eastAsia" w:ascii="Times New Roman" w:hAnsi="Times New Roman" w:eastAsia="宋体" w:cs="Times New Roman"/>
                      <w:color w:val="auto"/>
                      <w:sz w:val="21"/>
                      <w:szCs w:val="21"/>
                      <w:highlight w:val="none"/>
                      <w:lang w:val="en-US" w:eastAsia="zh-CN" w:bidi="ar"/>
                    </w:rPr>
                    <w:t>颗粒物、二氧化硫、氮氧化物</w:t>
                  </w:r>
                </w:p>
              </w:tc>
              <w:tc>
                <w:tcPr>
                  <w:tcW w:w="1096" w:type="dxa"/>
                  <w:noWrap w:val="0"/>
                  <w:vAlign w:val="center"/>
                </w:tcPr>
                <w:p w14:paraId="742D6962">
                  <w:pPr>
                    <w:spacing w:line="340" w:lineRule="exact"/>
                    <w:ind w:firstLine="0" w:firstLineChars="0"/>
                    <w:jc w:val="center"/>
                    <w:rPr>
                      <w:rFonts w:hint="eastAsia" w:ascii="Times New Roman" w:hAnsi="Times New Roman" w:eastAsia="宋体"/>
                      <w:color w:val="auto"/>
                      <w:szCs w:val="21"/>
                      <w:highlight w:val="none"/>
                    </w:rPr>
                  </w:pPr>
                  <w:r>
                    <w:rPr>
                      <w:rFonts w:hint="eastAsia"/>
                      <w:color w:val="auto"/>
                      <w:sz w:val="21"/>
                      <w:szCs w:val="21"/>
                      <w:highlight w:val="none"/>
                      <w:lang w:bidi="ar"/>
                    </w:rPr>
                    <w:t>1次/半年</w:t>
                  </w:r>
                </w:p>
              </w:tc>
              <w:tc>
                <w:tcPr>
                  <w:tcW w:w="1107" w:type="dxa"/>
                  <w:vMerge w:val="restart"/>
                  <w:noWrap w:val="0"/>
                  <w:vAlign w:val="center"/>
                </w:tcPr>
                <w:p w14:paraId="2AB37961">
                  <w:pPr>
                    <w:pStyle w:val="126"/>
                    <w:jc w:val="center"/>
                    <w:rPr>
                      <w:rFonts w:hint="eastAsia" w:ascii="Times New Roman" w:hAnsi="Times New Roman" w:eastAsia="宋体"/>
                      <w:color w:val="auto"/>
                      <w:szCs w:val="21"/>
                      <w:highlight w:val="none"/>
                    </w:rPr>
                  </w:pPr>
                  <w:r>
                    <w:rPr>
                      <w:rFonts w:hint="eastAsia" w:ascii="Times New Roman" w:hAnsi="Times New Roman" w:eastAsia="宋体"/>
                      <w:color w:val="auto"/>
                      <w:szCs w:val="21"/>
                      <w:highlight w:val="none"/>
                    </w:rPr>
                    <w:t>企业委托有资质单位</w:t>
                  </w:r>
                </w:p>
              </w:tc>
            </w:tr>
            <w:tr w14:paraId="156A8D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576" w:type="dxa"/>
                  <w:vMerge w:val="continue"/>
                  <w:noWrap w:val="0"/>
                  <w:vAlign w:val="center"/>
                </w:tcPr>
                <w:p w14:paraId="3ADAA3A6">
                  <w:pPr>
                    <w:pStyle w:val="126"/>
                    <w:jc w:val="center"/>
                    <w:rPr>
                      <w:color w:val="auto"/>
                      <w:highlight w:val="none"/>
                    </w:rPr>
                  </w:pPr>
                </w:p>
              </w:tc>
              <w:tc>
                <w:tcPr>
                  <w:tcW w:w="660" w:type="dxa"/>
                  <w:vMerge w:val="continue"/>
                  <w:noWrap w:val="0"/>
                  <w:vAlign w:val="center"/>
                </w:tcPr>
                <w:p w14:paraId="12349DAD">
                  <w:pPr>
                    <w:pStyle w:val="126"/>
                    <w:jc w:val="center"/>
                    <w:rPr>
                      <w:color w:val="auto"/>
                      <w:highlight w:val="none"/>
                    </w:rPr>
                  </w:pPr>
                </w:p>
              </w:tc>
              <w:tc>
                <w:tcPr>
                  <w:tcW w:w="1513" w:type="dxa"/>
                  <w:vMerge w:val="restart"/>
                  <w:noWrap w:val="0"/>
                  <w:vAlign w:val="center"/>
                </w:tcPr>
                <w:p w14:paraId="1E499D1A">
                  <w:pPr>
                    <w:spacing w:line="340" w:lineRule="exact"/>
                    <w:ind w:firstLine="0" w:firstLineChars="0"/>
                    <w:jc w:val="center"/>
                    <w:rPr>
                      <w:rFonts w:hint="eastAsia"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sz w:val="21"/>
                      <w:szCs w:val="21"/>
                      <w:highlight w:val="none"/>
                      <w:lang w:bidi="ar"/>
                    </w:rPr>
                    <w:t>排气筒DA00</w:t>
                  </w:r>
                  <w:r>
                    <w:rPr>
                      <w:rFonts w:hint="eastAsia" w:ascii="Times New Roman" w:hAnsi="Times New Roman" w:eastAsia="宋体" w:cs="Times New Roman"/>
                      <w:color w:val="auto"/>
                      <w:sz w:val="21"/>
                      <w:szCs w:val="21"/>
                      <w:highlight w:val="none"/>
                      <w:lang w:val="en-US" w:eastAsia="zh-CN" w:bidi="ar"/>
                    </w:rPr>
                    <w:t>2</w:t>
                  </w:r>
                </w:p>
                <w:p w14:paraId="39E0DD50">
                  <w:pPr>
                    <w:spacing w:line="3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bidi="ar"/>
                    </w:rPr>
                    <w:t>排气筒DA005</w:t>
                  </w:r>
                </w:p>
              </w:tc>
              <w:tc>
                <w:tcPr>
                  <w:tcW w:w="2685" w:type="dxa"/>
                  <w:noWrap w:val="0"/>
                  <w:vAlign w:val="center"/>
                </w:tcPr>
                <w:p w14:paraId="2C332A1C">
                  <w:pPr>
                    <w:pStyle w:val="73"/>
                    <w:spacing w:line="240" w:lineRule="auto"/>
                    <w:ind w:firstLine="0" w:firstLineChars="0"/>
                    <w:jc w:val="center"/>
                    <w:rPr>
                      <w:rFonts w:hint="eastAsia" w:ascii="Times New Roman" w:hAnsi="Times New Roman" w:eastAsia="宋体" w:cs="Times New Roman"/>
                      <w:color w:val="auto"/>
                      <w:sz w:val="21"/>
                      <w:szCs w:val="21"/>
                      <w:highlight w:val="none"/>
                      <w:lang w:bidi="ar"/>
                    </w:rPr>
                  </w:pPr>
                  <w:r>
                    <w:rPr>
                      <w:rFonts w:hint="eastAsia" w:cs="Times New Roman"/>
                      <w:color w:val="auto"/>
                      <w:kern w:val="0"/>
                      <w:sz w:val="21"/>
                      <w:szCs w:val="21"/>
                      <w:highlight w:val="none"/>
                      <w:lang w:val="en-US" w:eastAsia="zh-CN" w:bidi="ar-SA"/>
                    </w:rPr>
                    <w:t>颗粒物、二氧化硫、林格曼黑度</w:t>
                  </w:r>
                </w:p>
              </w:tc>
              <w:tc>
                <w:tcPr>
                  <w:tcW w:w="1096" w:type="dxa"/>
                  <w:noWrap w:val="0"/>
                  <w:vAlign w:val="center"/>
                </w:tcPr>
                <w:p w14:paraId="03376B84">
                  <w:pPr>
                    <w:spacing w:line="340" w:lineRule="exact"/>
                    <w:ind w:firstLine="0" w:firstLineChars="0"/>
                    <w:jc w:val="center"/>
                    <w:rPr>
                      <w:rFonts w:hint="eastAsia" w:ascii="Times New Roman" w:hAnsi="Times New Roman" w:eastAsia="宋体"/>
                      <w:color w:val="auto"/>
                      <w:szCs w:val="21"/>
                      <w:highlight w:val="none"/>
                      <w:lang w:bidi="ar"/>
                    </w:rPr>
                  </w:pPr>
                  <w:r>
                    <w:rPr>
                      <w:rFonts w:hint="eastAsia"/>
                      <w:color w:val="auto"/>
                      <w:sz w:val="21"/>
                      <w:szCs w:val="21"/>
                      <w:highlight w:val="none"/>
                      <w:lang w:bidi="ar"/>
                    </w:rPr>
                    <w:t>1次/年</w:t>
                  </w:r>
                </w:p>
              </w:tc>
              <w:tc>
                <w:tcPr>
                  <w:tcW w:w="1107" w:type="dxa"/>
                  <w:vMerge w:val="continue"/>
                  <w:noWrap w:val="0"/>
                  <w:vAlign w:val="center"/>
                </w:tcPr>
                <w:p w14:paraId="0237BBEA">
                  <w:pPr>
                    <w:pStyle w:val="126"/>
                    <w:jc w:val="center"/>
                    <w:rPr>
                      <w:rFonts w:hint="eastAsia" w:ascii="Times New Roman" w:hAnsi="Times New Roman" w:eastAsia="宋体"/>
                      <w:color w:val="auto"/>
                      <w:szCs w:val="21"/>
                      <w:highlight w:val="none"/>
                      <w:lang w:bidi="ar"/>
                    </w:rPr>
                  </w:pPr>
                </w:p>
              </w:tc>
            </w:tr>
            <w:tr w14:paraId="07C34A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576" w:type="dxa"/>
                  <w:vMerge w:val="continue"/>
                  <w:noWrap w:val="0"/>
                  <w:vAlign w:val="center"/>
                </w:tcPr>
                <w:p w14:paraId="5A0BB481">
                  <w:pPr>
                    <w:pStyle w:val="126"/>
                    <w:jc w:val="center"/>
                    <w:rPr>
                      <w:color w:val="auto"/>
                      <w:highlight w:val="none"/>
                    </w:rPr>
                  </w:pPr>
                </w:p>
              </w:tc>
              <w:tc>
                <w:tcPr>
                  <w:tcW w:w="660" w:type="dxa"/>
                  <w:vMerge w:val="continue"/>
                  <w:noWrap w:val="0"/>
                  <w:vAlign w:val="center"/>
                </w:tcPr>
                <w:p w14:paraId="44577895">
                  <w:pPr>
                    <w:pStyle w:val="126"/>
                    <w:jc w:val="center"/>
                    <w:rPr>
                      <w:color w:val="auto"/>
                      <w:highlight w:val="none"/>
                    </w:rPr>
                  </w:pPr>
                </w:p>
              </w:tc>
              <w:tc>
                <w:tcPr>
                  <w:tcW w:w="1513" w:type="dxa"/>
                  <w:vMerge w:val="continue"/>
                  <w:noWrap w:val="0"/>
                  <w:vAlign w:val="center"/>
                </w:tcPr>
                <w:p w14:paraId="0F687DE9">
                  <w:pPr>
                    <w:spacing w:line="340" w:lineRule="exact"/>
                    <w:ind w:firstLine="0" w:firstLineChars="0"/>
                    <w:jc w:val="center"/>
                    <w:rPr>
                      <w:rFonts w:hint="eastAsia"/>
                      <w:color w:val="auto"/>
                      <w:sz w:val="21"/>
                      <w:szCs w:val="21"/>
                      <w:highlight w:val="none"/>
                      <w:lang w:bidi="ar"/>
                    </w:rPr>
                  </w:pPr>
                </w:p>
              </w:tc>
              <w:tc>
                <w:tcPr>
                  <w:tcW w:w="2685" w:type="dxa"/>
                  <w:noWrap w:val="0"/>
                  <w:vAlign w:val="center"/>
                </w:tcPr>
                <w:p w14:paraId="5374721E">
                  <w:pPr>
                    <w:pStyle w:val="73"/>
                    <w:spacing w:line="240" w:lineRule="auto"/>
                    <w:ind w:firstLine="0" w:firstLineChars="0"/>
                    <w:jc w:val="center"/>
                    <w:rPr>
                      <w:rFonts w:hint="eastAsia"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氮氧化物</w:t>
                  </w:r>
                </w:p>
              </w:tc>
              <w:tc>
                <w:tcPr>
                  <w:tcW w:w="1096" w:type="dxa"/>
                  <w:noWrap w:val="0"/>
                  <w:vAlign w:val="center"/>
                </w:tcPr>
                <w:p w14:paraId="74F15F1F">
                  <w:pPr>
                    <w:spacing w:line="340" w:lineRule="exact"/>
                    <w:ind w:firstLine="0" w:firstLineChars="0"/>
                    <w:jc w:val="center"/>
                    <w:rPr>
                      <w:rFonts w:hint="eastAsia" w:eastAsia="宋体"/>
                      <w:color w:val="auto"/>
                      <w:sz w:val="21"/>
                      <w:szCs w:val="21"/>
                      <w:highlight w:val="none"/>
                      <w:lang w:val="en-US" w:eastAsia="zh-CN" w:bidi="ar"/>
                    </w:rPr>
                  </w:pPr>
                  <w:r>
                    <w:rPr>
                      <w:rFonts w:hint="eastAsia"/>
                      <w:color w:val="auto"/>
                      <w:sz w:val="21"/>
                      <w:szCs w:val="21"/>
                      <w:highlight w:val="none"/>
                      <w:lang w:bidi="ar"/>
                    </w:rPr>
                    <w:t>1次/</w:t>
                  </w:r>
                  <w:r>
                    <w:rPr>
                      <w:rFonts w:hint="eastAsia"/>
                      <w:color w:val="auto"/>
                      <w:sz w:val="21"/>
                      <w:szCs w:val="21"/>
                      <w:highlight w:val="none"/>
                      <w:lang w:val="en-US" w:eastAsia="zh-CN" w:bidi="ar"/>
                    </w:rPr>
                    <w:t>月</w:t>
                  </w:r>
                </w:p>
              </w:tc>
              <w:tc>
                <w:tcPr>
                  <w:tcW w:w="1107" w:type="dxa"/>
                  <w:vMerge w:val="continue"/>
                  <w:noWrap w:val="0"/>
                  <w:vAlign w:val="center"/>
                </w:tcPr>
                <w:p w14:paraId="4C154770">
                  <w:pPr>
                    <w:pStyle w:val="126"/>
                    <w:jc w:val="center"/>
                    <w:rPr>
                      <w:rFonts w:hint="eastAsia" w:ascii="Times New Roman" w:hAnsi="Times New Roman" w:eastAsia="宋体"/>
                      <w:color w:val="auto"/>
                      <w:szCs w:val="21"/>
                      <w:highlight w:val="none"/>
                      <w:lang w:bidi="ar"/>
                    </w:rPr>
                  </w:pPr>
                </w:p>
              </w:tc>
            </w:tr>
            <w:tr w14:paraId="102045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576" w:type="dxa"/>
                  <w:vMerge w:val="continue"/>
                  <w:noWrap w:val="0"/>
                  <w:vAlign w:val="center"/>
                </w:tcPr>
                <w:p w14:paraId="18AC0C3F">
                  <w:pPr>
                    <w:pStyle w:val="126"/>
                    <w:jc w:val="center"/>
                    <w:rPr>
                      <w:color w:val="auto"/>
                      <w:highlight w:val="none"/>
                    </w:rPr>
                  </w:pPr>
                </w:p>
              </w:tc>
              <w:tc>
                <w:tcPr>
                  <w:tcW w:w="660" w:type="dxa"/>
                  <w:vMerge w:val="continue"/>
                  <w:noWrap w:val="0"/>
                  <w:vAlign w:val="center"/>
                </w:tcPr>
                <w:p w14:paraId="35159B9D">
                  <w:pPr>
                    <w:pStyle w:val="126"/>
                    <w:jc w:val="center"/>
                    <w:rPr>
                      <w:color w:val="auto"/>
                      <w:highlight w:val="none"/>
                    </w:rPr>
                  </w:pPr>
                </w:p>
              </w:tc>
              <w:tc>
                <w:tcPr>
                  <w:tcW w:w="1513" w:type="dxa"/>
                  <w:noWrap w:val="0"/>
                  <w:vAlign w:val="center"/>
                </w:tcPr>
                <w:p w14:paraId="61749C6D">
                  <w:pPr>
                    <w:spacing w:line="340" w:lineRule="exact"/>
                    <w:ind w:firstLine="0" w:firstLineChars="0"/>
                    <w:jc w:val="center"/>
                    <w:rPr>
                      <w:rFonts w:hint="eastAsia"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sz w:val="21"/>
                      <w:szCs w:val="21"/>
                      <w:highlight w:val="none"/>
                      <w:lang w:bidi="ar"/>
                    </w:rPr>
                    <w:t>排气筒DA00</w:t>
                  </w:r>
                  <w:r>
                    <w:rPr>
                      <w:rFonts w:hint="eastAsia" w:ascii="Times New Roman" w:hAnsi="Times New Roman" w:eastAsia="宋体" w:cs="Times New Roman"/>
                      <w:color w:val="auto"/>
                      <w:sz w:val="21"/>
                      <w:szCs w:val="21"/>
                      <w:highlight w:val="none"/>
                      <w:lang w:val="en-US" w:eastAsia="zh-CN" w:bidi="ar"/>
                    </w:rPr>
                    <w:t>3</w:t>
                  </w:r>
                </w:p>
                <w:p w14:paraId="1067FEE2">
                  <w:pPr>
                    <w:spacing w:line="340" w:lineRule="exact"/>
                    <w:ind w:firstLine="0" w:firstLineChars="0"/>
                    <w:jc w:val="center"/>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bidi="ar"/>
                    </w:rPr>
                    <w:t>排气筒DA006</w:t>
                  </w:r>
                </w:p>
              </w:tc>
              <w:tc>
                <w:tcPr>
                  <w:tcW w:w="2685" w:type="dxa"/>
                  <w:noWrap w:val="0"/>
                  <w:vAlign w:val="center"/>
                </w:tcPr>
                <w:p w14:paraId="7B91AF13">
                  <w:pPr>
                    <w:spacing w:line="340" w:lineRule="exact"/>
                    <w:ind w:firstLine="0" w:firstLineChars="0"/>
                    <w:jc w:val="center"/>
                    <w:rPr>
                      <w:rFonts w:hint="default"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bidi="ar"/>
                    </w:rPr>
                    <w:t>沥青烟、苯并[a]</w:t>
                  </w:r>
                  <w:r>
                    <w:rPr>
                      <w:rFonts w:hint="default" w:ascii="Times New Roman" w:hAnsi="Times New Roman" w:eastAsia="宋体" w:cs="Times New Roman"/>
                      <w:color w:val="auto"/>
                      <w:sz w:val="21"/>
                      <w:szCs w:val="21"/>
                      <w:highlight w:val="none"/>
                      <w:lang w:val="en-US" w:eastAsia="zh-CN" w:bidi="ar"/>
                    </w:rPr>
                    <w:t>芘</w:t>
                  </w:r>
                </w:p>
              </w:tc>
              <w:tc>
                <w:tcPr>
                  <w:tcW w:w="1096" w:type="dxa"/>
                  <w:noWrap w:val="0"/>
                  <w:vAlign w:val="center"/>
                </w:tcPr>
                <w:p w14:paraId="2213A25F">
                  <w:pPr>
                    <w:spacing w:line="340" w:lineRule="exact"/>
                    <w:ind w:firstLine="0" w:firstLineChars="0"/>
                    <w:jc w:val="center"/>
                    <w:rPr>
                      <w:rFonts w:hint="eastAsia" w:ascii="Times New Roman" w:hAnsi="Times New Roman" w:eastAsia="宋体"/>
                      <w:color w:val="auto"/>
                      <w:szCs w:val="21"/>
                      <w:highlight w:val="none"/>
                    </w:rPr>
                  </w:pPr>
                  <w:r>
                    <w:rPr>
                      <w:rFonts w:hint="eastAsia"/>
                      <w:color w:val="auto"/>
                      <w:sz w:val="21"/>
                      <w:szCs w:val="21"/>
                      <w:highlight w:val="none"/>
                      <w:lang w:bidi="ar"/>
                    </w:rPr>
                    <w:t>1次/年</w:t>
                  </w:r>
                </w:p>
              </w:tc>
              <w:tc>
                <w:tcPr>
                  <w:tcW w:w="1107" w:type="dxa"/>
                  <w:vMerge w:val="continue"/>
                  <w:noWrap w:val="0"/>
                  <w:vAlign w:val="center"/>
                </w:tcPr>
                <w:p w14:paraId="0519A710">
                  <w:pPr>
                    <w:pStyle w:val="126"/>
                    <w:jc w:val="center"/>
                    <w:rPr>
                      <w:rFonts w:hint="eastAsia" w:ascii="Times New Roman" w:hAnsi="Times New Roman" w:eastAsia="宋体"/>
                      <w:color w:val="auto"/>
                      <w:szCs w:val="21"/>
                      <w:highlight w:val="none"/>
                      <w:lang w:bidi="ar"/>
                    </w:rPr>
                  </w:pPr>
                </w:p>
              </w:tc>
            </w:tr>
            <w:tr w14:paraId="3F39F1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576" w:type="dxa"/>
                  <w:vMerge w:val="continue"/>
                  <w:noWrap w:val="0"/>
                  <w:vAlign w:val="center"/>
                </w:tcPr>
                <w:p w14:paraId="25E7CF04">
                  <w:pPr>
                    <w:pStyle w:val="126"/>
                    <w:jc w:val="center"/>
                    <w:rPr>
                      <w:rFonts w:hint="eastAsia" w:ascii="Times New Roman" w:hAnsi="Times New Roman" w:eastAsia="宋体"/>
                      <w:color w:val="auto"/>
                      <w:szCs w:val="21"/>
                      <w:highlight w:val="none"/>
                    </w:rPr>
                  </w:pPr>
                </w:p>
              </w:tc>
              <w:tc>
                <w:tcPr>
                  <w:tcW w:w="660" w:type="dxa"/>
                  <w:noWrap w:val="0"/>
                  <w:vAlign w:val="center"/>
                </w:tcPr>
                <w:p w14:paraId="2AC84700">
                  <w:pPr>
                    <w:pStyle w:val="126"/>
                    <w:jc w:val="center"/>
                    <w:rPr>
                      <w:rFonts w:hint="eastAsia" w:ascii="Times New Roman" w:hAnsi="Times New Roman" w:eastAsia="宋体"/>
                      <w:color w:val="auto"/>
                      <w:szCs w:val="21"/>
                      <w:highlight w:val="none"/>
                    </w:rPr>
                  </w:pPr>
                  <w:r>
                    <w:rPr>
                      <w:rFonts w:hint="eastAsia" w:ascii="Times New Roman" w:hAnsi="Times New Roman" w:eastAsia="宋体"/>
                      <w:color w:val="auto"/>
                      <w:szCs w:val="21"/>
                      <w:highlight w:val="none"/>
                    </w:rPr>
                    <w:t>无组织</w:t>
                  </w:r>
                </w:p>
              </w:tc>
              <w:tc>
                <w:tcPr>
                  <w:tcW w:w="1513" w:type="dxa"/>
                  <w:noWrap w:val="0"/>
                  <w:vAlign w:val="center"/>
                </w:tcPr>
                <w:p w14:paraId="08FC9F76">
                  <w:pPr>
                    <w:spacing w:line="340" w:lineRule="exact"/>
                    <w:ind w:firstLine="0" w:firstLineChars="0"/>
                    <w:jc w:val="center"/>
                    <w:rPr>
                      <w:rFonts w:hint="eastAsia"/>
                      <w:color w:val="auto"/>
                      <w:sz w:val="21"/>
                      <w:szCs w:val="21"/>
                      <w:highlight w:val="none"/>
                    </w:rPr>
                  </w:pPr>
                  <w:r>
                    <w:rPr>
                      <w:rFonts w:hint="eastAsia"/>
                      <w:color w:val="auto"/>
                      <w:sz w:val="21"/>
                      <w:szCs w:val="21"/>
                      <w:highlight w:val="none"/>
                      <w:lang w:bidi="ar"/>
                    </w:rPr>
                    <w:t>厂界</w:t>
                  </w:r>
                </w:p>
              </w:tc>
              <w:tc>
                <w:tcPr>
                  <w:tcW w:w="2685" w:type="dxa"/>
                  <w:noWrap w:val="0"/>
                  <w:vAlign w:val="center"/>
                </w:tcPr>
                <w:p w14:paraId="4F8D54C1">
                  <w:pPr>
                    <w:spacing w:line="340" w:lineRule="exact"/>
                    <w:ind w:firstLine="0" w:firstLineChars="0"/>
                    <w:jc w:val="center"/>
                    <w:rPr>
                      <w:rFonts w:hint="eastAsia" w:eastAsia="宋体"/>
                      <w:color w:val="auto"/>
                      <w:sz w:val="21"/>
                      <w:szCs w:val="21"/>
                      <w:highlight w:val="none"/>
                      <w:lang w:eastAsia="zh-CN" w:bidi="ar"/>
                    </w:rPr>
                  </w:pPr>
                  <w:r>
                    <w:rPr>
                      <w:rFonts w:hint="eastAsia" w:ascii="Times New Roman" w:hAnsi="Times New Roman" w:eastAsia="宋体" w:cs="Times New Roman"/>
                      <w:color w:val="auto"/>
                      <w:sz w:val="21"/>
                      <w:szCs w:val="21"/>
                      <w:highlight w:val="none"/>
                      <w:lang w:val="en-US" w:eastAsia="zh-CN" w:bidi="ar"/>
                    </w:rPr>
                    <w:t>颗粒物、苯并[a]</w:t>
                  </w:r>
                  <w:r>
                    <w:rPr>
                      <w:rFonts w:hint="default" w:ascii="Times New Roman" w:hAnsi="Times New Roman" w:eastAsia="宋体" w:cs="Times New Roman"/>
                      <w:color w:val="auto"/>
                      <w:sz w:val="21"/>
                      <w:szCs w:val="21"/>
                      <w:highlight w:val="none"/>
                      <w:lang w:val="en-US" w:eastAsia="zh-CN" w:bidi="ar"/>
                    </w:rPr>
                    <w:t>芘</w:t>
                  </w:r>
                </w:p>
              </w:tc>
              <w:tc>
                <w:tcPr>
                  <w:tcW w:w="1096" w:type="dxa"/>
                  <w:noWrap w:val="0"/>
                  <w:vAlign w:val="center"/>
                </w:tcPr>
                <w:p w14:paraId="1CB8551E">
                  <w:pPr>
                    <w:spacing w:line="340" w:lineRule="exact"/>
                    <w:ind w:firstLine="0" w:firstLineChars="0"/>
                    <w:jc w:val="center"/>
                    <w:rPr>
                      <w:rFonts w:hint="eastAsia"/>
                      <w:color w:val="auto"/>
                      <w:szCs w:val="21"/>
                      <w:highlight w:val="none"/>
                    </w:rPr>
                  </w:pPr>
                  <w:r>
                    <w:rPr>
                      <w:rFonts w:hint="eastAsia"/>
                      <w:color w:val="auto"/>
                      <w:sz w:val="21"/>
                      <w:szCs w:val="21"/>
                      <w:highlight w:val="none"/>
                      <w:lang w:bidi="ar"/>
                    </w:rPr>
                    <w:t>1次/年</w:t>
                  </w:r>
                </w:p>
              </w:tc>
              <w:tc>
                <w:tcPr>
                  <w:tcW w:w="1107" w:type="dxa"/>
                  <w:vMerge w:val="continue"/>
                  <w:noWrap w:val="0"/>
                  <w:vAlign w:val="center"/>
                </w:tcPr>
                <w:p w14:paraId="3C76462F">
                  <w:pPr>
                    <w:pStyle w:val="126"/>
                    <w:jc w:val="center"/>
                    <w:rPr>
                      <w:rFonts w:hint="eastAsia" w:ascii="Times New Roman" w:hAnsi="Times New Roman" w:eastAsia="宋体"/>
                      <w:color w:val="auto"/>
                      <w:szCs w:val="21"/>
                      <w:highlight w:val="none"/>
                    </w:rPr>
                  </w:pPr>
                </w:p>
              </w:tc>
            </w:tr>
            <w:tr w14:paraId="0D2989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236" w:type="dxa"/>
                  <w:gridSpan w:val="2"/>
                  <w:noWrap w:val="0"/>
                  <w:vAlign w:val="center"/>
                </w:tcPr>
                <w:p w14:paraId="7D825B2D">
                  <w:pPr>
                    <w:pStyle w:val="126"/>
                    <w:jc w:val="center"/>
                    <w:rPr>
                      <w:rFonts w:hint="eastAsia" w:ascii="Times New Roman" w:hAnsi="Times New Roman" w:eastAsia="宋体"/>
                      <w:color w:val="auto"/>
                      <w:szCs w:val="21"/>
                      <w:highlight w:val="none"/>
                    </w:rPr>
                  </w:pPr>
                  <w:r>
                    <w:rPr>
                      <w:rFonts w:hint="eastAsia" w:ascii="Times New Roman" w:hAnsi="Times New Roman" w:eastAsia="宋体"/>
                      <w:color w:val="auto"/>
                      <w:szCs w:val="21"/>
                      <w:highlight w:val="none"/>
                    </w:rPr>
                    <w:t>噪声</w:t>
                  </w:r>
                </w:p>
              </w:tc>
              <w:tc>
                <w:tcPr>
                  <w:tcW w:w="1513" w:type="dxa"/>
                  <w:noWrap w:val="0"/>
                  <w:vAlign w:val="center"/>
                </w:tcPr>
                <w:p w14:paraId="5CB220D8">
                  <w:pPr>
                    <w:pStyle w:val="126"/>
                    <w:jc w:val="center"/>
                    <w:rPr>
                      <w:rFonts w:hint="eastAsia" w:ascii="Times New Roman" w:hAnsi="Times New Roman" w:eastAsia="宋体"/>
                      <w:color w:val="auto"/>
                      <w:szCs w:val="21"/>
                      <w:highlight w:val="none"/>
                    </w:rPr>
                  </w:pPr>
                  <w:r>
                    <w:rPr>
                      <w:rFonts w:hint="eastAsia" w:ascii="Times New Roman" w:hAnsi="Times New Roman" w:eastAsia="宋体"/>
                      <w:color w:val="auto"/>
                      <w:szCs w:val="21"/>
                      <w:highlight w:val="none"/>
                    </w:rPr>
                    <w:t>厂界</w:t>
                  </w:r>
                </w:p>
              </w:tc>
              <w:tc>
                <w:tcPr>
                  <w:tcW w:w="2685" w:type="dxa"/>
                  <w:noWrap w:val="0"/>
                  <w:vAlign w:val="center"/>
                </w:tcPr>
                <w:p w14:paraId="7F95AB40">
                  <w:pPr>
                    <w:pStyle w:val="126"/>
                    <w:jc w:val="center"/>
                    <w:rPr>
                      <w:rFonts w:hint="eastAsia" w:ascii="Times New Roman" w:hAnsi="Times New Roman" w:eastAsia="宋体"/>
                      <w:color w:val="auto"/>
                      <w:szCs w:val="21"/>
                      <w:highlight w:val="none"/>
                    </w:rPr>
                  </w:pPr>
                  <w:r>
                    <w:rPr>
                      <w:rFonts w:hint="eastAsia" w:ascii="Times New Roman" w:hAnsi="Times New Roman" w:eastAsia="宋体"/>
                      <w:color w:val="auto"/>
                      <w:szCs w:val="21"/>
                      <w:highlight w:val="none"/>
                    </w:rPr>
                    <w:t>昼夜间等效连续A声级</w:t>
                  </w:r>
                </w:p>
              </w:tc>
              <w:tc>
                <w:tcPr>
                  <w:tcW w:w="1096" w:type="dxa"/>
                  <w:noWrap w:val="0"/>
                  <w:vAlign w:val="center"/>
                </w:tcPr>
                <w:p w14:paraId="441B9011">
                  <w:pPr>
                    <w:pStyle w:val="126"/>
                    <w:jc w:val="center"/>
                    <w:rPr>
                      <w:rFonts w:hint="eastAsia" w:ascii="Times New Roman" w:hAnsi="Times New Roman" w:eastAsia="宋体"/>
                      <w:color w:val="auto"/>
                      <w:szCs w:val="21"/>
                      <w:highlight w:val="none"/>
                    </w:rPr>
                  </w:pPr>
                  <w:r>
                    <w:rPr>
                      <w:rFonts w:hint="eastAsia" w:ascii="Times New Roman" w:hAnsi="Times New Roman" w:eastAsia="宋体"/>
                      <w:color w:val="auto"/>
                      <w:szCs w:val="21"/>
                      <w:highlight w:val="none"/>
                    </w:rPr>
                    <w:t>1次/季度</w:t>
                  </w:r>
                </w:p>
              </w:tc>
              <w:tc>
                <w:tcPr>
                  <w:tcW w:w="1107" w:type="dxa"/>
                  <w:vMerge w:val="continue"/>
                  <w:noWrap w:val="0"/>
                  <w:vAlign w:val="center"/>
                </w:tcPr>
                <w:p w14:paraId="45569D72">
                  <w:pPr>
                    <w:pStyle w:val="126"/>
                    <w:jc w:val="center"/>
                    <w:rPr>
                      <w:rFonts w:hint="eastAsia" w:ascii="Times New Roman" w:hAnsi="Times New Roman" w:eastAsia="宋体"/>
                      <w:color w:val="auto"/>
                      <w:szCs w:val="21"/>
                      <w:highlight w:val="none"/>
                    </w:rPr>
                  </w:pPr>
                </w:p>
              </w:tc>
            </w:tr>
          </w:tbl>
          <w:p w14:paraId="0EF503CE">
            <w:pPr>
              <w:adjustRightInd w:val="0"/>
              <w:snapToGrid w:val="0"/>
              <w:spacing w:before="120" w:beforeLines="50"/>
              <w:ind w:firstLine="0" w:firstLineChars="0"/>
              <w:jc w:val="left"/>
              <w:rPr>
                <w:rFonts w:hint="eastAsia"/>
                <w:b/>
                <w:bCs/>
                <w:color w:val="auto"/>
                <w:highlight w:val="none"/>
              </w:rPr>
            </w:pPr>
            <w:r>
              <w:rPr>
                <w:rFonts w:hint="eastAsia"/>
                <w:b/>
                <w:bCs/>
                <w:color w:val="auto"/>
                <w:highlight w:val="none"/>
              </w:rPr>
              <w:t xml:space="preserve">3、竣工环境保护验收 </w:t>
            </w:r>
          </w:p>
          <w:p w14:paraId="60ADB047">
            <w:pPr>
              <w:ind w:firstLine="480"/>
              <w:rPr>
                <w:rFonts w:hint="eastAsia"/>
                <w:color w:val="auto"/>
                <w:highlight w:val="none"/>
              </w:rPr>
            </w:pPr>
            <w:r>
              <w:rPr>
                <w:rFonts w:hint="eastAsia"/>
                <w:color w:val="auto"/>
                <w:highlight w:val="none"/>
              </w:rPr>
              <w:t>根据《建设项目竣工环境保护验收暂行办法》的规定，建设项目竣工后，建设单位应当如实查验、监测、记载建设项目环境保护设施的建设和调试情况，编制验收监测报告表。同时需公开相关信息，接受社会监督，确保建设项目需要配套建设的环境保护设施与主体工程同时投产或者使用，并对验收内容、结论和所公开信息的真实性、准确性和完整性负责，不得在验收过程中弄虚作假。</w:t>
            </w:r>
          </w:p>
          <w:p w14:paraId="3FD27F58">
            <w:pPr>
              <w:ind w:firstLine="0" w:firstLineChars="0"/>
              <w:jc w:val="left"/>
              <w:rPr>
                <w:rFonts w:hint="eastAsia"/>
                <w:b/>
                <w:bCs/>
                <w:color w:val="auto"/>
                <w:highlight w:val="none"/>
              </w:rPr>
            </w:pPr>
            <w:r>
              <w:rPr>
                <w:rFonts w:hint="eastAsia"/>
                <w:b/>
                <w:bCs/>
                <w:color w:val="auto"/>
                <w:highlight w:val="none"/>
              </w:rPr>
              <w:t>4、环境管理措施</w:t>
            </w:r>
          </w:p>
          <w:p w14:paraId="494BFFF9">
            <w:pPr>
              <w:ind w:firstLine="480"/>
              <w:rPr>
                <w:rFonts w:hint="eastAsia"/>
                <w:color w:val="auto"/>
                <w:highlight w:val="none"/>
              </w:rPr>
            </w:pPr>
            <w:r>
              <w:rPr>
                <w:rFonts w:hint="eastAsia"/>
                <w:color w:val="auto"/>
                <w:highlight w:val="none"/>
              </w:rPr>
              <w:t>（1）建立</w:t>
            </w:r>
            <w:r>
              <w:rPr>
                <w:rFonts w:hint="eastAsia"/>
                <w:color w:val="auto"/>
                <w:highlight w:val="none"/>
                <w:lang w:eastAsia="zh-CN"/>
              </w:rPr>
              <w:t>健全</w:t>
            </w:r>
            <w:r>
              <w:rPr>
                <w:rFonts w:hint="eastAsia"/>
                <w:color w:val="auto"/>
                <w:highlight w:val="none"/>
              </w:rPr>
              <w:t>环境管理制度</w:t>
            </w:r>
          </w:p>
          <w:p w14:paraId="4A5BF47E">
            <w:pPr>
              <w:ind w:firstLine="480"/>
              <w:rPr>
                <w:rFonts w:hint="eastAsia"/>
                <w:color w:val="auto"/>
                <w:highlight w:val="none"/>
              </w:rPr>
            </w:pPr>
            <w:r>
              <w:rPr>
                <w:rFonts w:hint="eastAsia"/>
                <w:color w:val="auto"/>
                <w:highlight w:val="none"/>
              </w:rPr>
              <w:t>必须做好环保“三同时”工作，加强对职工的安全和环保教育，进行生产过程中环境保护的培训，形成良好的环境保护意识。</w:t>
            </w:r>
          </w:p>
          <w:p w14:paraId="64A7801D">
            <w:pPr>
              <w:bidi w:val="0"/>
              <w:rPr>
                <w:rFonts w:hint="eastAsia"/>
                <w:color w:val="auto"/>
                <w:highlight w:val="none"/>
              </w:rPr>
            </w:pPr>
            <w:r>
              <w:rPr>
                <w:rFonts w:hint="eastAsia"/>
                <w:color w:val="auto"/>
                <w:highlight w:val="none"/>
              </w:rPr>
              <w:t>（2）环境管理人员</w:t>
            </w:r>
          </w:p>
          <w:p w14:paraId="5A3A7054">
            <w:pPr>
              <w:bidi w:val="0"/>
              <w:rPr>
                <w:rFonts w:hint="eastAsia"/>
                <w:color w:val="auto"/>
                <w:highlight w:val="none"/>
              </w:rPr>
            </w:pPr>
            <w:r>
              <w:rPr>
                <w:rFonts w:hint="eastAsia"/>
                <w:color w:val="auto"/>
                <w:highlight w:val="none"/>
              </w:rPr>
              <w:t>设立专门的环保机构，由厂内专职管理技术人员兼</w:t>
            </w:r>
            <w:bookmarkStart w:id="55" w:name="_GoBack"/>
            <w:bookmarkEnd w:id="55"/>
            <w:r>
              <w:rPr>
                <w:rFonts w:hint="eastAsia"/>
                <w:color w:val="auto"/>
                <w:highlight w:val="none"/>
              </w:rPr>
              <w:t>职环保工作，具体负责环保设施的运行、检查、维护等工作。建立</w:t>
            </w:r>
            <w:r>
              <w:rPr>
                <w:rFonts w:hint="eastAsia"/>
                <w:color w:val="auto"/>
                <w:highlight w:val="none"/>
                <w:lang w:eastAsia="zh-CN"/>
              </w:rPr>
              <w:t>健全</w:t>
            </w:r>
            <w:r>
              <w:rPr>
                <w:rFonts w:hint="eastAsia"/>
                <w:color w:val="auto"/>
                <w:highlight w:val="none"/>
              </w:rPr>
              <w:t>环境管理制度，改善厂区环境。</w:t>
            </w:r>
          </w:p>
          <w:p w14:paraId="4E799E50">
            <w:pPr>
              <w:bidi w:val="0"/>
              <w:ind w:left="0" w:leftChars="0" w:firstLine="0" w:firstLineChars="0"/>
              <w:rPr>
                <w:b/>
                <w:bCs/>
                <w:color w:val="auto"/>
                <w:highlight w:val="none"/>
              </w:rPr>
            </w:pPr>
            <w:r>
              <w:rPr>
                <w:rFonts w:hint="eastAsia"/>
                <w:b/>
                <w:bCs/>
                <w:color w:val="auto"/>
                <w:highlight w:val="none"/>
              </w:rPr>
              <w:t>5、</w:t>
            </w:r>
            <w:r>
              <w:rPr>
                <w:b/>
                <w:bCs/>
                <w:color w:val="auto"/>
                <w:highlight w:val="none"/>
              </w:rPr>
              <w:t>排污口规范化管理要求</w:t>
            </w:r>
          </w:p>
          <w:p w14:paraId="15E9DFEC">
            <w:pPr>
              <w:ind w:firstLine="480"/>
              <w:jc w:val="left"/>
              <w:rPr>
                <w:color w:val="auto"/>
                <w:highlight w:val="none"/>
              </w:rPr>
            </w:pPr>
            <w:r>
              <w:rPr>
                <w:color w:val="auto"/>
                <w:highlight w:val="none"/>
              </w:rPr>
              <w:t>项目排污口规范化图标按照《环境保护图形标志—排放口</w:t>
            </w:r>
            <w:r>
              <w:rPr>
                <w:rFonts w:hint="eastAsia"/>
                <w:color w:val="auto"/>
                <w:highlight w:val="none"/>
              </w:rPr>
              <w:t>（</w:t>
            </w:r>
            <w:r>
              <w:rPr>
                <w:color w:val="auto"/>
                <w:highlight w:val="none"/>
              </w:rPr>
              <w:t>源</w:t>
            </w:r>
            <w:r>
              <w:rPr>
                <w:rFonts w:hint="eastAsia"/>
                <w:color w:val="auto"/>
                <w:highlight w:val="none"/>
              </w:rPr>
              <w:t>）</w:t>
            </w:r>
            <w:r>
              <w:rPr>
                <w:color w:val="auto"/>
                <w:highlight w:val="none"/>
              </w:rPr>
              <w:t>》</w:t>
            </w:r>
            <w:r>
              <w:rPr>
                <w:rFonts w:hint="eastAsia"/>
                <w:color w:val="auto"/>
                <w:highlight w:val="none"/>
              </w:rPr>
              <w:t>（</w:t>
            </w:r>
            <w:r>
              <w:rPr>
                <w:color w:val="auto"/>
                <w:highlight w:val="none"/>
              </w:rPr>
              <w:t>GB15563.1-1995</w:t>
            </w:r>
            <w:r>
              <w:rPr>
                <w:rFonts w:hint="eastAsia"/>
                <w:color w:val="auto"/>
                <w:highlight w:val="none"/>
              </w:rPr>
              <w:t>）</w:t>
            </w:r>
            <w:r>
              <w:rPr>
                <w:color w:val="auto"/>
                <w:highlight w:val="none"/>
              </w:rPr>
              <w:t>要求进行，具体详见表</w:t>
            </w:r>
            <w:r>
              <w:rPr>
                <w:rFonts w:hint="eastAsia"/>
                <w:color w:val="auto"/>
                <w:highlight w:val="none"/>
              </w:rPr>
              <w:t>5</w:t>
            </w:r>
            <w:r>
              <w:rPr>
                <w:color w:val="auto"/>
                <w:highlight w:val="none"/>
              </w:rPr>
              <w:t>-1。</w:t>
            </w:r>
          </w:p>
          <w:p w14:paraId="00B244D6">
            <w:pPr>
              <w:ind w:firstLine="0" w:firstLineChars="0"/>
              <w:jc w:val="center"/>
              <w:rPr>
                <w:color w:val="auto"/>
                <w:highlight w:val="none"/>
              </w:rPr>
            </w:pPr>
            <w:r>
              <w:rPr>
                <w:b/>
                <w:color w:val="auto"/>
                <w:kern w:val="0"/>
                <w:highlight w:val="none"/>
              </w:rPr>
              <w:t>表</w:t>
            </w:r>
            <w:r>
              <w:rPr>
                <w:rFonts w:hint="eastAsia"/>
                <w:b/>
                <w:color w:val="auto"/>
                <w:kern w:val="0"/>
                <w:highlight w:val="none"/>
              </w:rPr>
              <w:t>5</w:t>
            </w:r>
            <w:r>
              <w:rPr>
                <w:b/>
                <w:color w:val="auto"/>
                <w:kern w:val="0"/>
                <w:highlight w:val="none"/>
              </w:rPr>
              <w:t>-1  排污口图形符号</w:t>
            </w:r>
            <w:r>
              <w:rPr>
                <w:rFonts w:hint="eastAsia"/>
                <w:b/>
                <w:color w:val="auto"/>
                <w:kern w:val="0"/>
                <w:highlight w:val="none"/>
              </w:rPr>
              <w:t>（</w:t>
            </w:r>
            <w:r>
              <w:rPr>
                <w:b/>
                <w:color w:val="auto"/>
                <w:kern w:val="0"/>
                <w:highlight w:val="none"/>
              </w:rPr>
              <w:t>提示标志</w:t>
            </w:r>
            <w:r>
              <w:rPr>
                <w:rFonts w:hint="eastAsia"/>
                <w:b/>
                <w:color w:val="auto"/>
                <w:kern w:val="0"/>
                <w:highlight w:val="none"/>
              </w:rPr>
              <w:t>）</w:t>
            </w:r>
            <w:r>
              <w:rPr>
                <w:b/>
                <w:color w:val="auto"/>
                <w:kern w:val="0"/>
                <w:highlight w:val="none"/>
              </w:rPr>
              <w:t>一览表</w:t>
            </w:r>
          </w:p>
          <w:tbl>
            <w:tblPr>
              <w:tblStyle w:val="27"/>
              <w:tblW w:w="0" w:type="auto"/>
              <w:jc w:val="center"/>
              <w:tblBorders>
                <w:top w:val="none" w:color="auto" w:sz="0" w:space="0"/>
                <w:left w:val="none" w:color="auto" w:sz="0" w:space="0"/>
                <w:bottom w:val="none" w:color="auto" w:sz="0"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705"/>
              <w:gridCol w:w="1036"/>
              <w:gridCol w:w="1195"/>
              <w:gridCol w:w="1195"/>
              <w:gridCol w:w="1239"/>
              <w:gridCol w:w="1154"/>
            </w:tblGrid>
            <w:tr w14:paraId="5FC1DB09">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PrEx>
              <w:trPr>
                <w:cantSplit/>
                <w:trHeight w:val="690" w:hRule="atLeast"/>
                <w:jc w:val="center"/>
              </w:trPr>
              <w:tc>
                <w:tcPr>
                  <w:tcW w:w="1705" w:type="dxa"/>
                  <w:tcBorders>
                    <w:top w:val="single" w:color="auto" w:sz="12" w:space="0"/>
                    <w:left w:val="nil"/>
                    <w:bottom w:val="single" w:color="auto" w:sz="6" w:space="0"/>
                    <w:right w:val="single" w:color="auto" w:sz="6" w:space="0"/>
                    <w:tl2br w:val="single" w:color="auto" w:sz="4" w:space="0"/>
                  </w:tcBorders>
                  <w:noWrap w:val="0"/>
                  <w:vAlign w:val="center"/>
                </w:tcPr>
                <w:p w14:paraId="6D785473">
                  <w:pPr>
                    <w:pStyle w:val="126"/>
                    <w:snapToGrid w:val="0"/>
                    <w:spacing w:line="340" w:lineRule="exact"/>
                    <w:ind w:firstLine="630" w:firstLineChars="300"/>
                    <w:rPr>
                      <w:rFonts w:ascii="Times New Roman" w:hAnsi="Times New Roman" w:eastAsia="宋体"/>
                      <w:color w:val="auto"/>
                      <w:szCs w:val="21"/>
                      <w:highlight w:val="none"/>
                      <w:lang w:val="en-GB"/>
                    </w:rPr>
                  </w:pPr>
                  <w:r>
                    <w:rPr>
                      <w:rFonts w:ascii="Times New Roman" w:hAnsi="Times New Roman" w:eastAsia="宋体"/>
                      <w:color w:val="auto"/>
                      <w:szCs w:val="21"/>
                      <w:highlight w:val="none"/>
                      <w:lang w:val="en-GB"/>
                    </w:rPr>
                    <w:t>排放部位</w:t>
                  </w:r>
                </w:p>
                <w:p w14:paraId="265D1EE8">
                  <w:pPr>
                    <w:pStyle w:val="126"/>
                    <w:snapToGrid w:val="0"/>
                    <w:spacing w:line="340" w:lineRule="exact"/>
                    <w:rPr>
                      <w:rFonts w:ascii="Times New Roman" w:hAnsi="Times New Roman" w:eastAsia="宋体"/>
                      <w:color w:val="auto"/>
                      <w:szCs w:val="21"/>
                      <w:highlight w:val="none"/>
                      <w:lang w:val="en-GB"/>
                    </w:rPr>
                  </w:pPr>
                  <w:r>
                    <w:rPr>
                      <w:rFonts w:ascii="Times New Roman" w:hAnsi="Times New Roman" w:eastAsia="宋体"/>
                      <w:color w:val="auto"/>
                      <w:szCs w:val="21"/>
                      <w:highlight w:val="none"/>
                      <w:lang w:val="en-GB"/>
                    </w:rPr>
                    <w:t>项目</w:t>
                  </w:r>
                </w:p>
              </w:tc>
              <w:tc>
                <w:tcPr>
                  <w:tcW w:w="1036" w:type="dxa"/>
                  <w:tcBorders>
                    <w:top w:val="single" w:color="auto" w:sz="12" w:space="0"/>
                    <w:left w:val="single" w:color="auto" w:sz="6" w:space="0"/>
                    <w:bottom w:val="single" w:color="auto" w:sz="6" w:space="0"/>
                    <w:right w:val="single" w:color="auto" w:sz="6" w:space="0"/>
                  </w:tcBorders>
                  <w:noWrap w:val="0"/>
                  <w:vAlign w:val="center"/>
                </w:tcPr>
                <w:p w14:paraId="5B062218">
                  <w:pPr>
                    <w:pStyle w:val="126"/>
                    <w:snapToGrid w:val="0"/>
                    <w:spacing w:line="340" w:lineRule="exact"/>
                    <w:jc w:val="center"/>
                    <w:rPr>
                      <w:rFonts w:ascii="Times New Roman" w:hAnsi="Times New Roman" w:eastAsia="宋体"/>
                      <w:color w:val="auto"/>
                      <w:szCs w:val="21"/>
                      <w:highlight w:val="none"/>
                      <w:lang w:val="en-GB"/>
                    </w:rPr>
                  </w:pPr>
                  <w:r>
                    <w:rPr>
                      <w:rFonts w:ascii="Times New Roman" w:hAnsi="Times New Roman" w:eastAsia="宋体"/>
                      <w:color w:val="auto"/>
                      <w:szCs w:val="21"/>
                      <w:highlight w:val="none"/>
                      <w:lang w:val="en-GB"/>
                    </w:rPr>
                    <w:t>污水排放口</w:t>
                  </w:r>
                </w:p>
              </w:tc>
              <w:tc>
                <w:tcPr>
                  <w:tcW w:w="1195" w:type="dxa"/>
                  <w:tcBorders>
                    <w:top w:val="single" w:color="auto" w:sz="12" w:space="0"/>
                    <w:left w:val="single" w:color="auto" w:sz="6" w:space="0"/>
                    <w:bottom w:val="single" w:color="auto" w:sz="6" w:space="0"/>
                    <w:right w:val="single" w:color="auto" w:sz="6" w:space="0"/>
                  </w:tcBorders>
                  <w:noWrap w:val="0"/>
                  <w:vAlign w:val="center"/>
                </w:tcPr>
                <w:p w14:paraId="0B530DDB">
                  <w:pPr>
                    <w:pStyle w:val="126"/>
                    <w:snapToGrid w:val="0"/>
                    <w:spacing w:line="340" w:lineRule="exact"/>
                    <w:jc w:val="center"/>
                    <w:rPr>
                      <w:rFonts w:ascii="Times New Roman" w:hAnsi="Times New Roman" w:eastAsia="宋体"/>
                      <w:color w:val="auto"/>
                      <w:szCs w:val="21"/>
                      <w:highlight w:val="none"/>
                      <w:lang w:val="en-GB"/>
                    </w:rPr>
                  </w:pPr>
                  <w:r>
                    <w:rPr>
                      <w:rFonts w:ascii="Times New Roman" w:hAnsi="Times New Roman" w:eastAsia="宋体"/>
                      <w:color w:val="auto"/>
                      <w:szCs w:val="21"/>
                      <w:highlight w:val="none"/>
                      <w:lang w:val="en-GB"/>
                    </w:rPr>
                    <w:t>废气排放口</w:t>
                  </w:r>
                </w:p>
              </w:tc>
              <w:tc>
                <w:tcPr>
                  <w:tcW w:w="1195" w:type="dxa"/>
                  <w:tcBorders>
                    <w:top w:val="single" w:color="auto" w:sz="12" w:space="0"/>
                    <w:left w:val="single" w:color="auto" w:sz="6" w:space="0"/>
                    <w:bottom w:val="single" w:color="auto" w:sz="6" w:space="0"/>
                    <w:right w:val="single" w:color="auto" w:sz="6" w:space="0"/>
                  </w:tcBorders>
                  <w:noWrap w:val="0"/>
                  <w:vAlign w:val="center"/>
                </w:tcPr>
                <w:p w14:paraId="346A2E64">
                  <w:pPr>
                    <w:pStyle w:val="126"/>
                    <w:snapToGrid w:val="0"/>
                    <w:spacing w:line="340" w:lineRule="exact"/>
                    <w:jc w:val="center"/>
                    <w:rPr>
                      <w:rFonts w:ascii="Times New Roman" w:hAnsi="Times New Roman" w:eastAsia="宋体"/>
                      <w:color w:val="auto"/>
                      <w:szCs w:val="21"/>
                      <w:highlight w:val="none"/>
                      <w:lang w:val="en-GB"/>
                    </w:rPr>
                  </w:pPr>
                  <w:r>
                    <w:rPr>
                      <w:rFonts w:ascii="Times New Roman" w:hAnsi="Times New Roman" w:eastAsia="宋体"/>
                      <w:color w:val="auto"/>
                      <w:szCs w:val="21"/>
                      <w:highlight w:val="none"/>
                      <w:lang w:val="en-GB"/>
                    </w:rPr>
                    <w:t>噪声排放源</w:t>
                  </w:r>
                </w:p>
              </w:tc>
              <w:tc>
                <w:tcPr>
                  <w:tcW w:w="1239" w:type="dxa"/>
                  <w:tcBorders>
                    <w:top w:val="single" w:color="auto" w:sz="12" w:space="0"/>
                    <w:left w:val="single" w:color="auto" w:sz="6" w:space="0"/>
                    <w:bottom w:val="single" w:color="auto" w:sz="6" w:space="0"/>
                    <w:right w:val="single" w:color="auto" w:sz="6" w:space="0"/>
                  </w:tcBorders>
                  <w:noWrap w:val="0"/>
                  <w:vAlign w:val="center"/>
                </w:tcPr>
                <w:p w14:paraId="5E74F2CB">
                  <w:pPr>
                    <w:pStyle w:val="126"/>
                    <w:snapToGrid w:val="0"/>
                    <w:spacing w:line="340" w:lineRule="exact"/>
                    <w:jc w:val="center"/>
                    <w:rPr>
                      <w:rFonts w:ascii="Times New Roman" w:hAnsi="Times New Roman" w:eastAsia="宋体"/>
                      <w:color w:val="auto"/>
                      <w:szCs w:val="21"/>
                      <w:highlight w:val="none"/>
                      <w:lang w:val="en-GB"/>
                    </w:rPr>
                  </w:pPr>
                  <w:r>
                    <w:rPr>
                      <w:rFonts w:ascii="Times New Roman" w:hAnsi="Times New Roman" w:eastAsia="宋体"/>
                      <w:color w:val="auto"/>
                      <w:szCs w:val="21"/>
                      <w:highlight w:val="none"/>
                      <w:lang w:val="en-GB"/>
                    </w:rPr>
                    <w:t>一般工业固废</w:t>
                  </w:r>
                </w:p>
              </w:tc>
              <w:tc>
                <w:tcPr>
                  <w:tcW w:w="1154" w:type="dxa"/>
                  <w:tcBorders>
                    <w:top w:val="single" w:color="auto" w:sz="12" w:space="0"/>
                    <w:left w:val="single" w:color="auto" w:sz="6" w:space="0"/>
                    <w:bottom w:val="single" w:color="auto" w:sz="6" w:space="0"/>
                    <w:right w:val="nil"/>
                  </w:tcBorders>
                  <w:noWrap w:val="0"/>
                  <w:vAlign w:val="center"/>
                </w:tcPr>
                <w:p w14:paraId="3C4AA189">
                  <w:pPr>
                    <w:pStyle w:val="126"/>
                    <w:snapToGrid w:val="0"/>
                    <w:spacing w:line="340" w:lineRule="exact"/>
                    <w:jc w:val="center"/>
                    <w:rPr>
                      <w:rFonts w:ascii="Times New Roman" w:hAnsi="Times New Roman" w:eastAsia="宋体"/>
                      <w:color w:val="auto"/>
                      <w:szCs w:val="21"/>
                      <w:highlight w:val="none"/>
                      <w:lang w:val="en-GB"/>
                    </w:rPr>
                  </w:pPr>
                  <w:r>
                    <w:rPr>
                      <w:rFonts w:ascii="Times New Roman" w:hAnsi="Times New Roman" w:eastAsia="宋体"/>
                      <w:color w:val="auto"/>
                      <w:szCs w:val="21"/>
                      <w:highlight w:val="none"/>
                      <w:lang w:val="en-GB"/>
                    </w:rPr>
                    <w:t>危险废物</w:t>
                  </w:r>
                </w:p>
              </w:tc>
            </w:tr>
            <w:tr w14:paraId="0DB422A5">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872" w:hRule="atLeast"/>
                <w:jc w:val="center"/>
              </w:trPr>
              <w:tc>
                <w:tcPr>
                  <w:tcW w:w="1705" w:type="dxa"/>
                  <w:tcBorders>
                    <w:top w:val="single" w:color="auto" w:sz="6" w:space="0"/>
                    <w:left w:val="nil"/>
                    <w:bottom w:val="single" w:color="auto" w:sz="6" w:space="0"/>
                    <w:right w:val="single" w:color="auto" w:sz="6" w:space="0"/>
                  </w:tcBorders>
                  <w:noWrap w:val="0"/>
                  <w:vAlign w:val="center"/>
                </w:tcPr>
                <w:p w14:paraId="16944998">
                  <w:pPr>
                    <w:pStyle w:val="126"/>
                    <w:snapToGrid w:val="0"/>
                    <w:spacing w:line="340" w:lineRule="exact"/>
                    <w:jc w:val="center"/>
                    <w:rPr>
                      <w:rFonts w:ascii="Times New Roman" w:hAnsi="Times New Roman" w:eastAsia="宋体"/>
                      <w:color w:val="auto"/>
                      <w:szCs w:val="21"/>
                      <w:highlight w:val="none"/>
                      <w:lang w:val="en-GB"/>
                    </w:rPr>
                  </w:pPr>
                  <w:r>
                    <w:rPr>
                      <w:rFonts w:ascii="Times New Roman" w:hAnsi="Times New Roman" w:eastAsia="宋体"/>
                      <w:color w:val="auto"/>
                      <w:szCs w:val="21"/>
                      <w:highlight w:val="none"/>
                      <w:lang w:val="en-GB"/>
                    </w:rPr>
                    <w:t>图形符号</w:t>
                  </w:r>
                </w:p>
              </w:tc>
              <w:tc>
                <w:tcPr>
                  <w:tcW w:w="1036" w:type="dxa"/>
                  <w:tcBorders>
                    <w:top w:val="single" w:color="auto" w:sz="6" w:space="0"/>
                    <w:left w:val="single" w:color="auto" w:sz="6" w:space="0"/>
                    <w:bottom w:val="single" w:color="auto" w:sz="6" w:space="0"/>
                    <w:right w:val="single" w:color="auto" w:sz="6" w:space="0"/>
                  </w:tcBorders>
                  <w:noWrap w:val="0"/>
                  <w:vAlign w:val="center"/>
                </w:tcPr>
                <w:p w14:paraId="0909B41B">
                  <w:pPr>
                    <w:pStyle w:val="126"/>
                    <w:snapToGrid w:val="0"/>
                    <w:spacing w:line="340" w:lineRule="exact"/>
                    <w:rPr>
                      <w:rFonts w:ascii="Times New Roman" w:hAnsi="Times New Roman" w:eastAsia="宋体"/>
                      <w:color w:val="auto"/>
                      <w:szCs w:val="21"/>
                      <w:highlight w:val="none"/>
                      <w:lang w:val="en-GB"/>
                    </w:rPr>
                  </w:pPr>
                  <w:r>
                    <w:rPr>
                      <w:rFonts w:ascii="Times New Roman" w:hAnsi="Times New Roman" w:eastAsia="宋体"/>
                      <w:color w:val="auto"/>
                      <w:szCs w:val="21"/>
                      <w:highlight w:val="none"/>
                    </w:rPr>
                    <w:drawing>
                      <wp:anchor distT="0" distB="0" distL="114300" distR="114300" simplePos="0" relativeHeight="251664384" behindDoc="0" locked="0" layoutInCell="1" allowOverlap="1">
                        <wp:simplePos x="0" y="0"/>
                        <wp:positionH relativeFrom="column">
                          <wp:posOffset>-27305</wp:posOffset>
                        </wp:positionH>
                        <wp:positionV relativeFrom="paragraph">
                          <wp:posOffset>33655</wp:posOffset>
                        </wp:positionV>
                        <wp:extent cx="591820" cy="591820"/>
                        <wp:effectExtent l="0" t="0" r="17780" b="17780"/>
                        <wp:wrapNone/>
                        <wp:docPr id="5" name="图片 75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54" descr="1"/>
                                <pic:cNvPicPr>
                                  <a:picLocks noChangeAspect="1"/>
                                </pic:cNvPicPr>
                              </pic:nvPicPr>
                              <pic:blipFill>
                                <a:blip r:embed="rId33"/>
                                <a:stretch>
                                  <a:fillRect/>
                                </a:stretch>
                              </pic:blipFill>
                              <pic:spPr>
                                <a:xfrm>
                                  <a:off x="0" y="0"/>
                                  <a:ext cx="591820" cy="591820"/>
                                </a:xfrm>
                                <a:prstGeom prst="rect">
                                  <a:avLst/>
                                </a:prstGeom>
                                <a:noFill/>
                                <a:ln>
                                  <a:noFill/>
                                </a:ln>
                                <a:effectLst/>
                              </pic:spPr>
                            </pic:pic>
                          </a:graphicData>
                        </a:graphic>
                      </wp:anchor>
                    </w:drawing>
                  </w:r>
                </w:p>
              </w:tc>
              <w:tc>
                <w:tcPr>
                  <w:tcW w:w="1195" w:type="dxa"/>
                  <w:tcBorders>
                    <w:top w:val="single" w:color="auto" w:sz="6" w:space="0"/>
                    <w:left w:val="single" w:color="auto" w:sz="6" w:space="0"/>
                    <w:bottom w:val="single" w:color="auto" w:sz="6" w:space="0"/>
                    <w:right w:val="single" w:color="auto" w:sz="6" w:space="0"/>
                  </w:tcBorders>
                  <w:noWrap w:val="0"/>
                  <w:vAlign w:val="center"/>
                </w:tcPr>
                <w:p w14:paraId="0A9D4C7C">
                  <w:pPr>
                    <w:spacing w:line="240" w:lineRule="auto"/>
                    <w:ind w:firstLine="0" w:firstLineChars="0"/>
                    <w:jc w:val="center"/>
                    <w:rPr>
                      <w:color w:val="auto"/>
                      <w:highlight w:val="none"/>
                      <w:lang w:val="en-GB"/>
                    </w:rPr>
                  </w:pPr>
                  <w:r>
                    <w:rPr>
                      <w:color w:val="auto"/>
                      <w:highlight w:val="none"/>
                    </w:rPr>
                    <w:drawing>
                      <wp:inline distT="0" distB="0" distL="114300" distR="114300">
                        <wp:extent cx="610235" cy="610235"/>
                        <wp:effectExtent l="0" t="0" r="18415" b="18415"/>
                        <wp:docPr id="73" name="图片 2" descr="16399962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 descr="1639996266(1)"/>
                                <pic:cNvPicPr>
                                  <a:picLocks noChangeAspect="1"/>
                                </pic:cNvPicPr>
                              </pic:nvPicPr>
                              <pic:blipFill>
                                <a:blip r:embed="rId34"/>
                                <a:stretch>
                                  <a:fillRect/>
                                </a:stretch>
                              </pic:blipFill>
                              <pic:spPr>
                                <a:xfrm>
                                  <a:off x="0" y="0"/>
                                  <a:ext cx="610235" cy="610235"/>
                                </a:xfrm>
                                <a:prstGeom prst="rect">
                                  <a:avLst/>
                                </a:prstGeom>
                                <a:noFill/>
                                <a:ln>
                                  <a:noFill/>
                                </a:ln>
                                <a:effectLst/>
                              </pic:spPr>
                            </pic:pic>
                          </a:graphicData>
                        </a:graphic>
                      </wp:inline>
                    </w:drawing>
                  </w:r>
                </w:p>
              </w:tc>
              <w:tc>
                <w:tcPr>
                  <w:tcW w:w="1195" w:type="dxa"/>
                  <w:tcBorders>
                    <w:top w:val="single" w:color="auto" w:sz="6" w:space="0"/>
                    <w:left w:val="single" w:color="auto" w:sz="6" w:space="0"/>
                    <w:bottom w:val="single" w:color="auto" w:sz="6" w:space="0"/>
                    <w:right w:val="single" w:color="auto" w:sz="6" w:space="0"/>
                  </w:tcBorders>
                  <w:noWrap w:val="0"/>
                  <w:vAlign w:val="center"/>
                </w:tcPr>
                <w:p w14:paraId="2A3D6344">
                  <w:pPr>
                    <w:pStyle w:val="126"/>
                    <w:snapToGrid w:val="0"/>
                    <w:spacing w:line="340" w:lineRule="exact"/>
                    <w:jc w:val="center"/>
                    <w:rPr>
                      <w:rFonts w:ascii="Times New Roman" w:hAnsi="Times New Roman" w:eastAsia="宋体"/>
                      <w:color w:val="auto"/>
                      <w:szCs w:val="21"/>
                      <w:highlight w:val="none"/>
                      <w:lang w:val="en-GB"/>
                    </w:rPr>
                  </w:pPr>
                  <w:r>
                    <w:rPr>
                      <w:rFonts w:ascii="Times New Roman" w:hAnsi="Times New Roman" w:eastAsia="宋体"/>
                      <w:color w:val="auto"/>
                      <w:szCs w:val="21"/>
                      <w:highlight w:val="none"/>
                    </w:rPr>
                    <w:drawing>
                      <wp:anchor distT="0" distB="0" distL="114300" distR="114300" simplePos="0" relativeHeight="251661312" behindDoc="0" locked="0" layoutInCell="1" allowOverlap="1">
                        <wp:simplePos x="0" y="0"/>
                        <wp:positionH relativeFrom="column">
                          <wp:posOffset>21590</wp:posOffset>
                        </wp:positionH>
                        <wp:positionV relativeFrom="paragraph">
                          <wp:posOffset>40640</wp:posOffset>
                        </wp:positionV>
                        <wp:extent cx="602615" cy="602615"/>
                        <wp:effectExtent l="0" t="0" r="6985" b="6985"/>
                        <wp:wrapNone/>
                        <wp:docPr id="2" name="图片 756" descr="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56" descr="点击看大图及详细资料"/>
                                <pic:cNvPicPr>
                                  <a:picLocks noChangeAspect="1"/>
                                </pic:cNvPicPr>
                              </pic:nvPicPr>
                              <pic:blipFill>
                                <a:blip r:embed="rId35"/>
                                <a:stretch>
                                  <a:fillRect/>
                                </a:stretch>
                              </pic:blipFill>
                              <pic:spPr>
                                <a:xfrm>
                                  <a:off x="0" y="0"/>
                                  <a:ext cx="602615" cy="602615"/>
                                </a:xfrm>
                                <a:prstGeom prst="rect">
                                  <a:avLst/>
                                </a:prstGeom>
                                <a:noFill/>
                                <a:ln>
                                  <a:noFill/>
                                </a:ln>
                                <a:effectLst/>
                              </pic:spPr>
                            </pic:pic>
                          </a:graphicData>
                        </a:graphic>
                      </wp:anchor>
                    </w:drawing>
                  </w:r>
                </w:p>
                <w:p w14:paraId="5ED32E8A">
                  <w:pPr>
                    <w:pStyle w:val="126"/>
                    <w:snapToGrid w:val="0"/>
                    <w:spacing w:line="340" w:lineRule="exact"/>
                    <w:jc w:val="center"/>
                    <w:rPr>
                      <w:rFonts w:ascii="Times New Roman" w:hAnsi="Times New Roman" w:eastAsia="宋体"/>
                      <w:color w:val="auto"/>
                      <w:szCs w:val="21"/>
                      <w:highlight w:val="none"/>
                      <w:lang w:val="en-GB"/>
                    </w:rPr>
                  </w:pPr>
                </w:p>
                <w:p w14:paraId="12BB07EB">
                  <w:pPr>
                    <w:pStyle w:val="126"/>
                    <w:snapToGrid w:val="0"/>
                    <w:spacing w:line="340" w:lineRule="exact"/>
                    <w:jc w:val="center"/>
                    <w:rPr>
                      <w:rFonts w:ascii="Times New Roman" w:hAnsi="Times New Roman" w:eastAsia="宋体"/>
                      <w:color w:val="auto"/>
                      <w:szCs w:val="21"/>
                      <w:highlight w:val="none"/>
                      <w:lang w:val="en-GB"/>
                    </w:rPr>
                  </w:pPr>
                </w:p>
              </w:tc>
              <w:tc>
                <w:tcPr>
                  <w:tcW w:w="1239" w:type="dxa"/>
                  <w:tcBorders>
                    <w:top w:val="single" w:color="auto" w:sz="6" w:space="0"/>
                    <w:left w:val="single" w:color="auto" w:sz="6" w:space="0"/>
                    <w:bottom w:val="single" w:color="auto" w:sz="6" w:space="0"/>
                    <w:right w:val="single" w:color="auto" w:sz="6" w:space="0"/>
                  </w:tcBorders>
                  <w:noWrap w:val="0"/>
                  <w:vAlign w:val="center"/>
                </w:tcPr>
                <w:p w14:paraId="0076D83E">
                  <w:pPr>
                    <w:pStyle w:val="126"/>
                    <w:snapToGrid w:val="0"/>
                    <w:spacing w:line="340" w:lineRule="exact"/>
                    <w:jc w:val="center"/>
                    <w:rPr>
                      <w:rFonts w:ascii="Times New Roman" w:hAnsi="Times New Roman" w:eastAsia="宋体"/>
                      <w:color w:val="auto"/>
                      <w:szCs w:val="21"/>
                      <w:highlight w:val="none"/>
                      <w:lang w:val="en-GB"/>
                    </w:rPr>
                  </w:pPr>
                  <w:r>
                    <w:rPr>
                      <w:rFonts w:ascii="Times New Roman" w:hAnsi="Times New Roman" w:eastAsia="宋体"/>
                      <w:color w:val="auto"/>
                      <w:szCs w:val="21"/>
                      <w:highlight w:val="none"/>
                    </w:rPr>
                    <w:drawing>
                      <wp:anchor distT="0" distB="0" distL="114300" distR="114300" simplePos="0" relativeHeight="251662336" behindDoc="0" locked="0" layoutInCell="1" allowOverlap="1">
                        <wp:simplePos x="0" y="0"/>
                        <wp:positionH relativeFrom="column">
                          <wp:posOffset>41910</wp:posOffset>
                        </wp:positionH>
                        <wp:positionV relativeFrom="paragraph">
                          <wp:posOffset>40640</wp:posOffset>
                        </wp:positionV>
                        <wp:extent cx="602615" cy="602615"/>
                        <wp:effectExtent l="0" t="0" r="6985" b="6985"/>
                        <wp:wrapNone/>
                        <wp:docPr id="3" name="图片 757" descr="一般固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57" descr="一般固废"/>
                                <pic:cNvPicPr>
                                  <a:picLocks noChangeAspect="1"/>
                                </pic:cNvPicPr>
                              </pic:nvPicPr>
                              <pic:blipFill>
                                <a:blip r:embed="rId36"/>
                                <a:stretch>
                                  <a:fillRect/>
                                </a:stretch>
                              </pic:blipFill>
                              <pic:spPr>
                                <a:xfrm>
                                  <a:off x="0" y="0"/>
                                  <a:ext cx="602615" cy="602615"/>
                                </a:xfrm>
                                <a:prstGeom prst="rect">
                                  <a:avLst/>
                                </a:prstGeom>
                                <a:noFill/>
                                <a:ln>
                                  <a:noFill/>
                                </a:ln>
                                <a:effectLst/>
                              </pic:spPr>
                            </pic:pic>
                          </a:graphicData>
                        </a:graphic>
                      </wp:anchor>
                    </w:drawing>
                  </w:r>
                </w:p>
              </w:tc>
              <w:tc>
                <w:tcPr>
                  <w:tcW w:w="1154" w:type="dxa"/>
                  <w:tcBorders>
                    <w:top w:val="single" w:color="auto" w:sz="6" w:space="0"/>
                    <w:left w:val="single" w:color="auto" w:sz="6" w:space="0"/>
                    <w:bottom w:val="single" w:color="auto" w:sz="6" w:space="0"/>
                    <w:right w:val="nil"/>
                  </w:tcBorders>
                  <w:noWrap w:val="0"/>
                  <w:vAlign w:val="center"/>
                </w:tcPr>
                <w:p w14:paraId="23B5F10C">
                  <w:pPr>
                    <w:pStyle w:val="126"/>
                    <w:snapToGrid w:val="0"/>
                    <w:spacing w:line="340" w:lineRule="exact"/>
                    <w:jc w:val="center"/>
                    <w:rPr>
                      <w:rFonts w:ascii="Times New Roman" w:hAnsi="Times New Roman" w:eastAsia="宋体"/>
                      <w:color w:val="auto"/>
                      <w:szCs w:val="21"/>
                      <w:highlight w:val="none"/>
                      <w:lang w:val="en-GB"/>
                    </w:rPr>
                  </w:pPr>
                  <w:r>
                    <w:rPr>
                      <w:rFonts w:ascii="Times New Roman" w:hAnsi="Times New Roman" w:eastAsia="宋体"/>
                      <w:color w:val="auto"/>
                      <w:szCs w:val="21"/>
                      <w:highlight w:val="none"/>
                      <w:lang w:val="en-GB"/>
                    </w:rPr>
                    <w:drawing>
                      <wp:anchor distT="0" distB="0" distL="114300" distR="114300" simplePos="0" relativeHeight="251663360" behindDoc="0" locked="0" layoutInCell="1" allowOverlap="1">
                        <wp:simplePos x="0" y="0"/>
                        <wp:positionH relativeFrom="column">
                          <wp:posOffset>-635</wp:posOffset>
                        </wp:positionH>
                        <wp:positionV relativeFrom="paragraph">
                          <wp:posOffset>23495</wp:posOffset>
                        </wp:positionV>
                        <wp:extent cx="605790" cy="612775"/>
                        <wp:effectExtent l="0" t="0" r="3810" b="15875"/>
                        <wp:wrapNone/>
                        <wp:docPr id="4" name="图片 334" descr="1686190526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34" descr="1686190526786"/>
                                <pic:cNvPicPr>
                                  <a:picLocks noChangeAspect="1"/>
                                </pic:cNvPicPr>
                              </pic:nvPicPr>
                              <pic:blipFill>
                                <a:blip r:embed="rId37"/>
                                <a:stretch>
                                  <a:fillRect/>
                                </a:stretch>
                              </pic:blipFill>
                              <pic:spPr>
                                <a:xfrm>
                                  <a:off x="0" y="0"/>
                                  <a:ext cx="605790" cy="612775"/>
                                </a:xfrm>
                                <a:prstGeom prst="rect">
                                  <a:avLst/>
                                </a:prstGeom>
                                <a:noFill/>
                                <a:ln>
                                  <a:noFill/>
                                </a:ln>
                                <a:effectLst/>
                              </pic:spPr>
                            </pic:pic>
                          </a:graphicData>
                        </a:graphic>
                      </wp:anchor>
                    </w:drawing>
                  </w:r>
                </w:p>
              </w:tc>
            </w:tr>
            <w:tr w14:paraId="41F13D54">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705" w:type="dxa"/>
                  <w:tcBorders>
                    <w:top w:val="single" w:color="auto" w:sz="6" w:space="0"/>
                    <w:left w:val="nil"/>
                    <w:bottom w:val="single" w:color="auto" w:sz="6" w:space="0"/>
                    <w:right w:val="single" w:color="auto" w:sz="6" w:space="0"/>
                  </w:tcBorders>
                  <w:noWrap w:val="0"/>
                  <w:vAlign w:val="center"/>
                </w:tcPr>
                <w:p w14:paraId="0C20B8BE">
                  <w:pPr>
                    <w:pStyle w:val="126"/>
                    <w:snapToGrid w:val="0"/>
                    <w:spacing w:line="340" w:lineRule="exact"/>
                    <w:jc w:val="center"/>
                    <w:rPr>
                      <w:rFonts w:ascii="Times New Roman" w:hAnsi="Times New Roman" w:eastAsia="宋体"/>
                      <w:color w:val="auto"/>
                      <w:szCs w:val="21"/>
                      <w:highlight w:val="none"/>
                      <w:lang w:val="en-GB"/>
                    </w:rPr>
                  </w:pPr>
                  <w:r>
                    <w:rPr>
                      <w:rFonts w:ascii="Times New Roman" w:hAnsi="Times New Roman" w:eastAsia="宋体"/>
                      <w:color w:val="auto"/>
                      <w:szCs w:val="21"/>
                      <w:highlight w:val="none"/>
                      <w:lang w:val="en-GB"/>
                    </w:rPr>
                    <w:t>形状</w:t>
                  </w:r>
                </w:p>
              </w:tc>
              <w:tc>
                <w:tcPr>
                  <w:tcW w:w="1036" w:type="dxa"/>
                  <w:tcBorders>
                    <w:top w:val="single" w:color="auto" w:sz="6" w:space="0"/>
                    <w:left w:val="single" w:color="auto" w:sz="6" w:space="0"/>
                    <w:bottom w:val="single" w:color="auto" w:sz="6" w:space="0"/>
                    <w:right w:val="single" w:color="auto" w:sz="6" w:space="0"/>
                  </w:tcBorders>
                  <w:noWrap w:val="0"/>
                  <w:vAlign w:val="center"/>
                </w:tcPr>
                <w:p w14:paraId="3D521E41">
                  <w:pPr>
                    <w:pStyle w:val="126"/>
                    <w:snapToGrid w:val="0"/>
                    <w:spacing w:line="340" w:lineRule="exact"/>
                    <w:jc w:val="center"/>
                    <w:rPr>
                      <w:rFonts w:ascii="Times New Roman" w:hAnsi="Times New Roman" w:eastAsia="宋体"/>
                      <w:color w:val="auto"/>
                      <w:szCs w:val="21"/>
                      <w:highlight w:val="none"/>
                      <w:lang w:val="en-GB"/>
                    </w:rPr>
                  </w:pPr>
                  <w:r>
                    <w:rPr>
                      <w:rFonts w:ascii="Times New Roman" w:hAnsi="Times New Roman" w:eastAsia="宋体"/>
                      <w:color w:val="auto"/>
                      <w:szCs w:val="21"/>
                      <w:highlight w:val="none"/>
                      <w:lang w:val="en-GB"/>
                    </w:rPr>
                    <w:t>正方形边框</w:t>
                  </w:r>
                </w:p>
              </w:tc>
              <w:tc>
                <w:tcPr>
                  <w:tcW w:w="1195" w:type="dxa"/>
                  <w:tcBorders>
                    <w:top w:val="single" w:color="auto" w:sz="6" w:space="0"/>
                    <w:left w:val="single" w:color="auto" w:sz="6" w:space="0"/>
                    <w:bottom w:val="single" w:color="auto" w:sz="6" w:space="0"/>
                    <w:right w:val="single" w:color="auto" w:sz="6" w:space="0"/>
                  </w:tcBorders>
                  <w:noWrap w:val="0"/>
                  <w:vAlign w:val="center"/>
                </w:tcPr>
                <w:p w14:paraId="4E962C8E">
                  <w:pPr>
                    <w:pStyle w:val="126"/>
                    <w:snapToGrid w:val="0"/>
                    <w:spacing w:line="340" w:lineRule="exact"/>
                    <w:jc w:val="center"/>
                    <w:rPr>
                      <w:rFonts w:ascii="Times New Roman" w:hAnsi="Times New Roman" w:eastAsia="宋体"/>
                      <w:color w:val="auto"/>
                      <w:szCs w:val="21"/>
                      <w:highlight w:val="none"/>
                      <w:lang w:val="en-GB"/>
                    </w:rPr>
                  </w:pPr>
                  <w:r>
                    <w:rPr>
                      <w:rFonts w:ascii="Times New Roman" w:hAnsi="Times New Roman" w:eastAsia="宋体"/>
                      <w:color w:val="auto"/>
                      <w:szCs w:val="21"/>
                      <w:highlight w:val="none"/>
                      <w:lang w:val="en-GB"/>
                    </w:rPr>
                    <w:t>正方形</w:t>
                  </w:r>
                </w:p>
                <w:p w14:paraId="23A54E19">
                  <w:pPr>
                    <w:pStyle w:val="126"/>
                    <w:snapToGrid w:val="0"/>
                    <w:spacing w:line="340" w:lineRule="exact"/>
                    <w:jc w:val="center"/>
                    <w:rPr>
                      <w:rFonts w:ascii="Times New Roman" w:hAnsi="Times New Roman" w:eastAsia="宋体"/>
                      <w:color w:val="auto"/>
                      <w:szCs w:val="21"/>
                      <w:highlight w:val="none"/>
                      <w:lang w:val="en-GB"/>
                    </w:rPr>
                  </w:pPr>
                  <w:r>
                    <w:rPr>
                      <w:rFonts w:ascii="Times New Roman" w:hAnsi="Times New Roman" w:eastAsia="宋体"/>
                      <w:color w:val="auto"/>
                      <w:szCs w:val="21"/>
                      <w:highlight w:val="none"/>
                      <w:lang w:val="en-GB"/>
                    </w:rPr>
                    <w:t>边框</w:t>
                  </w:r>
                </w:p>
              </w:tc>
              <w:tc>
                <w:tcPr>
                  <w:tcW w:w="1195" w:type="dxa"/>
                  <w:tcBorders>
                    <w:top w:val="single" w:color="auto" w:sz="6" w:space="0"/>
                    <w:left w:val="single" w:color="auto" w:sz="6" w:space="0"/>
                    <w:bottom w:val="single" w:color="auto" w:sz="6" w:space="0"/>
                    <w:right w:val="single" w:color="auto" w:sz="6" w:space="0"/>
                  </w:tcBorders>
                  <w:noWrap w:val="0"/>
                  <w:vAlign w:val="center"/>
                </w:tcPr>
                <w:p w14:paraId="7424A1A7">
                  <w:pPr>
                    <w:pStyle w:val="126"/>
                    <w:snapToGrid w:val="0"/>
                    <w:spacing w:line="340" w:lineRule="exact"/>
                    <w:jc w:val="center"/>
                    <w:rPr>
                      <w:rFonts w:ascii="Times New Roman" w:hAnsi="Times New Roman" w:eastAsia="宋体"/>
                      <w:color w:val="auto"/>
                      <w:szCs w:val="21"/>
                      <w:highlight w:val="none"/>
                      <w:lang w:val="en-GB"/>
                    </w:rPr>
                  </w:pPr>
                  <w:r>
                    <w:rPr>
                      <w:rFonts w:ascii="Times New Roman" w:hAnsi="Times New Roman" w:eastAsia="宋体"/>
                      <w:color w:val="auto"/>
                      <w:szCs w:val="21"/>
                      <w:highlight w:val="none"/>
                      <w:lang w:val="en-GB"/>
                    </w:rPr>
                    <w:t>正方形</w:t>
                  </w:r>
                </w:p>
                <w:p w14:paraId="6DCE5900">
                  <w:pPr>
                    <w:pStyle w:val="126"/>
                    <w:snapToGrid w:val="0"/>
                    <w:spacing w:line="340" w:lineRule="exact"/>
                    <w:jc w:val="center"/>
                    <w:rPr>
                      <w:rFonts w:ascii="Times New Roman" w:hAnsi="Times New Roman" w:eastAsia="宋体"/>
                      <w:color w:val="auto"/>
                      <w:szCs w:val="21"/>
                      <w:highlight w:val="none"/>
                      <w:lang w:val="en-GB"/>
                    </w:rPr>
                  </w:pPr>
                  <w:r>
                    <w:rPr>
                      <w:rFonts w:ascii="Times New Roman" w:hAnsi="Times New Roman" w:eastAsia="宋体"/>
                      <w:color w:val="auto"/>
                      <w:szCs w:val="21"/>
                      <w:highlight w:val="none"/>
                      <w:lang w:val="en-GB"/>
                    </w:rPr>
                    <w:t>边框</w:t>
                  </w:r>
                </w:p>
              </w:tc>
              <w:tc>
                <w:tcPr>
                  <w:tcW w:w="1239" w:type="dxa"/>
                  <w:tcBorders>
                    <w:top w:val="single" w:color="auto" w:sz="6" w:space="0"/>
                    <w:left w:val="single" w:color="auto" w:sz="6" w:space="0"/>
                    <w:bottom w:val="single" w:color="auto" w:sz="6" w:space="0"/>
                    <w:right w:val="single" w:color="auto" w:sz="6" w:space="0"/>
                  </w:tcBorders>
                  <w:noWrap w:val="0"/>
                  <w:vAlign w:val="center"/>
                </w:tcPr>
                <w:p w14:paraId="4BFF8943">
                  <w:pPr>
                    <w:pStyle w:val="126"/>
                    <w:snapToGrid w:val="0"/>
                    <w:spacing w:line="340" w:lineRule="exact"/>
                    <w:jc w:val="center"/>
                    <w:rPr>
                      <w:rFonts w:ascii="Times New Roman" w:hAnsi="Times New Roman" w:eastAsia="宋体"/>
                      <w:color w:val="auto"/>
                      <w:szCs w:val="21"/>
                      <w:highlight w:val="none"/>
                      <w:lang w:val="en-GB"/>
                    </w:rPr>
                  </w:pPr>
                  <w:r>
                    <w:rPr>
                      <w:rFonts w:ascii="Times New Roman" w:hAnsi="Times New Roman" w:eastAsia="宋体"/>
                      <w:color w:val="auto"/>
                      <w:szCs w:val="21"/>
                      <w:highlight w:val="none"/>
                      <w:lang w:val="en-GB"/>
                    </w:rPr>
                    <w:t>三角形</w:t>
                  </w:r>
                </w:p>
                <w:p w14:paraId="6646EABF">
                  <w:pPr>
                    <w:pStyle w:val="126"/>
                    <w:snapToGrid w:val="0"/>
                    <w:spacing w:line="340" w:lineRule="exact"/>
                    <w:jc w:val="center"/>
                    <w:rPr>
                      <w:rFonts w:ascii="Times New Roman" w:hAnsi="Times New Roman" w:eastAsia="宋体"/>
                      <w:color w:val="auto"/>
                      <w:szCs w:val="21"/>
                      <w:highlight w:val="none"/>
                      <w:lang w:val="en-GB"/>
                    </w:rPr>
                  </w:pPr>
                  <w:r>
                    <w:rPr>
                      <w:rFonts w:ascii="Times New Roman" w:hAnsi="Times New Roman" w:eastAsia="宋体"/>
                      <w:color w:val="auto"/>
                      <w:szCs w:val="21"/>
                      <w:highlight w:val="none"/>
                      <w:lang w:val="en-GB"/>
                    </w:rPr>
                    <w:t>边框</w:t>
                  </w:r>
                </w:p>
              </w:tc>
              <w:tc>
                <w:tcPr>
                  <w:tcW w:w="1154" w:type="dxa"/>
                  <w:tcBorders>
                    <w:top w:val="single" w:color="auto" w:sz="6" w:space="0"/>
                    <w:left w:val="single" w:color="auto" w:sz="6" w:space="0"/>
                    <w:bottom w:val="single" w:color="auto" w:sz="6" w:space="0"/>
                    <w:right w:val="nil"/>
                  </w:tcBorders>
                  <w:noWrap w:val="0"/>
                  <w:vAlign w:val="center"/>
                </w:tcPr>
                <w:p w14:paraId="64A01715">
                  <w:pPr>
                    <w:pStyle w:val="126"/>
                    <w:snapToGrid w:val="0"/>
                    <w:spacing w:line="340" w:lineRule="exact"/>
                    <w:jc w:val="center"/>
                    <w:rPr>
                      <w:rFonts w:ascii="Times New Roman" w:hAnsi="Times New Roman" w:eastAsia="宋体"/>
                      <w:color w:val="auto"/>
                      <w:szCs w:val="21"/>
                      <w:highlight w:val="none"/>
                      <w:lang w:val="en-GB"/>
                    </w:rPr>
                  </w:pPr>
                  <w:r>
                    <w:rPr>
                      <w:rFonts w:ascii="Times New Roman" w:hAnsi="Times New Roman" w:eastAsia="宋体"/>
                      <w:color w:val="auto"/>
                      <w:szCs w:val="21"/>
                      <w:highlight w:val="none"/>
                      <w:lang w:val="en-GB"/>
                    </w:rPr>
                    <w:t>三角形</w:t>
                  </w:r>
                </w:p>
                <w:p w14:paraId="34A47983">
                  <w:pPr>
                    <w:pStyle w:val="126"/>
                    <w:snapToGrid w:val="0"/>
                    <w:spacing w:line="340" w:lineRule="exact"/>
                    <w:jc w:val="center"/>
                    <w:rPr>
                      <w:rFonts w:ascii="Times New Roman" w:hAnsi="Times New Roman" w:eastAsia="宋体"/>
                      <w:color w:val="auto"/>
                      <w:szCs w:val="21"/>
                      <w:highlight w:val="none"/>
                      <w:lang w:val="en-GB"/>
                    </w:rPr>
                  </w:pPr>
                  <w:r>
                    <w:rPr>
                      <w:rFonts w:ascii="Times New Roman" w:hAnsi="Times New Roman" w:eastAsia="宋体"/>
                      <w:color w:val="auto"/>
                      <w:szCs w:val="21"/>
                      <w:highlight w:val="none"/>
                      <w:lang w:val="en-GB"/>
                    </w:rPr>
                    <w:t>边框</w:t>
                  </w:r>
                </w:p>
              </w:tc>
            </w:tr>
            <w:tr w14:paraId="52E5AD86">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705" w:type="dxa"/>
                  <w:tcBorders>
                    <w:top w:val="single" w:color="auto" w:sz="6" w:space="0"/>
                    <w:left w:val="nil"/>
                    <w:bottom w:val="single" w:color="auto" w:sz="6" w:space="0"/>
                    <w:right w:val="single" w:color="auto" w:sz="6" w:space="0"/>
                  </w:tcBorders>
                  <w:noWrap w:val="0"/>
                  <w:vAlign w:val="center"/>
                </w:tcPr>
                <w:p w14:paraId="7350912F">
                  <w:pPr>
                    <w:pStyle w:val="126"/>
                    <w:snapToGrid w:val="0"/>
                    <w:spacing w:line="340" w:lineRule="exact"/>
                    <w:jc w:val="center"/>
                    <w:rPr>
                      <w:rFonts w:ascii="Times New Roman" w:hAnsi="Times New Roman" w:eastAsia="宋体"/>
                      <w:color w:val="auto"/>
                      <w:szCs w:val="21"/>
                      <w:highlight w:val="none"/>
                      <w:lang w:val="en-GB"/>
                    </w:rPr>
                  </w:pPr>
                  <w:r>
                    <w:rPr>
                      <w:rFonts w:ascii="Times New Roman" w:hAnsi="Times New Roman" w:eastAsia="宋体"/>
                      <w:color w:val="auto"/>
                      <w:szCs w:val="21"/>
                      <w:highlight w:val="none"/>
                      <w:lang w:val="en-GB"/>
                    </w:rPr>
                    <w:t>背景颜色</w:t>
                  </w:r>
                </w:p>
              </w:tc>
              <w:tc>
                <w:tcPr>
                  <w:tcW w:w="1036" w:type="dxa"/>
                  <w:tcBorders>
                    <w:top w:val="single" w:color="auto" w:sz="6" w:space="0"/>
                    <w:left w:val="single" w:color="auto" w:sz="6" w:space="0"/>
                    <w:bottom w:val="single" w:color="auto" w:sz="6" w:space="0"/>
                    <w:right w:val="single" w:color="auto" w:sz="6" w:space="0"/>
                  </w:tcBorders>
                  <w:noWrap w:val="0"/>
                  <w:vAlign w:val="center"/>
                </w:tcPr>
                <w:p w14:paraId="045D1995">
                  <w:pPr>
                    <w:pStyle w:val="126"/>
                    <w:snapToGrid w:val="0"/>
                    <w:spacing w:line="340" w:lineRule="exact"/>
                    <w:jc w:val="center"/>
                    <w:rPr>
                      <w:rFonts w:ascii="Times New Roman" w:hAnsi="Times New Roman" w:eastAsia="宋体"/>
                      <w:color w:val="auto"/>
                      <w:szCs w:val="21"/>
                      <w:highlight w:val="none"/>
                      <w:lang w:val="en-GB"/>
                    </w:rPr>
                  </w:pPr>
                  <w:r>
                    <w:rPr>
                      <w:rFonts w:ascii="Times New Roman" w:hAnsi="Times New Roman" w:eastAsia="宋体"/>
                      <w:color w:val="auto"/>
                      <w:szCs w:val="21"/>
                      <w:highlight w:val="none"/>
                      <w:lang w:val="en-GB"/>
                    </w:rPr>
                    <w:t>绿色</w:t>
                  </w:r>
                </w:p>
              </w:tc>
              <w:tc>
                <w:tcPr>
                  <w:tcW w:w="1195" w:type="dxa"/>
                  <w:tcBorders>
                    <w:top w:val="single" w:color="auto" w:sz="6" w:space="0"/>
                    <w:left w:val="single" w:color="auto" w:sz="6" w:space="0"/>
                    <w:bottom w:val="single" w:color="auto" w:sz="6" w:space="0"/>
                    <w:right w:val="single" w:color="auto" w:sz="6" w:space="0"/>
                  </w:tcBorders>
                  <w:noWrap w:val="0"/>
                  <w:vAlign w:val="center"/>
                </w:tcPr>
                <w:p w14:paraId="15F0236E">
                  <w:pPr>
                    <w:pStyle w:val="126"/>
                    <w:snapToGrid w:val="0"/>
                    <w:spacing w:line="340" w:lineRule="exact"/>
                    <w:jc w:val="center"/>
                    <w:rPr>
                      <w:rFonts w:ascii="Times New Roman" w:hAnsi="Times New Roman" w:eastAsia="宋体"/>
                      <w:color w:val="auto"/>
                      <w:szCs w:val="21"/>
                      <w:highlight w:val="none"/>
                      <w:lang w:val="en-GB"/>
                    </w:rPr>
                  </w:pPr>
                  <w:r>
                    <w:rPr>
                      <w:rFonts w:ascii="Times New Roman" w:hAnsi="Times New Roman" w:eastAsia="宋体"/>
                      <w:color w:val="auto"/>
                      <w:szCs w:val="21"/>
                      <w:highlight w:val="none"/>
                      <w:lang w:val="en-GB"/>
                    </w:rPr>
                    <w:t>绿色</w:t>
                  </w:r>
                </w:p>
              </w:tc>
              <w:tc>
                <w:tcPr>
                  <w:tcW w:w="1195" w:type="dxa"/>
                  <w:tcBorders>
                    <w:top w:val="single" w:color="auto" w:sz="6" w:space="0"/>
                    <w:left w:val="single" w:color="auto" w:sz="6" w:space="0"/>
                    <w:bottom w:val="single" w:color="auto" w:sz="6" w:space="0"/>
                    <w:right w:val="single" w:color="auto" w:sz="6" w:space="0"/>
                  </w:tcBorders>
                  <w:noWrap w:val="0"/>
                  <w:vAlign w:val="center"/>
                </w:tcPr>
                <w:p w14:paraId="59EE57D9">
                  <w:pPr>
                    <w:pStyle w:val="126"/>
                    <w:snapToGrid w:val="0"/>
                    <w:spacing w:line="340" w:lineRule="exact"/>
                    <w:jc w:val="center"/>
                    <w:rPr>
                      <w:rFonts w:ascii="Times New Roman" w:hAnsi="Times New Roman" w:eastAsia="宋体"/>
                      <w:color w:val="auto"/>
                      <w:szCs w:val="21"/>
                      <w:highlight w:val="none"/>
                      <w:lang w:val="en-GB"/>
                    </w:rPr>
                  </w:pPr>
                  <w:r>
                    <w:rPr>
                      <w:rFonts w:ascii="Times New Roman" w:hAnsi="Times New Roman" w:eastAsia="宋体"/>
                      <w:color w:val="auto"/>
                      <w:szCs w:val="21"/>
                      <w:highlight w:val="none"/>
                      <w:lang w:val="en-GB"/>
                    </w:rPr>
                    <w:t>绿色</w:t>
                  </w:r>
                </w:p>
              </w:tc>
              <w:tc>
                <w:tcPr>
                  <w:tcW w:w="1239" w:type="dxa"/>
                  <w:tcBorders>
                    <w:top w:val="single" w:color="auto" w:sz="6" w:space="0"/>
                    <w:left w:val="single" w:color="auto" w:sz="6" w:space="0"/>
                    <w:bottom w:val="single" w:color="auto" w:sz="6" w:space="0"/>
                    <w:right w:val="single" w:color="auto" w:sz="6" w:space="0"/>
                  </w:tcBorders>
                  <w:noWrap w:val="0"/>
                  <w:vAlign w:val="center"/>
                </w:tcPr>
                <w:p w14:paraId="76B0D533">
                  <w:pPr>
                    <w:pStyle w:val="126"/>
                    <w:snapToGrid w:val="0"/>
                    <w:spacing w:line="340" w:lineRule="exact"/>
                    <w:jc w:val="center"/>
                    <w:rPr>
                      <w:rFonts w:ascii="Times New Roman" w:hAnsi="Times New Roman" w:eastAsia="宋体"/>
                      <w:color w:val="auto"/>
                      <w:szCs w:val="21"/>
                      <w:highlight w:val="none"/>
                      <w:lang w:val="en-GB"/>
                    </w:rPr>
                  </w:pPr>
                  <w:r>
                    <w:rPr>
                      <w:rFonts w:ascii="Times New Roman" w:hAnsi="Times New Roman" w:eastAsia="宋体"/>
                      <w:color w:val="auto"/>
                      <w:szCs w:val="21"/>
                      <w:highlight w:val="none"/>
                      <w:lang w:val="en-GB"/>
                    </w:rPr>
                    <w:t>黄色</w:t>
                  </w:r>
                </w:p>
              </w:tc>
              <w:tc>
                <w:tcPr>
                  <w:tcW w:w="1154" w:type="dxa"/>
                  <w:tcBorders>
                    <w:top w:val="single" w:color="auto" w:sz="6" w:space="0"/>
                    <w:left w:val="single" w:color="auto" w:sz="6" w:space="0"/>
                    <w:bottom w:val="single" w:color="auto" w:sz="6" w:space="0"/>
                    <w:right w:val="nil"/>
                  </w:tcBorders>
                  <w:noWrap w:val="0"/>
                  <w:vAlign w:val="center"/>
                </w:tcPr>
                <w:p w14:paraId="2625A86C">
                  <w:pPr>
                    <w:pStyle w:val="126"/>
                    <w:snapToGrid w:val="0"/>
                    <w:spacing w:line="340" w:lineRule="exact"/>
                    <w:jc w:val="center"/>
                    <w:rPr>
                      <w:rFonts w:ascii="Times New Roman" w:hAnsi="Times New Roman" w:eastAsia="宋体"/>
                      <w:color w:val="auto"/>
                      <w:szCs w:val="21"/>
                      <w:highlight w:val="none"/>
                      <w:lang w:val="en-GB"/>
                    </w:rPr>
                  </w:pPr>
                  <w:r>
                    <w:rPr>
                      <w:rFonts w:ascii="Times New Roman" w:hAnsi="Times New Roman" w:eastAsia="宋体"/>
                      <w:color w:val="auto"/>
                      <w:szCs w:val="21"/>
                      <w:highlight w:val="none"/>
                      <w:lang w:val="en-GB"/>
                    </w:rPr>
                    <w:t>黄色</w:t>
                  </w:r>
                </w:p>
              </w:tc>
            </w:tr>
            <w:tr w14:paraId="29E4F4D0">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705" w:type="dxa"/>
                  <w:tcBorders>
                    <w:top w:val="single" w:color="auto" w:sz="6" w:space="0"/>
                    <w:left w:val="nil"/>
                    <w:bottom w:val="single" w:color="auto" w:sz="12" w:space="0"/>
                    <w:right w:val="single" w:color="auto" w:sz="6" w:space="0"/>
                  </w:tcBorders>
                  <w:noWrap w:val="0"/>
                  <w:vAlign w:val="center"/>
                </w:tcPr>
                <w:p w14:paraId="082E06A5">
                  <w:pPr>
                    <w:pStyle w:val="126"/>
                    <w:snapToGrid w:val="0"/>
                    <w:spacing w:line="340" w:lineRule="exact"/>
                    <w:jc w:val="center"/>
                    <w:rPr>
                      <w:rFonts w:ascii="Times New Roman" w:hAnsi="Times New Roman" w:eastAsia="宋体"/>
                      <w:color w:val="auto"/>
                      <w:szCs w:val="21"/>
                      <w:highlight w:val="none"/>
                      <w:lang w:val="en-GB"/>
                    </w:rPr>
                  </w:pPr>
                  <w:r>
                    <w:rPr>
                      <w:rFonts w:ascii="Times New Roman" w:hAnsi="Times New Roman" w:eastAsia="宋体"/>
                      <w:color w:val="auto"/>
                      <w:szCs w:val="21"/>
                      <w:highlight w:val="none"/>
                      <w:lang w:val="en-GB"/>
                    </w:rPr>
                    <w:t>图形颜色</w:t>
                  </w:r>
                </w:p>
              </w:tc>
              <w:tc>
                <w:tcPr>
                  <w:tcW w:w="1036" w:type="dxa"/>
                  <w:tcBorders>
                    <w:top w:val="single" w:color="auto" w:sz="6" w:space="0"/>
                    <w:left w:val="single" w:color="auto" w:sz="6" w:space="0"/>
                    <w:bottom w:val="single" w:color="auto" w:sz="12" w:space="0"/>
                    <w:right w:val="single" w:color="auto" w:sz="6" w:space="0"/>
                  </w:tcBorders>
                  <w:noWrap w:val="0"/>
                  <w:vAlign w:val="center"/>
                </w:tcPr>
                <w:p w14:paraId="036C5BA1">
                  <w:pPr>
                    <w:pStyle w:val="126"/>
                    <w:snapToGrid w:val="0"/>
                    <w:spacing w:line="340" w:lineRule="exact"/>
                    <w:jc w:val="center"/>
                    <w:rPr>
                      <w:rFonts w:ascii="Times New Roman" w:hAnsi="Times New Roman" w:eastAsia="宋体"/>
                      <w:color w:val="auto"/>
                      <w:szCs w:val="21"/>
                      <w:highlight w:val="none"/>
                      <w:lang w:val="en-GB"/>
                    </w:rPr>
                  </w:pPr>
                  <w:r>
                    <w:rPr>
                      <w:rFonts w:ascii="Times New Roman" w:hAnsi="Times New Roman" w:eastAsia="宋体"/>
                      <w:color w:val="auto"/>
                      <w:szCs w:val="21"/>
                      <w:highlight w:val="none"/>
                      <w:lang w:val="en-GB"/>
                    </w:rPr>
                    <w:t>白色</w:t>
                  </w:r>
                </w:p>
              </w:tc>
              <w:tc>
                <w:tcPr>
                  <w:tcW w:w="1195" w:type="dxa"/>
                  <w:tcBorders>
                    <w:top w:val="single" w:color="auto" w:sz="6" w:space="0"/>
                    <w:left w:val="single" w:color="auto" w:sz="6" w:space="0"/>
                    <w:bottom w:val="single" w:color="auto" w:sz="12" w:space="0"/>
                    <w:right w:val="single" w:color="auto" w:sz="6" w:space="0"/>
                  </w:tcBorders>
                  <w:noWrap w:val="0"/>
                  <w:vAlign w:val="center"/>
                </w:tcPr>
                <w:p w14:paraId="6B322476">
                  <w:pPr>
                    <w:pStyle w:val="126"/>
                    <w:snapToGrid w:val="0"/>
                    <w:spacing w:line="340" w:lineRule="exact"/>
                    <w:jc w:val="center"/>
                    <w:rPr>
                      <w:rFonts w:ascii="Times New Roman" w:hAnsi="Times New Roman" w:eastAsia="宋体"/>
                      <w:color w:val="auto"/>
                      <w:szCs w:val="21"/>
                      <w:highlight w:val="none"/>
                      <w:lang w:val="en-GB"/>
                    </w:rPr>
                  </w:pPr>
                  <w:r>
                    <w:rPr>
                      <w:rFonts w:ascii="Times New Roman" w:hAnsi="Times New Roman" w:eastAsia="宋体"/>
                      <w:color w:val="auto"/>
                      <w:szCs w:val="21"/>
                      <w:highlight w:val="none"/>
                      <w:lang w:val="en-GB"/>
                    </w:rPr>
                    <w:t>白色</w:t>
                  </w:r>
                </w:p>
              </w:tc>
              <w:tc>
                <w:tcPr>
                  <w:tcW w:w="1195" w:type="dxa"/>
                  <w:tcBorders>
                    <w:top w:val="single" w:color="auto" w:sz="6" w:space="0"/>
                    <w:left w:val="single" w:color="auto" w:sz="6" w:space="0"/>
                    <w:bottom w:val="single" w:color="auto" w:sz="12" w:space="0"/>
                    <w:right w:val="single" w:color="auto" w:sz="6" w:space="0"/>
                  </w:tcBorders>
                  <w:noWrap w:val="0"/>
                  <w:vAlign w:val="center"/>
                </w:tcPr>
                <w:p w14:paraId="7AE8D063">
                  <w:pPr>
                    <w:pStyle w:val="126"/>
                    <w:snapToGrid w:val="0"/>
                    <w:spacing w:line="340" w:lineRule="exact"/>
                    <w:jc w:val="center"/>
                    <w:rPr>
                      <w:rFonts w:ascii="Times New Roman" w:hAnsi="Times New Roman" w:eastAsia="宋体"/>
                      <w:color w:val="auto"/>
                      <w:szCs w:val="21"/>
                      <w:highlight w:val="none"/>
                      <w:lang w:val="en-GB"/>
                    </w:rPr>
                  </w:pPr>
                  <w:r>
                    <w:rPr>
                      <w:rFonts w:ascii="Times New Roman" w:hAnsi="Times New Roman" w:eastAsia="宋体"/>
                      <w:color w:val="auto"/>
                      <w:szCs w:val="21"/>
                      <w:highlight w:val="none"/>
                      <w:lang w:val="en-GB"/>
                    </w:rPr>
                    <w:t>白色</w:t>
                  </w:r>
                </w:p>
              </w:tc>
              <w:tc>
                <w:tcPr>
                  <w:tcW w:w="1239" w:type="dxa"/>
                  <w:tcBorders>
                    <w:top w:val="single" w:color="auto" w:sz="6" w:space="0"/>
                    <w:left w:val="single" w:color="auto" w:sz="6" w:space="0"/>
                    <w:bottom w:val="single" w:color="auto" w:sz="12" w:space="0"/>
                    <w:right w:val="single" w:color="auto" w:sz="6" w:space="0"/>
                  </w:tcBorders>
                  <w:noWrap w:val="0"/>
                  <w:vAlign w:val="center"/>
                </w:tcPr>
                <w:p w14:paraId="26009C6F">
                  <w:pPr>
                    <w:pStyle w:val="126"/>
                    <w:snapToGrid w:val="0"/>
                    <w:spacing w:line="340" w:lineRule="exact"/>
                    <w:jc w:val="center"/>
                    <w:rPr>
                      <w:rFonts w:ascii="Times New Roman" w:hAnsi="Times New Roman" w:eastAsia="宋体"/>
                      <w:color w:val="auto"/>
                      <w:szCs w:val="21"/>
                      <w:highlight w:val="none"/>
                      <w:lang w:val="en-GB"/>
                    </w:rPr>
                  </w:pPr>
                  <w:r>
                    <w:rPr>
                      <w:rFonts w:ascii="Times New Roman" w:hAnsi="Times New Roman" w:eastAsia="宋体"/>
                      <w:color w:val="auto"/>
                      <w:szCs w:val="21"/>
                      <w:highlight w:val="none"/>
                      <w:lang w:val="en-GB"/>
                    </w:rPr>
                    <w:t>黑色</w:t>
                  </w:r>
                </w:p>
              </w:tc>
              <w:tc>
                <w:tcPr>
                  <w:tcW w:w="1154" w:type="dxa"/>
                  <w:tcBorders>
                    <w:top w:val="single" w:color="auto" w:sz="6" w:space="0"/>
                    <w:left w:val="single" w:color="auto" w:sz="6" w:space="0"/>
                    <w:bottom w:val="single" w:color="auto" w:sz="12" w:space="0"/>
                    <w:right w:val="nil"/>
                  </w:tcBorders>
                  <w:noWrap w:val="0"/>
                  <w:vAlign w:val="center"/>
                </w:tcPr>
                <w:p w14:paraId="278C8E05">
                  <w:pPr>
                    <w:pStyle w:val="126"/>
                    <w:snapToGrid w:val="0"/>
                    <w:spacing w:line="340" w:lineRule="exact"/>
                    <w:jc w:val="center"/>
                    <w:rPr>
                      <w:rFonts w:ascii="Times New Roman" w:hAnsi="Times New Roman" w:eastAsia="宋体"/>
                      <w:color w:val="auto"/>
                      <w:szCs w:val="21"/>
                      <w:highlight w:val="none"/>
                      <w:lang w:val="en-GB"/>
                    </w:rPr>
                  </w:pPr>
                  <w:r>
                    <w:rPr>
                      <w:rFonts w:ascii="Times New Roman" w:hAnsi="Times New Roman" w:eastAsia="宋体"/>
                      <w:color w:val="auto"/>
                      <w:szCs w:val="21"/>
                      <w:highlight w:val="none"/>
                      <w:lang w:val="en-GB"/>
                    </w:rPr>
                    <w:t>黑色</w:t>
                  </w:r>
                </w:p>
              </w:tc>
            </w:tr>
          </w:tbl>
          <w:p w14:paraId="4126A2AB">
            <w:pPr>
              <w:adjustRightInd w:val="0"/>
              <w:snapToGrid w:val="0"/>
              <w:spacing w:before="120" w:beforeLines="50"/>
              <w:ind w:firstLine="0" w:firstLineChars="0"/>
              <w:jc w:val="left"/>
              <w:rPr>
                <w:b/>
                <w:bCs/>
                <w:color w:val="auto"/>
                <w:highlight w:val="none"/>
              </w:rPr>
            </w:pPr>
            <w:bookmarkStart w:id="51" w:name="_Toc492278677"/>
            <w:bookmarkStart w:id="52" w:name="_Toc490031280"/>
            <w:r>
              <w:rPr>
                <w:rFonts w:hint="eastAsia"/>
                <w:b/>
                <w:bCs/>
                <w:color w:val="auto"/>
                <w:highlight w:val="none"/>
              </w:rPr>
              <w:t>6、</w:t>
            </w:r>
            <w:r>
              <w:rPr>
                <w:b/>
                <w:bCs/>
                <w:color w:val="auto"/>
                <w:highlight w:val="none"/>
              </w:rPr>
              <w:t>环保信息公开要求</w:t>
            </w:r>
            <w:bookmarkEnd w:id="51"/>
            <w:bookmarkEnd w:id="52"/>
          </w:p>
          <w:p w14:paraId="0FABC188">
            <w:pPr>
              <w:pStyle w:val="111"/>
              <w:rPr>
                <w:rFonts w:hint="default" w:ascii="Times New Roman" w:hAnsi="Times New Roman"/>
                <w:color w:val="auto"/>
                <w:szCs w:val="24"/>
                <w:highlight w:val="none"/>
              </w:rPr>
            </w:pPr>
            <w:r>
              <w:rPr>
                <w:rFonts w:hint="default" w:ascii="Times New Roman" w:hAnsi="Times New Roman"/>
                <w:color w:val="auto"/>
                <w:szCs w:val="24"/>
                <w:highlight w:val="none"/>
              </w:rPr>
              <w:t>根据《企业事业单位环境信息公开办法》</w:t>
            </w:r>
            <w:r>
              <w:rPr>
                <w:rFonts w:ascii="Times New Roman" w:hAnsi="Times New Roman"/>
                <w:color w:val="auto"/>
                <w:szCs w:val="24"/>
                <w:highlight w:val="none"/>
              </w:rPr>
              <w:t>（</w:t>
            </w:r>
            <w:r>
              <w:rPr>
                <w:rFonts w:hint="default" w:ascii="Times New Roman" w:hAnsi="Times New Roman"/>
                <w:color w:val="auto"/>
                <w:szCs w:val="24"/>
                <w:highlight w:val="none"/>
              </w:rPr>
              <w:t>环境保护部令第31号</w:t>
            </w:r>
            <w:r>
              <w:rPr>
                <w:rFonts w:ascii="Times New Roman" w:hAnsi="Times New Roman"/>
                <w:color w:val="auto"/>
                <w:szCs w:val="24"/>
                <w:highlight w:val="none"/>
              </w:rPr>
              <w:t>）</w:t>
            </w:r>
            <w:r>
              <w:rPr>
                <w:rFonts w:hint="default" w:ascii="Times New Roman" w:hAnsi="Times New Roman"/>
                <w:color w:val="auto"/>
                <w:szCs w:val="24"/>
                <w:highlight w:val="none"/>
              </w:rPr>
              <w:t>，企业事业单位应当按照强制公开和自愿公开相结合的原则，及时、如实地公开其环境信息。企业事业单位应当建立健全本单位环境信息公开制度，指定机构负责本单位环境信息公开日常工作，排污单位应当公开以下信息：</w:t>
            </w:r>
          </w:p>
          <w:p w14:paraId="7657011D">
            <w:pPr>
              <w:pStyle w:val="111"/>
              <w:rPr>
                <w:rFonts w:hint="default" w:ascii="Times New Roman" w:hAnsi="Times New Roman"/>
                <w:color w:val="auto"/>
                <w:szCs w:val="24"/>
                <w:highlight w:val="none"/>
              </w:rPr>
            </w:pPr>
            <w:r>
              <w:rPr>
                <w:rFonts w:hint="default" w:ascii="Times New Roman" w:hAnsi="Times New Roman"/>
                <w:color w:val="auto"/>
                <w:szCs w:val="24"/>
                <w:highlight w:val="none"/>
              </w:rPr>
              <w:t>（一）基础信息，包括单位名称、统一社会信用代码、法定代表人、生产地址、联系方式，以及生产经营和管理服务的主要内容、产品及规模；</w:t>
            </w:r>
          </w:p>
          <w:p w14:paraId="63E98694">
            <w:pPr>
              <w:pStyle w:val="111"/>
              <w:rPr>
                <w:rFonts w:hint="default" w:ascii="Times New Roman" w:hAnsi="Times New Roman"/>
                <w:color w:val="auto"/>
                <w:szCs w:val="24"/>
                <w:highlight w:val="none"/>
              </w:rPr>
            </w:pPr>
            <w:r>
              <w:rPr>
                <w:rFonts w:hint="default" w:ascii="Times New Roman" w:hAnsi="Times New Roman"/>
                <w:color w:val="auto"/>
                <w:szCs w:val="24"/>
                <w:highlight w:val="none"/>
              </w:rPr>
              <w:t>（二）排污信息，包括主要污染物及特征污染物的名称、排放方式、排放口数量和分布情况、排放浓度和总量、超标情况，以及执行的污染物排放标准、核定的排放总量；</w:t>
            </w:r>
          </w:p>
          <w:p w14:paraId="2E780558">
            <w:pPr>
              <w:pStyle w:val="111"/>
              <w:rPr>
                <w:rFonts w:hint="default" w:ascii="Times New Roman" w:hAnsi="Times New Roman"/>
                <w:color w:val="auto"/>
                <w:szCs w:val="24"/>
                <w:highlight w:val="none"/>
              </w:rPr>
            </w:pPr>
            <w:r>
              <w:rPr>
                <w:rFonts w:hint="default" w:ascii="Times New Roman" w:hAnsi="Times New Roman"/>
                <w:color w:val="auto"/>
                <w:szCs w:val="24"/>
                <w:highlight w:val="none"/>
              </w:rPr>
              <w:t>（三）防治污染设施的建设和运行情况；</w:t>
            </w:r>
          </w:p>
          <w:p w14:paraId="50EA831B">
            <w:pPr>
              <w:pStyle w:val="111"/>
              <w:rPr>
                <w:rFonts w:hint="default" w:ascii="Times New Roman" w:hAnsi="Times New Roman"/>
                <w:color w:val="auto"/>
                <w:szCs w:val="24"/>
                <w:highlight w:val="none"/>
              </w:rPr>
            </w:pPr>
            <w:r>
              <w:rPr>
                <w:rFonts w:hint="default" w:ascii="Times New Roman" w:hAnsi="Times New Roman"/>
                <w:color w:val="auto"/>
                <w:szCs w:val="24"/>
                <w:highlight w:val="none"/>
              </w:rPr>
              <w:t>（四）建设项目环境影响评价及其他环境保护行政许可情况；</w:t>
            </w:r>
          </w:p>
          <w:p w14:paraId="15BD028E">
            <w:pPr>
              <w:pStyle w:val="111"/>
              <w:rPr>
                <w:rFonts w:hint="default" w:ascii="Times New Roman" w:hAnsi="Times New Roman"/>
                <w:color w:val="auto"/>
                <w:szCs w:val="24"/>
                <w:highlight w:val="none"/>
              </w:rPr>
            </w:pPr>
            <w:r>
              <w:rPr>
                <w:rFonts w:hint="default" w:ascii="Times New Roman" w:hAnsi="Times New Roman"/>
                <w:color w:val="auto"/>
                <w:szCs w:val="24"/>
                <w:highlight w:val="none"/>
              </w:rPr>
              <w:t>（五）突发环境事件应急预案；</w:t>
            </w:r>
          </w:p>
          <w:p w14:paraId="6979A691">
            <w:pPr>
              <w:pStyle w:val="111"/>
              <w:rPr>
                <w:rFonts w:hint="default" w:ascii="Times New Roman" w:hAnsi="Times New Roman"/>
                <w:color w:val="auto"/>
                <w:szCs w:val="24"/>
                <w:highlight w:val="none"/>
              </w:rPr>
            </w:pPr>
            <w:r>
              <w:rPr>
                <w:rFonts w:hint="default" w:ascii="Times New Roman" w:hAnsi="Times New Roman"/>
                <w:color w:val="auto"/>
                <w:szCs w:val="24"/>
                <w:highlight w:val="none"/>
              </w:rPr>
              <w:t>（六）其他应当公开的环境信息。</w:t>
            </w:r>
          </w:p>
          <w:p w14:paraId="5C0264FB">
            <w:pPr>
              <w:pStyle w:val="111"/>
              <w:rPr>
                <w:rFonts w:hint="default" w:ascii="Times New Roman" w:hAnsi="Times New Roman"/>
                <w:color w:val="auto"/>
                <w:szCs w:val="24"/>
                <w:highlight w:val="none"/>
              </w:rPr>
            </w:pPr>
            <w:r>
              <w:rPr>
                <w:rFonts w:hint="default" w:ascii="Times New Roman" w:hAnsi="Times New Roman"/>
                <w:color w:val="auto"/>
                <w:szCs w:val="24"/>
                <w:highlight w:val="none"/>
              </w:rPr>
              <w:t>列入国家重点监控企业名单的重点排污单位还应当公开其环境自行监测方案。</w:t>
            </w:r>
          </w:p>
          <w:p w14:paraId="73D0E314">
            <w:pPr>
              <w:pStyle w:val="111"/>
              <w:rPr>
                <w:rFonts w:hint="default" w:ascii="Times New Roman" w:hAnsi="Times New Roman"/>
                <w:color w:val="auto"/>
                <w:szCs w:val="24"/>
                <w:highlight w:val="none"/>
              </w:rPr>
            </w:pPr>
            <w:r>
              <w:rPr>
                <w:rFonts w:hint="default" w:ascii="Times New Roman" w:hAnsi="Times New Roman"/>
                <w:color w:val="auto"/>
                <w:szCs w:val="24"/>
                <w:highlight w:val="none"/>
              </w:rPr>
              <w:t>建设单位应按照上述要求公开项目的相关信息，采取的信息公开途径可包括：</w:t>
            </w:r>
          </w:p>
          <w:p w14:paraId="44D79B24">
            <w:pPr>
              <w:pStyle w:val="111"/>
              <w:rPr>
                <w:rFonts w:hint="default" w:ascii="Times New Roman" w:hAnsi="Times New Roman"/>
                <w:color w:val="auto"/>
                <w:szCs w:val="24"/>
                <w:highlight w:val="none"/>
              </w:rPr>
            </w:pPr>
            <w:r>
              <w:rPr>
                <w:rFonts w:hint="default" w:ascii="Times New Roman" w:hAnsi="Times New Roman"/>
                <w:color w:val="auto"/>
                <w:szCs w:val="24"/>
                <w:highlight w:val="none"/>
              </w:rPr>
              <w:t>①公告或者公开发行的信息专刊；</w:t>
            </w:r>
          </w:p>
          <w:p w14:paraId="4527CF20">
            <w:pPr>
              <w:pStyle w:val="111"/>
              <w:rPr>
                <w:rFonts w:hint="default" w:ascii="Times New Roman" w:hAnsi="Times New Roman"/>
                <w:color w:val="auto"/>
                <w:szCs w:val="24"/>
                <w:highlight w:val="none"/>
              </w:rPr>
            </w:pPr>
            <w:r>
              <w:rPr>
                <w:rFonts w:hint="default" w:ascii="Times New Roman" w:hAnsi="Times New Roman"/>
                <w:color w:val="auto"/>
                <w:szCs w:val="24"/>
                <w:highlight w:val="none"/>
              </w:rPr>
              <w:t>②广播、电视等新闻媒体；</w:t>
            </w:r>
          </w:p>
          <w:p w14:paraId="522B0AEF">
            <w:pPr>
              <w:pStyle w:val="111"/>
              <w:rPr>
                <w:rFonts w:hint="default" w:ascii="Times New Roman" w:hAnsi="Times New Roman"/>
                <w:color w:val="auto"/>
                <w:szCs w:val="24"/>
                <w:highlight w:val="none"/>
              </w:rPr>
            </w:pPr>
            <w:r>
              <w:rPr>
                <w:rFonts w:hint="default" w:ascii="Times New Roman" w:hAnsi="Times New Roman"/>
                <w:color w:val="auto"/>
                <w:szCs w:val="24"/>
                <w:highlight w:val="none"/>
              </w:rPr>
              <w:t>③信息公开服务、监督热线电话；</w:t>
            </w:r>
          </w:p>
          <w:p w14:paraId="7EF6DF3F">
            <w:pPr>
              <w:pStyle w:val="111"/>
              <w:rPr>
                <w:rFonts w:hint="default" w:ascii="Times New Roman" w:hAnsi="Times New Roman"/>
                <w:color w:val="auto"/>
                <w:szCs w:val="24"/>
                <w:highlight w:val="none"/>
              </w:rPr>
            </w:pPr>
            <w:r>
              <w:rPr>
                <w:rFonts w:hint="default" w:ascii="Times New Roman" w:hAnsi="Times New Roman"/>
                <w:color w:val="auto"/>
                <w:szCs w:val="24"/>
                <w:highlight w:val="none"/>
              </w:rPr>
              <w:t>④本单位的资料索取点、信息公开栏、信息亭、电子屏幕、电子触摸屏等场所或者设施；</w:t>
            </w:r>
          </w:p>
          <w:p w14:paraId="4031D948">
            <w:pPr>
              <w:pStyle w:val="111"/>
              <w:rPr>
                <w:rFonts w:hint="default" w:ascii="Times New Roman" w:hAnsi="Times New Roman"/>
                <w:color w:val="auto"/>
                <w:sz w:val="21"/>
                <w:szCs w:val="21"/>
                <w:highlight w:val="none"/>
              </w:rPr>
            </w:pPr>
            <w:r>
              <w:rPr>
                <w:rFonts w:hint="default" w:ascii="Times New Roman" w:hAnsi="Times New Roman"/>
                <w:color w:val="auto"/>
                <w:szCs w:val="24"/>
                <w:highlight w:val="none"/>
              </w:rPr>
              <w:t>⑤其他便于公众及时、准确获得信息的方式。</w:t>
            </w:r>
          </w:p>
        </w:tc>
      </w:tr>
    </w:tbl>
    <w:p w14:paraId="7073634D">
      <w:pPr>
        <w:spacing w:before="120" w:beforeLines="50" w:after="120" w:afterLines="50" w:line="240" w:lineRule="auto"/>
        <w:ind w:firstLine="0" w:firstLineChars="0"/>
        <w:jc w:val="center"/>
        <w:rPr>
          <w:snapToGrid w:val="0"/>
          <w:color w:val="auto"/>
          <w:highlight w:val="none"/>
        </w:rPr>
      </w:pPr>
    </w:p>
    <w:p w14:paraId="068B1E3A">
      <w:pPr>
        <w:pStyle w:val="2"/>
        <w:rPr>
          <w:rFonts w:hint="eastAsia"/>
          <w:snapToGrid w:val="0"/>
          <w:color w:val="auto"/>
          <w:kern w:val="0"/>
          <w:sz w:val="30"/>
          <w:highlight w:val="none"/>
        </w:rPr>
      </w:pPr>
      <w:r>
        <w:rPr>
          <w:snapToGrid w:val="0"/>
          <w:color w:val="auto"/>
          <w:highlight w:val="none"/>
        </w:rPr>
        <w:br w:type="page"/>
      </w:r>
      <w:bookmarkStart w:id="53" w:name="_Toc21506"/>
      <w:r>
        <w:rPr>
          <w:rFonts w:hint="eastAsia"/>
          <w:snapToGrid w:val="0"/>
          <w:color w:val="auto"/>
          <w:highlight w:val="none"/>
        </w:rPr>
        <w:t>六</w:t>
      </w:r>
      <w:r>
        <w:rPr>
          <w:color w:val="auto"/>
          <w:highlight w:val="none"/>
        </w:rPr>
        <w:t>、</w:t>
      </w:r>
      <w:r>
        <w:rPr>
          <w:rFonts w:hint="eastAsia"/>
          <w:color w:val="auto"/>
          <w:highlight w:val="none"/>
        </w:rPr>
        <w:t>结论</w:t>
      </w:r>
      <w:bookmarkEnd w:id="53"/>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00"/>
      </w:tblGrid>
      <w:tr w14:paraId="33A146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00" w:type="dxa"/>
            <w:noWrap w:val="0"/>
            <w:vAlign w:val="center"/>
          </w:tcPr>
          <w:p w14:paraId="24B0FC4A">
            <w:pPr>
              <w:widowControl/>
              <w:ind w:firstLine="480"/>
              <w:jc w:val="left"/>
              <w:rPr>
                <w:color w:val="auto"/>
                <w:highlight w:val="none"/>
              </w:rPr>
            </w:pPr>
            <w:r>
              <w:rPr>
                <w:rFonts w:hint="eastAsia"/>
                <w:color w:val="auto"/>
                <w:highlight w:val="none"/>
              </w:rPr>
              <w:t>福州市科兴混凝土有限公司沥青搅拌站</w:t>
            </w:r>
            <w:r>
              <w:rPr>
                <w:rFonts w:hint="eastAsia" w:ascii="宋体" w:hAnsi="宋体" w:cs="宋体"/>
                <w:color w:val="auto"/>
                <w:kern w:val="0"/>
                <w:highlight w:val="none"/>
                <w:lang w:bidi="ar"/>
              </w:rPr>
              <w:t>的建设符合国家相关产业政策和生态环境分区管控控制要求，项目选址合理，平面布局可行。项目运营过程中产生的污水、废气、噪声、固废等经采取综合性、积极有效的防治措施后，能够实现污染物的达标排放，不会改变区域环境质量现状。在工程建设中，严格执行“三同时”制度，项目投产后，严格落实各项环保措施和环境管理要求的前提下，可确保各污染物稳定达标排放，对周边环境影响较小，从环境保护的角度分析，该项目的建设是可行的。</w:t>
            </w:r>
          </w:p>
          <w:p w14:paraId="32519267">
            <w:pPr>
              <w:ind w:firstLine="482"/>
              <w:rPr>
                <w:rFonts w:hint="eastAsia"/>
                <w:b/>
                <w:bCs/>
                <w:color w:val="auto"/>
                <w:highlight w:val="none"/>
              </w:rPr>
            </w:pPr>
          </w:p>
          <w:p w14:paraId="48766574">
            <w:pPr>
              <w:ind w:firstLine="0" w:firstLineChars="0"/>
              <w:rPr>
                <w:rFonts w:hint="eastAsia"/>
                <w:color w:val="auto"/>
                <w:highlight w:val="none"/>
              </w:rPr>
            </w:pPr>
          </w:p>
          <w:p w14:paraId="65A54BAA">
            <w:pPr>
              <w:pStyle w:val="2"/>
              <w:rPr>
                <w:rFonts w:hint="eastAsia"/>
                <w:color w:val="auto"/>
                <w:highlight w:val="none"/>
              </w:rPr>
            </w:pPr>
          </w:p>
          <w:p w14:paraId="05E06058">
            <w:pPr>
              <w:ind w:firstLine="4096" w:firstLineChars="1700"/>
              <w:rPr>
                <w:b/>
                <w:bCs/>
                <w:color w:val="auto"/>
                <w:kern w:val="44"/>
                <w:highlight w:val="none"/>
              </w:rPr>
            </w:pPr>
            <w:r>
              <w:rPr>
                <w:b/>
                <w:bCs/>
                <w:color w:val="auto"/>
                <w:kern w:val="44"/>
                <w:highlight w:val="none"/>
              </w:rPr>
              <w:t>编制单位：</w:t>
            </w:r>
            <w:r>
              <w:rPr>
                <w:rFonts w:hint="eastAsia"/>
                <w:b/>
                <w:bCs/>
                <w:color w:val="auto"/>
                <w:kern w:val="44"/>
                <w:highlight w:val="none"/>
              </w:rPr>
              <w:t>福建新时代环保科技有限公司</w:t>
            </w:r>
          </w:p>
          <w:p w14:paraId="63D4A58C">
            <w:pPr>
              <w:ind w:firstLine="4096" w:firstLineChars="1700"/>
              <w:rPr>
                <w:b/>
                <w:bCs/>
                <w:color w:val="auto"/>
                <w:kern w:val="44"/>
                <w:highlight w:val="none"/>
              </w:rPr>
            </w:pPr>
            <w:r>
              <w:rPr>
                <w:b/>
                <w:bCs/>
                <w:color w:val="auto"/>
                <w:kern w:val="44"/>
                <w:highlight w:val="none"/>
              </w:rPr>
              <w:t>编制时间</w:t>
            </w:r>
            <w:r>
              <w:rPr>
                <w:rFonts w:hint="eastAsia"/>
                <w:b/>
                <w:bCs/>
                <w:color w:val="auto"/>
                <w:kern w:val="44"/>
                <w:highlight w:val="none"/>
              </w:rPr>
              <w:t>：202</w:t>
            </w:r>
            <w:r>
              <w:rPr>
                <w:rFonts w:hint="eastAsia"/>
                <w:b/>
                <w:bCs/>
                <w:color w:val="auto"/>
                <w:kern w:val="44"/>
                <w:highlight w:val="none"/>
                <w:lang w:val="en-US" w:eastAsia="zh-CN"/>
              </w:rPr>
              <w:t>5</w:t>
            </w:r>
            <w:r>
              <w:rPr>
                <w:rFonts w:hint="eastAsia"/>
                <w:b/>
                <w:bCs/>
                <w:color w:val="auto"/>
                <w:kern w:val="44"/>
                <w:highlight w:val="none"/>
              </w:rPr>
              <w:t>年</w:t>
            </w:r>
            <w:r>
              <w:rPr>
                <w:rFonts w:hint="eastAsia"/>
                <w:b/>
                <w:bCs/>
                <w:color w:val="auto"/>
                <w:kern w:val="44"/>
                <w:highlight w:val="none"/>
                <w:lang w:val="en-US" w:eastAsia="zh-CN"/>
              </w:rPr>
              <w:t>8</w:t>
            </w:r>
            <w:r>
              <w:rPr>
                <w:rFonts w:hint="eastAsia"/>
                <w:b/>
                <w:bCs/>
                <w:color w:val="auto"/>
                <w:kern w:val="44"/>
                <w:highlight w:val="none"/>
              </w:rPr>
              <w:t>月</w:t>
            </w:r>
          </w:p>
          <w:p w14:paraId="05110FF3">
            <w:pPr>
              <w:ind w:firstLine="480"/>
              <w:rPr>
                <w:rFonts w:hint="eastAsia"/>
                <w:color w:val="auto"/>
                <w:highlight w:val="none"/>
              </w:rPr>
            </w:pPr>
          </w:p>
          <w:p w14:paraId="4AB7A901">
            <w:pPr>
              <w:pStyle w:val="2"/>
              <w:rPr>
                <w:rFonts w:hint="eastAsia"/>
                <w:color w:val="auto"/>
                <w:highlight w:val="none"/>
              </w:rPr>
            </w:pPr>
          </w:p>
          <w:p w14:paraId="39FDD6D2">
            <w:pPr>
              <w:pStyle w:val="2"/>
              <w:rPr>
                <w:color w:val="auto"/>
                <w:highlight w:val="none"/>
              </w:rPr>
            </w:pPr>
          </w:p>
          <w:p w14:paraId="1336CC00">
            <w:pPr>
              <w:ind w:firstLine="480"/>
              <w:rPr>
                <w:color w:val="auto"/>
                <w:highlight w:val="none"/>
              </w:rPr>
            </w:pPr>
          </w:p>
          <w:p w14:paraId="2488E16B">
            <w:pPr>
              <w:pStyle w:val="26"/>
              <w:ind w:left="480" w:firstLine="480"/>
              <w:rPr>
                <w:color w:val="auto"/>
                <w:highlight w:val="none"/>
              </w:rPr>
            </w:pPr>
          </w:p>
          <w:p w14:paraId="31303493">
            <w:pPr>
              <w:pStyle w:val="26"/>
              <w:ind w:left="480" w:firstLine="480"/>
              <w:rPr>
                <w:color w:val="auto"/>
                <w:highlight w:val="none"/>
              </w:rPr>
            </w:pPr>
          </w:p>
          <w:p w14:paraId="7E9DD57E">
            <w:pPr>
              <w:pStyle w:val="26"/>
              <w:ind w:left="480" w:firstLine="480"/>
              <w:rPr>
                <w:color w:val="auto"/>
                <w:highlight w:val="none"/>
              </w:rPr>
            </w:pPr>
          </w:p>
          <w:p w14:paraId="07131F27">
            <w:pPr>
              <w:pStyle w:val="26"/>
              <w:ind w:left="480" w:firstLine="480"/>
              <w:rPr>
                <w:color w:val="auto"/>
                <w:highlight w:val="none"/>
              </w:rPr>
            </w:pPr>
          </w:p>
          <w:p w14:paraId="7621DEC3">
            <w:pPr>
              <w:pStyle w:val="26"/>
              <w:ind w:left="480" w:firstLine="480"/>
              <w:rPr>
                <w:color w:val="auto"/>
                <w:highlight w:val="none"/>
              </w:rPr>
            </w:pPr>
          </w:p>
          <w:p w14:paraId="04A94D8C">
            <w:pPr>
              <w:pStyle w:val="26"/>
              <w:ind w:left="480" w:firstLine="480"/>
              <w:rPr>
                <w:color w:val="auto"/>
                <w:highlight w:val="none"/>
              </w:rPr>
            </w:pPr>
          </w:p>
          <w:p w14:paraId="6F97C2E9">
            <w:pPr>
              <w:pStyle w:val="26"/>
              <w:ind w:left="480" w:firstLine="480"/>
              <w:rPr>
                <w:color w:val="auto"/>
                <w:highlight w:val="none"/>
              </w:rPr>
            </w:pPr>
          </w:p>
          <w:p w14:paraId="4608C231">
            <w:pPr>
              <w:pStyle w:val="26"/>
              <w:ind w:left="0" w:leftChars="0" w:firstLine="0" w:firstLineChars="0"/>
              <w:rPr>
                <w:color w:val="auto"/>
                <w:highlight w:val="none"/>
              </w:rPr>
            </w:pPr>
          </w:p>
        </w:tc>
      </w:tr>
    </w:tbl>
    <w:p w14:paraId="03F24E5A">
      <w:pPr>
        <w:ind w:firstLine="480"/>
        <w:rPr>
          <w:rFonts w:hint="eastAsia"/>
          <w:color w:val="auto"/>
          <w:highlight w:val="none"/>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04F9BCA9">
      <w:pPr>
        <w:pStyle w:val="2"/>
        <w:jc w:val="both"/>
        <w:rPr>
          <w:color w:val="auto"/>
          <w:highlight w:val="none"/>
        </w:rPr>
      </w:pPr>
      <w:bookmarkStart w:id="54" w:name="_Toc22202"/>
      <w:r>
        <w:rPr>
          <w:color w:val="auto"/>
          <w:highlight w:val="none"/>
        </w:rPr>
        <w:t>附表</w:t>
      </w:r>
      <w:bookmarkEnd w:id="54"/>
    </w:p>
    <w:p w14:paraId="6236B2C1">
      <w:pPr>
        <w:ind w:firstLine="0" w:firstLineChars="0"/>
        <w:jc w:val="center"/>
        <w:rPr>
          <w:rFonts w:hint="eastAsia" w:ascii="方正小标宋_GBK" w:hAnsi="方正小标宋_GBK" w:eastAsia="方正小标宋_GBK" w:cs="方正小标宋_GBK"/>
          <w:color w:val="auto"/>
          <w:sz w:val="38"/>
          <w:szCs w:val="38"/>
          <w:highlight w:val="none"/>
        </w:rPr>
      </w:pPr>
      <w:r>
        <w:rPr>
          <w:rFonts w:hint="eastAsia" w:ascii="方正小标宋_GBK" w:hAnsi="方正小标宋_GBK" w:eastAsia="方正小标宋_GBK" w:cs="方正小标宋_GBK"/>
          <w:color w:val="auto"/>
          <w:sz w:val="38"/>
          <w:szCs w:val="38"/>
          <w:highlight w:val="none"/>
        </w:rPr>
        <w:t>建设项目污染物排放量汇总表</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88"/>
        <w:gridCol w:w="1831"/>
        <w:gridCol w:w="1580"/>
        <w:gridCol w:w="1274"/>
        <w:gridCol w:w="1699"/>
        <w:gridCol w:w="1558"/>
        <w:gridCol w:w="1442"/>
        <w:gridCol w:w="1787"/>
        <w:gridCol w:w="1315"/>
      </w:tblGrid>
      <w:tr w14:paraId="6DCD3B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8" w:hRule="atLeast"/>
          <w:jc w:val="center"/>
        </w:trPr>
        <w:tc>
          <w:tcPr>
            <w:tcW w:w="1288" w:type="dxa"/>
            <w:tcBorders>
              <w:tl2br w:val="single" w:color="auto" w:sz="4" w:space="0"/>
            </w:tcBorders>
            <w:noWrap w:val="0"/>
            <w:tcMar>
              <w:left w:w="28" w:type="dxa"/>
              <w:right w:w="28" w:type="dxa"/>
            </w:tcMar>
            <w:vAlign w:val="center"/>
          </w:tcPr>
          <w:p w14:paraId="7E8143C1">
            <w:pPr>
              <w:pStyle w:val="56"/>
              <w:spacing w:beforeLines="0" w:afterLines="0" w:line="240" w:lineRule="auto"/>
              <w:ind w:firstLine="0" w:firstLineChars="0"/>
              <w:rPr>
                <w:rFonts w:ascii="Times New Roman"/>
                <w:b/>
                <w:bCs/>
                <w:snapToGrid w:val="0"/>
                <w:color w:val="auto"/>
                <w:kern w:val="21"/>
                <w:sz w:val="21"/>
                <w:szCs w:val="21"/>
                <w:highlight w:val="none"/>
              </w:rPr>
            </w:pPr>
            <w:r>
              <w:rPr>
                <w:rFonts w:ascii="Times New Roman"/>
                <w:b/>
                <w:bCs/>
                <w:snapToGrid w:val="0"/>
                <w:color w:val="auto"/>
                <w:kern w:val="21"/>
                <w:sz w:val="21"/>
                <w:szCs w:val="21"/>
                <w:highlight w:val="none"/>
              </w:rPr>
              <w:t xml:space="preserve">      项目</w:t>
            </w:r>
          </w:p>
          <w:p w14:paraId="627258C9">
            <w:pPr>
              <w:pStyle w:val="56"/>
              <w:spacing w:beforeLines="0" w:afterLines="0" w:line="240" w:lineRule="auto"/>
              <w:ind w:firstLine="211" w:firstLineChars="100"/>
              <w:jc w:val="both"/>
              <w:rPr>
                <w:rFonts w:ascii="Times New Roman"/>
                <w:b/>
                <w:bCs/>
                <w:snapToGrid w:val="0"/>
                <w:color w:val="auto"/>
                <w:kern w:val="21"/>
                <w:sz w:val="21"/>
                <w:szCs w:val="21"/>
                <w:highlight w:val="none"/>
              </w:rPr>
            </w:pPr>
            <w:r>
              <w:rPr>
                <w:rFonts w:ascii="Times New Roman"/>
                <w:b/>
                <w:bCs/>
                <w:snapToGrid w:val="0"/>
                <w:color w:val="auto"/>
                <w:kern w:val="21"/>
                <w:sz w:val="21"/>
                <w:szCs w:val="21"/>
                <w:highlight w:val="none"/>
              </w:rPr>
              <w:t>分类</w:t>
            </w:r>
          </w:p>
        </w:tc>
        <w:tc>
          <w:tcPr>
            <w:tcW w:w="1831" w:type="dxa"/>
            <w:noWrap w:val="0"/>
            <w:tcMar>
              <w:left w:w="28" w:type="dxa"/>
              <w:right w:w="28" w:type="dxa"/>
            </w:tcMar>
            <w:vAlign w:val="center"/>
          </w:tcPr>
          <w:p w14:paraId="219BF526">
            <w:pPr>
              <w:pStyle w:val="56"/>
              <w:spacing w:beforeLines="0" w:afterLines="0" w:line="240" w:lineRule="auto"/>
              <w:ind w:firstLine="0" w:firstLineChars="0"/>
              <w:rPr>
                <w:rFonts w:ascii="Times New Roman"/>
                <w:b/>
                <w:bCs/>
                <w:snapToGrid w:val="0"/>
                <w:color w:val="auto"/>
                <w:kern w:val="21"/>
                <w:sz w:val="21"/>
                <w:szCs w:val="21"/>
                <w:highlight w:val="none"/>
              </w:rPr>
            </w:pPr>
            <w:r>
              <w:rPr>
                <w:rFonts w:ascii="Times New Roman"/>
                <w:b/>
                <w:bCs/>
                <w:snapToGrid w:val="0"/>
                <w:color w:val="auto"/>
                <w:kern w:val="21"/>
                <w:sz w:val="21"/>
                <w:szCs w:val="21"/>
                <w:highlight w:val="none"/>
              </w:rPr>
              <w:t>污染物名称</w:t>
            </w:r>
          </w:p>
        </w:tc>
        <w:tc>
          <w:tcPr>
            <w:tcW w:w="1580" w:type="dxa"/>
            <w:noWrap w:val="0"/>
            <w:tcMar>
              <w:left w:w="28" w:type="dxa"/>
              <w:right w:w="28" w:type="dxa"/>
            </w:tcMar>
            <w:vAlign w:val="center"/>
          </w:tcPr>
          <w:p w14:paraId="73C94BC2">
            <w:pPr>
              <w:pStyle w:val="56"/>
              <w:spacing w:beforeLines="0" w:afterLines="0" w:line="240" w:lineRule="auto"/>
              <w:ind w:firstLine="0" w:firstLineChars="0"/>
              <w:rPr>
                <w:rFonts w:ascii="Times New Roman"/>
                <w:b/>
                <w:bCs/>
                <w:snapToGrid w:val="0"/>
                <w:color w:val="auto"/>
                <w:kern w:val="21"/>
                <w:sz w:val="21"/>
                <w:szCs w:val="21"/>
                <w:highlight w:val="none"/>
              </w:rPr>
            </w:pPr>
            <w:r>
              <w:rPr>
                <w:rFonts w:ascii="Times New Roman"/>
                <w:b/>
                <w:bCs/>
                <w:snapToGrid w:val="0"/>
                <w:color w:val="auto"/>
                <w:kern w:val="21"/>
                <w:sz w:val="21"/>
                <w:szCs w:val="21"/>
                <w:highlight w:val="none"/>
              </w:rPr>
              <w:t>现有工程</w:t>
            </w:r>
          </w:p>
          <w:p w14:paraId="7FBB1C3A">
            <w:pPr>
              <w:pStyle w:val="56"/>
              <w:spacing w:beforeLines="0" w:afterLines="0" w:line="240" w:lineRule="auto"/>
              <w:ind w:firstLine="0" w:firstLineChars="0"/>
              <w:rPr>
                <w:rFonts w:ascii="Times New Roman"/>
                <w:b/>
                <w:bCs/>
                <w:snapToGrid w:val="0"/>
                <w:color w:val="auto"/>
                <w:kern w:val="21"/>
                <w:sz w:val="21"/>
                <w:szCs w:val="21"/>
                <w:highlight w:val="none"/>
              </w:rPr>
            </w:pPr>
            <w:r>
              <w:rPr>
                <w:rFonts w:ascii="Times New Roman"/>
                <w:b/>
                <w:bCs/>
                <w:snapToGrid w:val="0"/>
                <w:color w:val="auto"/>
                <w:kern w:val="21"/>
                <w:sz w:val="21"/>
                <w:szCs w:val="21"/>
                <w:highlight w:val="none"/>
              </w:rPr>
              <w:t>排放量(固体废物产生量)</w:t>
            </w:r>
            <w:r>
              <w:rPr>
                <w:rFonts w:ascii="Times New Roman"/>
                <w:b/>
                <w:bCs/>
                <w:snapToGrid w:val="0"/>
                <w:color w:val="auto"/>
                <w:kern w:val="21"/>
                <w:sz w:val="21"/>
                <w:szCs w:val="21"/>
                <w:highlight w:val="none"/>
              </w:rPr>
              <w:fldChar w:fldCharType="begin"/>
            </w:r>
            <w:r>
              <w:rPr>
                <w:rFonts w:ascii="Times New Roman"/>
                <w:b/>
                <w:bCs/>
                <w:snapToGrid w:val="0"/>
                <w:color w:val="auto"/>
                <w:kern w:val="21"/>
                <w:sz w:val="21"/>
                <w:szCs w:val="21"/>
                <w:highlight w:val="none"/>
              </w:rPr>
              <w:instrText xml:space="preserve"> = 1 \* GB3 \* MERGEFORMAT </w:instrText>
            </w:r>
            <w:r>
              <w:rPr>
                <w:rFonts w:ascii="Times New Roman"/>
                <w:b/>
                <w:bCs/>
                <w:snapToGrid w:val="0"/>
                <w:color w:val="auto"/>
                <w:kern w:val="21"/>
                <w:sz w:val="21"/>
                <w:szCs w:val="21"/>
                <w:highlight w:val="none"/>
              </w:rPr>
              <w:fldChar w:fldCharType="separate"/>
            </w:r>
            <w:r>
              <w:rPr>
                <w:rFonts w:ascii="Times New Roman"/>
                <w:b/>
                <w:bCs/>
                <w:snapToGrid w:val="0"/>
                <w:color w:val="auto"/>
                <w:kern w:val="21"/>
                <w:sz w:val="21"/>
                <w:szCs w:val="21"/>
                <w:highlight w:val="none"/>
              </w:rPr>
              <w:t>①</w:t>
            </w:r>
            <w:r>
              <w:rPr>
                <w:rFonts w:ascii="Times New Roman"/>
                <w:b/>
                <w:bCs/>
                <w:snapToGrid w:val="0"/>
                <w:color w:val="auto"/>
                <w:kern w:val="21"/>
                <w:sz w:val="21"/>
                <w:szCs w:val="21"/>
                <w:highlight w:val="none"/>
              </w:rPr>
              <w:fldChar w:fldCharType="end"/>
            </w:r>
          </w:p>
        </w:tc>
        <w:tc>
          <w:tcPr>
            <w:tcW w:w="1274" w:type="dxa"/>
            <w:noWrap w:val="0"/>
            <w:tcMar>
              <w:left w:w="28" w:type="dxa"/>
              <w:right w:w="28" w:type="dxa"/>
            </w:tcMar>
            <w:vAlign w:val="center"/>
          </w:tcPr>
          <w:p w14:paraId="1709652C">
            <w:pPr>
              <w:pStyle w:val="56"/>
              <w:spacing w:beforeLines="0" w:afterLines="0" w:line="240" w:lineRule="auto"/>
              <w:ind w:firstLine="0" w:firstLineChars="0"/>
              <w:rPr>
                <w:rFonts w:ascii="Times New Roman"/>
                <w:b/>
                <w:bCs/>
                <w:snapToGrid w:val="0"/>
                <w:color w:val="auto"/>
                <w:kern w:val="21"/>
                <w:sz w:val="21"/>
                <w:szCs w:val="21"/>
                <w:highlight w:val="none"/>
              </w:rPr>
            </w:pPr>
            <w:r>
              <w:rPr>
                <w:rFonts w:ascii="Times New Roman"/>
                <w:b/>
                <w:bCs/>
                <w:snapToGrid w:val="0"/>
                <w:color w:val="auto"/>
                <w:kern w:val="21"/>
                <w:sz w:val="21"/>
                <w:szCs w:val="21"/>
                <w:highlight w:val="none"/>
              </w:rPr>
              <w:t>现有工程</w:t>
            </w:r>
          </w:p>
          <w:p w14:paraId="30B4A2C3">
            <w:pPr>
              <w:pStyle w:val="56"/>
              <w:spacing w:beforeLines="0" w:afterLines="0" w:line="240" w:lineRule="auto"/>
              <w:ind w:firstLine="0" w:firstLineChars="0"/>
              <w:rPr>
                <w:rFonts w:ascii="Times New Roman"/>
                <w:b/>
                <w:bCs/>
                <w:snapToGrid w:val="0"/>
                <w:color w:val="auto"/>
                <w:kern w:val="21"/>
                <w:sz w:val="21"/>
                <w:szCs w:val="21"/>
                <w:highlight w:val="none"/>
              </w:rPr>
            </w:pPr>
            <w:r>
              <w:rPr>
                <w:rFonts w:ascii="Times New Roman"/>
                <w:b/>
                <w:bCs/>
                <w:snapToGrid w:val="0"/>
                <w:color w:val="auto"/>
                <w:kern w:val="21"/>
                <w:sz w:val="21"/>
                <w:szCs w:val="21"/>
                <w:highlight w:val="none"/>
              </w:rPr>
              <w:t>许可排放量</w:t>
            </w:r>
          </w:p>
          <w:p w14:paraId="2A5904EE">
            <w:pPr>
              <w:pStyle w:val="56"/>
              <w:spacing w:beforeLines="0" w:afterLines="0" w:line="240" w:lineRule="auto"/>
              <w:ind w:firstLine="0" w:firstLineChars="0"/>
              <w:rPr>
                <w:rFonts w:ascii="Times New Roman"/>
                <w:b/>
                <w:bCs/>
                <w:snapToGrid w:val="0"/>
                <w:color w:val="auto"/>
                <w:kern w:val="21"/>
                <w:sz w:val="21"/>
                <w:szCs w:val="21"/>
                <w:highlight w:val="none"/>
              </w:rPr>
            </w:pPr>
            <w:r>
              <w:rPr>
                <w:rFonts w:ascii="Times New Roman"/>
                <w:b/>
                <w:bCs/>
                <w:snapToGrid w:val="0"/>
                <w:color w:val="auto"/>
                <w:kern w:val="21"/>
                <w:sz w:val="21"/>
                <w:szCs w:val="21"/>
                <w:highlight w:val="none"/>
              </w:rPr>
              <w:fldChar w:fldCharType="begin"/>
            </w:r>
            <w:r>
              <w:rPr>
                <w:rFonts w:ascii="Times New Roman"/>
                <w:b/>
                <w:bCs/>
                <w:snapToGrid w:val="0"/>
                <w:color w:val="auto"/>
                <w:kern w:val="21"/>
                <w:sz w:val="21"/>
                <w:szCs w:val="21"/>
                <w:highlight w:val="none"/>
              </w:rPr>
              <w:instrText xml:space="preserve"> = 2 \* GB3 \* MERGEFORMAT </w:instrText>
            </w:r>
            <w:r>
              <w:rPr>
                <w:rFonts w:ascii="Times New Roman"/>
                <w:b/>
                <w:bCs/>
                <w:snapToGrid w:val="0"/>
                <w:color w:val="auto"/>
                <w:kern w:val="21"/>
                <w:sz w:val="21"/>
                <w:szCs w:val="21"/>
                <w:highlight w:val="none"/>
              </w:rPr>
              <w:fldChar w:fldCharType="separate"/>
            </w:r>
            <w:r>
              <w:rPr>
                <w:rFonts w:ascii="Times New Roman"/>
                <w:b/>
                <w:bCs/>
                <w:snapToGrid w:val="0"/>
                <w:color w:val="auto"/>
                <w:kern w:val="21"/>
                <w:sz w:val="21"/>
                <w:szCs w:val="21"/>
                <w:highlight w:val="none"/>
              </w:rPr>
              <w:t>②</w:t>
            </w:r>
            <w:r>
              <w:rPr>
                <w:rFonts w:ascii="Times New Roman"/>
                <w:b/>
                <w:bCs/>
                <w:snapToGrid w:val="0"/>
                <w:color w:val="auto"/>
                <w:kern w:val="21"/>
                <w:sz w:val="21"/>
                <w:szCs w:val="21"/>
                <w:highlight w:val="none"/>
              </w:rPr>
              <w:fldChar w:fldCharType="end"/>
            </w:r>
          </w:p>
        </w:tc>
        <w:tc>
          <w:tcPr>
            <w:tcW w:w="1699" w:type="dxa"/>
            <w:noWrap w:val="0"/>
            <w:tcMar>
              <w:left w:w="28" w:type="dxa"/>
              <w:right w:w="28" w:type="dxa"/>
            </w:tcMar>
            <w:vAlign w:val="center"/>
          </w:tcPr>
          <w:p w14:paraId="5CED88BD">
            <w:pPr>
              <w:pStyle w:val="56"/>
              <w:spacing w:beforeLines="0" w:afterLines="0" w:line="240" w:lineRule="auto"/>
              <w:ind w:firstLine="0" w:firstLineChars="0"/>
              <w:rPr>
                <w:rFonts w:ascii="Times New Roman"/>
                <w:b/>
                <w:bCs/>
                <w:snapToGrid w:val="0"/>
                <w:color w:val="auto"/>
                <w:kern w:val="21"/>
                <w:sz w:val="21"/>
                <w:szCs w:val="21"/>
                <w:highlight w:val="none"/>
              </w:rPr>
            </w:pPr>
            <w:r>
              <w:rPr>
                <w:rFonts w:ascii="Times New Roman"/>
                <w:b/>
                <w:bCs/>
                <w:snapToGrid w:val="0"/>
                <w:color w:val="auto"/>
                <w:kern w:val="21"/>
                <w:sz w:val="21"/>
                <w:szCs w:val="21"/>
                <w:highlight w:val="none"/>
              </w:rPr>
              <w:t>在建工程</w:t>
            </w:r>
          </w:p>
          <w:p w14:paraId="7277EFE3">
            <w:pPr>
              <w:pStyle w:val="56"/>
              <w:spacing w:beforeLines="0" w:afterLines="0" w:line="240" w:lineRule="auto"/>
              <w:ind w:firstLine="0" w:firstLineChars="0"/>
              <w:rPr>
                <w:rFonts w:ascii="Times New Roman"/>
                <w:b/>
                <w:bCs/>
                <w:snapToGrid w:val="0"/>
                <w:color w:val="auto"/>
                <w:kern w:val="21"/>
                <w:sz w:val="21"/>
                <w:szCs w:val="21"/>
                <w:highlight w:val="none"/>
              </w:rPr>
            </w:pPr>
            <w:r>
              <w:rPr>
                <w:rFonts w:ascii="Times New Roman"/>
                <w:b/>
                <w:bCs/>
                <w:snapToGrid w:val="0"/>
                <w:color w:val="auto"/>
                <w:kern w:val="21"/>
                <w:sz w:val="21"/>
                <w:szCs w:val="21"/>
                <w:highlight w:val="none"/>
              </w:rPr>
              <w:t>排放量(固体废物产生量)</w:t>
            </w:r>
            <w:r>
              <w:rPr>
                <w:rFonts w:ascii="Times New Roman"/>
                <w:b/>
                <w:bCs/>
                <w:snapToGrid w:val="0"/>
                <w:color w:val="auto"/>
                <w:kern w:val="21"/>
                <w:sz w:val="21"/>
                <w:szCs w:val="21"/>
                <w:highlight w:val="none"/>
              </w:rPr>
              <w:fldChar w:fldCharType="begin"/>
            </w:r>
            <w:r>
              <w:rPr>
                <w:rFonts w:ascii="Times New Roman"/>
                <w:b/>
                <w:bCs/>
                <w:snapToGrid w:val="0"/>
                <w:color w:val="auto"/>
                <w:kern w:val="21"/>
                <w:sz w:val="21"/>
                <w:szCs w:val="21"/>
                <w:highlight w:val="none"/>
              </w:rPr>
              <w:instrText xml:space="preserve"> = 3 \* GB3 \* MERGEFORMAT </w:instrText>
            </w:r>
            <w:r>
              <w:rPr>
                <w:rFonts w:ascii="Times New Roman"/>
                <w:b/>
                <w:bCs/>
                <w:snapToGrid w:val="0"/>
                <w:color w:val="auto"/>
                <w:kern w:val="21"/>
                <w:sz w:val="21"/>
                <w:szCs w:val="21"/>
                <w:highlight w:val="none"/>
              </w:rPr>
              <w:fldChar w:fldCharType="separate"/>
            </w:r>
            <w:r>
              <w:rPr>
                <w:rFonts w:ascii="Times New Roman"/>
                <w:b/>
                <w:bCs/>
                <w:snapToGrid w:val="0"/>
                <w:color w:val="auto"/>
                <w:kern w:val="21"/>
                <w:sz w:val="21"/>
                <w:szCs w:val="21"/>
                <w:highlight w:val="none"/>
              </w:rPr>
              <w:t>③</w:t>
            </w:r>
            <w:r>
              <w:rPr>
                <w:rFonts w:ascii="Times New Roman"/>
                <w:b/>
                <w:bCs/>
                <w:snapToGrid w:val="0"/>
                <w:color w:val="auto"/>
                <w:kern w:val="21"/>
                <w:sz w:val="21"/>
                <w:szCs w:val="21"/>
                <w:highlight w:val="none"/>
              </w:rPr>
              <w:fldChar w:fldCharType="end"/>
            </w:r>
          </w:p>
        </w:tc>
        <w:tc>
          <w:tcPr>
            <w:tcW w:w="1558" w:type="dxa"/>
            <w:noWrap w:val="0"/>
            <w:tcMar>
              <w:left w:w="28" w:type="dxa"/>
              <w:right w:w="28" w:type="dxa"/>
            </w:tcMar>
            <w:vAlign w:val="center"/>
          </w:tcPr>
          <w:p w14:paraId="414FB771">
            <w:pPr>
              <w:pStyle w:val="56"/>
              <w:spacing w:beforeLines="0" w:afterLines="0" w:line="240" w:lineRule="auto"/>
              <w:ind w:firstLine="0" w:firstLineChars="0"/>
              <w:rPr>
                <w:rFonts w:ascii="Times New Roman"/>
                <w:b/>
                <w:bCs/>
                <w:snapToGrid w:val="0"/>
                <w:color w:val="auto"/>
                <w:kern w:val="21"/>
                <w:sz w:val="21"/>
                <w:szCs w:val="21"/>
                <w:highlight w:val="none"/>
              </w:rPr>
            </w:pPr>
            <w:r>
              <w:rPr>
                <w:rFonts w:ascii="Times New Roman"/>
                <w:b/>
                <w:bCs/>
                <w:snapToGrid w:val="0"/>
                <w:color w:val="auto"/>
                <w:kern w:val="21"/>
                <w:sz w:val="21"/>
                <w:szCs w:val="21"/>
                <w:highlight w:val="none"/>
              </w:rPr>
              <w:t>本项目</w:t>
            </w:r>
          </w:p>
          <w:p w14:paraId="278132E8">
            <w:pPr>
              <w:pStyle w:val="56"/>
              <w:spacing w:beforeLines="0" w:afterLines="0" w:line="240" w:lineRule="auto"/>
              <w:ind w:firstLine="0" w:firstLineChars="0"/>
              <w:rPr>
                <w:rFonts w:ascii="Times New Roman"/>
                <w:b/>
                <w:bCs/>
                <w:snapToGrid w:val="0"/>
                <w:color w:val="auto"/>
                <w:kern w:val="21"/>
                <w:sz w:val="21"/>
                <w:szCs w:val="21"/>
                <w:highlight w:val="none"/>
              </w:rPr>
            </w:pPr>
            <w:r>
              <w:rPr>
                <w:rFonts w:ascii="Times New Roman"/>
                <w:b/>
                <w:bCs/>
                <w:snapToGrid w:val="0"/>
                <w:color w:val="auto"/>
                <w:kern w:val="21"/>
                <w:sz w:val="21"/>
                <w:szCs w:val="21"/>
                <w:highlight w:val="none"/>
              </w:rPr>
              <w:t>排放量(固体废物产生量)</w:t>
            </w:r>
            <w:r>
              <w:rPr>
                <w:rFonts w:ascii="Times New Roman"/>
                <w:b/>
                <w:bCs/>
                <w:snapToGrid w:val="0"/>
                <w:color w:val="auto"/>
                <w:kern w:val="21"/>
                <w:sz w:val="21"/>
                <w:szCs w:val="21"/>
                <w:highlight w:val="none"/>
              </w:rPr>
              <w:fldChar w:fldCharType="begin"/>
            </w:r>
            <w:r>
              <w:rPr>
                <w:rFonts w:ascii="Times New Roman"/>
                <w:b/>
                <w:bCs/>
                <w:snapToGrid w:val="0"/>
                <w:color w:val="auto"/>
                <w:kern w:val="21"/>
                <w:sz w:val="21"/>
                <w:szCs w:val="21"/>
                <w:highlight w:val="none"/>
              </w:rPr>
              <w:instrText xml:space="preserve"> = 4 \* GB3 \* MERGEFORMAT </w:instrText>
            </w:r>
            <w:r>
              <w:rPr>
                <w:rFonts w:ascii="Times New Roman"/>
                <w:b/>
                <w:bCs/>
                <w:snapToGrid w:val="0"/>
                <w:color w:val="auto"/>
                <w:kern w:val="21"/>
                <w:sz w:val="21"/>
                <w:szCs w:val="21"/>
                <w:highlight w:val="none"/>
              </w:rPr>
              <w:fldChar w:fldCharType="separate"/>
            </w:r>
            <w:r>
              <w:rPr>
                <w:rFonts w:ascii="Times New Roman"/>
                <w:b/>
                <w:bCs/>
                <w:snapToGrid w:val="0"/>
                <w:color w:val="auto"/>
                <w:kern w:val="21"/>
                <w:sz w:val="21"/>
                <w:szCs w:val="21"/>
                <w:highlight w:val="none"/>
              </w:rPr>
              <w:t>④</w:t>
            </w:r>
            <w:r>
              <w:rPr>
                <w:rFonts w:ascii="Times New Roman"/>
                <w:b/>
                <w:bCs/>
                <w:snapToGrid w:val="0"/>
                <w:color w:val="auto"/>
                <w:kern w:val="21"/>
                <w:sz w:val="21"/>
                <w:szCs w:val="21"/>
                <w:highlight w:val="none"/>
              </w:rPr>
              <w:fldChar w:fldCharType="end"/>
            </w:r>
          </w:p>
        </w:tc>
        <w:tc>
          <w:tcPr>
            <w:tcW w:w="1442" w:type="dxa"/>
            <w:noWrap w:val="0"/>
            <w:tcMar>
              <w:left w:w="28" w:type="dxa"/>
              <w:right w:w="28" w:type="dxa"/>
            </w:tcMar>
            <w:vAlign w:val="center"/>
          </w:tcPr>
          <w:p w14:paraId="1B997B67">
            <w:pPr>
              <w:pStyle w:val="56"/>
              <w:spacing w:beforeLines="0" w:afterLines="0" w:line="240" w:lineRule="auto"/>
              <w:ind w:firstLine="0" w:firstLineChars="0"/>
              <w:rPr>
                <w:rFonts w:ascii="Times New Roman"/>
                <w:b/>
                <w:bCs/>
                <w:snapToGrid w:val="0"/>
                <w:color w:val="auto"/>
                <w:kern w:val="21"/>
                <w:sz w:val="21"/>
                <w:szCs w:val="21"/>
                <w:highlight w:val="none"/>
              </w:rPr>
            </w:pPr>
            <w:r>
              <w:rPr>
                <w:rFonts w:ascii="Times New Roman"/>
                <w:b/>
                <w:bCs/>
                <w:snapToGrid w:val="0"/>
                <w:color w:val="auto"/>
                <w:kern w:val="21"/>
                <w:sz w:val="21"/>
                <w:szCs w:val="21"/>
                <w:highlight w:val="none"/>
              </w:rPr>
              <w:t>以新带老削减量(新建项目不填)</w:t>
            </w:r>
            <w:r>
              <w:rPr>
                <w:rFonts w:ascii="Times New Roman"/>
                <w:b/>
                <w:bCs/>
                <w:snapToGrid w:val="0"/>
                <w:color w:val="auto"/>
                <w:kern w:val="21"/>
                <w:sz w:val="21"/>
                <w:szCs w:val="21"/>
                <w:highlight w:val="none"/>
              </w:rPr>
              <w:fldChar w:fldCharType="begin"/>
            </w:r>
            <w:r>
              <w:rPr>
                <w:rFonts w:ascii="Times New Roman"/>
                <w:b/>
                <w:bCs/>
                <w:snapToGrid w:val="0"/>
                <w:color w:val="auto"/>
                <w:kern w:val="21"/>
                <w:sz w:val="21"/>
                <w:szCs w:val="21"/>
                <w:highlight w:val="none"/>
              </w:rPr>
              <w:instrText xml:space="preserve"> = 5 \* GB3 \* MERGEFORMAT </w:instrText>
            </w:r>
            <w:r>
              <w:rPr>
                <w:rFonts w:ascii="Times New Roman"/>
                <w:b/>
                <w:bCs/>
                <w:snapToGrid w:val="0"/>
                <w:color w:val="auto"/>
                <w:kern w:val="21"/>
                <w:sz w:val="21"/>
                <w:szCs w:val="21"/>
                <w:highlight w:val="none"/>
              </w:rPr>
              <w:fldChar w:fldCharType="separate"/>
            </w:r>
            <w:r>
              <w:rPr>
                <w:rFonts w:ascii="Times New Roman"/>
                <w:b/>
                <w:bCs/>
                <w:snapToGrid w:val="0"/>
                <w:color w:val="auto"/>
                <w:kern w:val="21"/>
                <w:sz w:val="21"/>
                <w:szCs w:val="21"/>
                <w:highlight w:val="none"/>
              </w:rPr>
              <w:t>⑤</w:t>
            </w:r>
            <w:r>
              <w:rPr>
                <w:rFonts w:ascii="Times New Roman"/>
                <w:b/>
                <w:bCs/>
                <w:snapToGrid w:val="0"/>
                <w:color w:val="auto"/>
                <w:kern w:val="21"/>
                <w:sz w:val="21"/>
                <w:szCs w:val="21"/>
                <w:highlight w:val="none"/>
              </w:rPr>
              <w:fldChar w:fldCharType="end"/>
            </w:r>
          </w:p>
        </w:tc>
        <w:tc>
          <w:tcPr>
            <w:tcW w:w="1787" w:type="dxa"/>
            <w:noWrap w:val="0"/>
            <w:tcMar>
              <w:left w:w="28" w:type="dxa"/>
              <w:right w:w="28" w:type="dxa"/>
            </w:tcMar>
            <w:vAlign w:val="center"/>
          </w:tcPr>
          <w:p w14:paraId="5E0DA577">
            <w:pPr>
              <w:pStyle w:val="56"/>
              <w:spacing w:beforeLines="0" w:afterLines="0" w:line="240" w:lineRule="auto"/>
              <w:ind w:firstLine="0" w:firstLineChars="0"/>
              <w:rPr>
                <w:rFonts w:ascii="Times New Roman"/>
                <w:b/>
                <w:bCs/>
                <w:snapToGrid w:val="0"/>
                <w:color w:val="auto"/>
                <w:kern w:val="21"/>
                <w:sz w:val="21"/>
                <w:szCs w:val="21"/>
                <w:highlight w:val="none"/>
              </w:rPr>
            </w:pPr>
            <w:r>
              <w:rPr>
                <w:rFonts w:ascii="Times New Roman"/>
                <w:b/>
                <w:bCs/>
                <w:snapToGrid w:val="0"/>
                <w:color w:val="auto"/>
                <w:kern w:val="21"/>
                <w:sz w:val="21"/>
                <w:szCs w:val="21"/>
                <w:highlight w:val="none"/>
              </w:rPr>
              <w:t>本项目建成后</w:t>
            </w:r>
          </w:p>
          <w:p w14:paraId="566DB3DC">
            <w:pPr>
              <w:pStyle w:val="56"/>
              <w:spacing w:beforeLines="0" w:afterLines="0" w:line="240" w:lineRule="auto"/>
              <w:ind w:firstLine="0" w:firstLineChars="0"/>
              <w:rPr>
                <w:rFonts w:ascii="Times New Roman"/>
                <w:b/>
                <w:bCs/>
                <w:snapToGrid w:val="0"/>
                <w:color w:val="auto"/>
                <w:kern w:val="21"/>
                <w:sz w:val="21"/>
                <w:szCs w:val="21"/>
                <w:highlight w:val="none"/>
              </w:rPr>
            </w:pPr>
            <w:r>
              <w:rPr>
                <w:rFonts w:ascii="Times New Roman"/>
                <w:b/>
                <w:bCs/>
                <w:snapToGrid w:val="0"/>
                <w:color w:val="auto"/>
                <w:kern w:val="21"/>
                <w:sz w:val="21"/>
                <w:szCs w:val="21"/>
                <w:highlight w:val="none"/>
              </w:rPr>
              <w:t>全厂排放量(固体废物产生量)</w:t>
            </w:r>
            <w:r>
              <w:rPr>
                <w:rFonts w:ascii="Times New Roman"/>
                <w:b/>
                <w:bCs/>
                <w:snapToGrid w:val="0"/>
                <w:color w:val="auto"/>
                <w:kern w:val="21"/>
                <w:sz w:val="21"/>
                <w:szCs w:val="21"/>
                <w:highlight w:val="none"/>
              </w:rPr>
              <w:fldChar w:fldCharType="begin"/>
            </w:r>
            <w:r>
              <w:rPr>
                <w:rFonts w:ascii="Times New Roman"/>
                <w:b/>
                <w:bCs/>
                <w:snapToGrid w:val="0"/>
                <w:color w:val="auto"/>
                <w:kern w:val="21"/>
                <w:sz w:val="21"/>
                <w:szCs w:val="21"/>
                <w:highlight w:val="none"/>
              </w:rPr>
              <w:instrText xml:space="preserve"> = 6 \* GB3 \* MERGEFORMAT </w:instrText>
            </w:r>
            <w:r>
              <w:rPr>
                <w:rFonts w:ascii="Times New Roman"/>
                <w:b/>
                <w:bCs/>
                <w:snapToGrid w:val="0"/>
                <w:color w:val="auto"/>
                <w:kern w:val="21"/>
                <w:sz w:val="21"/>
                <w:szCs w:val="21"/>
                <w:highlight w:val="none"/>
              </w:rPr>
              <w:fldChar w:fldCharType="separate"/>
            </w:r>
            <w:r>
              <w:rPr>
                <w:rFonts w:ascii="Times New Roman"/>
                <w:b/>
                <w:bCs/>
                <w:snapToGrid w:val="0"/>
                <w:color w:val="auto"/>
                <w:kern w:val="21"/>
                <w:sz w:val="21"/>
                <w:szCs w:val="21"/>
                <w:highlight w:val="none"/>
              </w:rPr>
              <w:t>⑥</w:t>
            </w:r>
            <w:r>
              <w:rPr>
                <w:rFonts w:ascii="Times New Roman"/>
                <w:b/>
                <w:bCs/>
                <w:snapToGrid w:val="0"/>
                <w:color w:val="auto"/>
                <w:kern w:val="21"/>
                <w:sz w:val="21"/>
                <w:szCs w:val="21"/>
                <w:highlight w:val="none"/>
              </w:rPr>
              <w:fldChar w:fldCharType="end"/>
            </w:r>
          </w:p>
        </w:tc>
        <w:tc>
          <w:tcPr>
            <w:tcW w:w="1315" w:type="dxa"/>
            <w:noWrap w:val="0"/>
            <w:tcMar>
              <w:left w:w="28" w:type="dxa"/>
              <w:right w:w="28" w:type="dxa"/>
            </w:tcMar>
            <w:vAlign w:val="center"/>
          </w:tcPr>
          <w:p w14:paraId="510528D5">
            <w:pPr>
              <w:pStyle w:val="56"/>
              <w:spacing w:beforeLines="0" w:afterLines="0" w:line="240" w:lineRule="auto"/>
              <w:ind w:firstLine="0" w:firstLineChars="0"/>
              <w:rPr>
                <w:rFonts w:ascii="Times New Roman"/>
                <w:b/>
                <w:bCs/>
                <w:snapToGrid w:val="0"/>
                <w:color w:val="auto"/>
                <w:kern w:val="21"/>
                <w:sz w:val="21"/>
                <w:szCs w:val="21"/>
                <w:highlight w:val="none"/>
              </w:rPr>
            </w:pPr>
            <w:r>
              <w:rPr>
                <w:rFonts w:ascii="Times New Roman"/>
                <w:b/>
                <w:bCs/>
                <w:snapToGrid w:val="0"/>
                <w:color w:val="auto"/>
                <w:kern w:val="21"/>
                <w:sz w:val="21"/>
                <w:szCs w:val="21"/>
                <w:highlight w:val="none"/>
              </w:rPr>
              <w:t>变化量</w:t>
            </w:r>
          </w:p>
          <w:p w14:paraId="28BAA35F">
            <w:pPr>
              <w:pStyle w:val="56"/>
              <w:spacing w:beforeLines="0" w:afterLines="0" w:line="240" w:lineRule="auto"/>
              <w:ind w:firstLine="0" w:firstLineChars="0"/>
              <w:rPr>
                <w:rFonts w:ascii="Times New Roman"/>
                <w:b/>
                <w:bCs/>
                <w:snapToGrid w:val="0"/>
                <w:color w:val="auto"/>
                <w:kern w:val="21"/>
                <w:sz w:val="21"/>
                <w:szCs w:val="21"/>
                <w:highlight w:val="none"/>
              </w:rPr>
            </w:pPr>
            <w:r>
              <w:rPr>
                <w:rFonts w:ascii="Times New Roman"/>
                <w:b/>
                <w:bCs/>
                <w:snapToGrid w:val="0"/>
                <w:color w:val="auto"/>
                <w:kern w:val="21"/>
                <w:sz w:val="21"/>
                <w:szCs w:val="21"/>
                <w:highlight w:val="none"/>
              </w:rPr>
              <w:fldChar w:fldCharType="begin"/>
            </w:r>
            <w:r>
              <w:rPr>
                <w:rFonts w:ascii="Times New Roman"/>
                <w:b/>
                <w:bCs/>
                <w:snapToGrid w:val="0"/>
                <w:color w:val="auto"/>
                <w:kern w:val="21"/>
                <w:sz w:val="21"/>
                <w:szCs w:val="21"/>
                <w:highlight w:val="none"/>
              </w:rPr>
              <w:instrText xml:space="preserve"> = 7 \* GB3 \* MERGEFORMAT </w:instrText>
            </w:r>
            <w:r>
              <w:rPr>
                <w:rFonts w:ascii="Times New Roman"/>
                <w:b/>
                <w:bCs/>
                <w:snapToGrid w:val="0"/>
                <w:color w:val="auto"/>
                <w:kern w:val="21"/>
                <w:sz w:val="21"/>
                <w:szCs w:val="21"/>
                <w:highlight w:val="none"/>
              </w:rPr>
              <w:fldChar w:fldCharType="separate"/>
            </w:r>
            <w:r>
              <w:rPr>
                <w:rFonts w:ascii="Times New Roman"/>
                <w:b/>
                <w:bCs/>
                <w:snapToGrid w:val="0"/>
                <w:color w:val="auto"/>
                <w:kern w:val="21"/>
                <w:sz w:val="21"/>
                <w:szCs w:val="21"/>
                <w:highlight w:val="none"/>
              </w:rPr>
              <w:t>⑦</w:t>
            </w:r>
            <w:r>
              <w:rPr>
                <w:rFonts w:ascii="Times New Roman"/>
                <w:b/>
                <w:bCs/>
                <w:snapToGrid w:val="0"/>
                <w:color w:val="auto"/>
                <w:kern w:val="21"/>
                <w:sz w:val="21"/>
                <w:szCs w:val="21"/>
                <w:highlight w:val="none"/>
              </w:rPr>
              <w:fldChar w:fldCharType="end"/>
            </w:r>
          </w:p>
        </w:tc>
      </w:tr>
      <w:tr w14:paraId="255258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288" w:type="dxa"/>
            <w:vMerge w:val="restart"/>
            <w:noWrap w:val="0"/>
            <w:vAlign w:val="center"/>
          </w:tcPr>
          <w:p w14:paraId="781F2E3F">
            <w:pPr>
              <w:pStyle w:val="56"/>
              <w:spacing w:beforeLines="0" w:afterLines="0" w:line="240" w:lineRule="auto"/>
              <w:ind w:firstLine="0" w:firstLineChars="0"/>
              <w:rPr>
                <w:rFonts w:hint="eastAsia" w:ascii="Times New Roman" w:eastAsia="宋体"/>
                <w:snapToGrid w:val="0"/>
                <w:color w:val="auto"/>
                <w:kern w:val="21"/>
                <w:sz w:val="21"/>
                <w:szCs w:val="21"/>
                <w:highlight w:val="none"/>
                <w:lang w:val="en-US" w:eastAsia="zh-CN"/>
              </w:rPr>
            </w:pPr>
            <w:r>
              <w:rPr>
                <w:rFonts w:hint="eastAsia" w:ascii="Times New Roman"/>
                <w:snapToGrid w:val="0"/>
                <w:color w:val="auto"/>
                <w:kern w:val="21"/>
                <w:sz w:val="21"/>
                <w:szCs w:val="21"/>
                <w:highlight w:val="none"/>
                <w:lang w:val="en-US" w:eastAsia="zh-CN"/>
              </w:rPr>
              <w:t>废气</w:t>
            </w:r>
          </w:p>
        </w:tc>
        <w:tc>
          <w:tcPr>
            <w:tcW w:w="1831" w:type="dxa"/>
            <w:noWrap w:val="0"/>
            <w:vAlign w:val="center"/>
          </w:tcPr>
          <w:p w14:paraId="0A9DA1A5">
            <w:pPr>
              <w:pStyle w:val="107"/>
              <w:widowControl/>
              <w:ind w:firstLine="0" w:firstLineChars="0"/>
              <w:jc w:val="center"/>
              <w:rPr>
                <w:rFonts w:hint="eastAsia"/>
                <w:color w:val="auto"/>
                <w:sz w:val="21"/>
                <w:szCs w:val="21"/>
                <w:highlight w:val="none"/>
                <w:lang w:bidi="ar"/>
              </w:rPr>
            </w:pPr>
            <w:r>
              <w:rPr>
                <w:rFonts w:hint="eastAsia" w:ascii="Times New Roman" w:hAnsi="Times New Roman" w:eastAsia="宋体"/>
                <w:color w:val="auto"/>
                <w:sz w:val="21"/>
                <w:szCs w:val="21"/>
                <w:highlight w:val="none"/>
              </w:rPr>
              <w:t>颗粒物</w:t>
            </w:r>
          </w:p>
        </w:tc>
        <w:tc>
          <w:tcPr>
            <w:tcW w:w="1580" w:type="dxa"/>
            <w:noWrap w:val="0"/>
            <w:vAlign w:val="center"/>
          </w:tcPr>
          <w:p w14:paraId="40E93F30">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274" w:type="dxa"/>
            <w:noWrap w:val="0"/>
            <w:vAlign w:val="center"/>
          </w:tcPr>
          <w:p w14:paraId="5AA50B3E">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699" w:type="dxa"/>
            <w:noWrap w:val="0"/>
            <w:vAlign w:val="center"/>
          </w:tcPr>
          <w:p w14:paraId="4B7622DC">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558" w:type="dxa"/>
            <w:noWrap w:val="0"/>
            <w:vAlign w:val="center"/>
          </w:tcPr>
          <w:p w14:paraId="62986BDA">
            <w:pPr>
              <w:pStyle w:val="56"/>
              <w:spacing w:beforeLines="0" w:afterLines="0" w:line="240" w:lineRule="auto"/>
              <w:ind w:firstLine="0" w:firstLineChars="0"/>
              <w:rPr>
                <w:rFonts w:ascii="Times New Roman"/>
                <w:snapToGrid w:val="0"/>
                <w:color w:val="auto"/>
                <w:kern w:val="21"/>
                <w:sz w:val="21"/>
                <w:szCs w:val="21"/>
                <w:highlight w:val="none"/>
              </w:rPr>
            </w:pPr>
            <w:r>
              <w:rPr>
                <w:rFonts w:hint="eastAsia" w:ascii="Times New Roman" w:eastAsia="宋体"/>
                <w:snapToGrid w:val="0"/>
                <w:color w:val="auto"/>
                <w:kern w:val="21"/>
                <w:sz w:val="21"/>
                <w:szCs w:val="21"/>
                <w:highlight w:val="none"/>
                <w:lang w:val="en-US" w:eastAsia="zh-CN"/>
              </w:rPr>
              <w:t>6.029</w:t>
            </w:r>
            <w:r>
              <w:rPr>
                <w:rFonts w:ascii="Times New Roman" w:eastAsia="Times New Roman"/>
                <w:color w:val="auto"/>
                <w:spacing w:val="-1"/>
                <w:sz w:val="21"/>
                <w:szCs w:val="21"/>
                <w:highlight w:val="none"/>
              </w:rPr>
              <w:t>t/a</w:t>
            </w:r>
          </w:p>
        </w:tc>
        <w:tc>
          <w:tcPr>
            <w:tcW w:w="1442" w:type="dxa"/>
            <w:noWrap w:val="0"/>
            <w:vAlign w:val="center"/>
          </w:tcPr>
          <w:p w14:paraId="042C11C7">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787" w:type="dxa"/>
            <w:noWrap w:val="0"/>
            <w:vAlign w:val="center"/>
          </w:tcPr>
          <w:p w14:paraId="2ADC636F">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eastAsia="宋体"/>
                <w:snapToGrid w:val="0"/>
                <w:color w:val="auto"/>
                <w:kern w:val="21"/>
                <w:sz w:val="21"/>
                <w:szCs w:val="21"/>
                <w:highlight w:val="none"/>
                <w:lang w:val="en-US" w:eastAsia="zh-CN"/>
              </w:rPr>
              <w:t>6.029</w:t>
            </w:r>
            <w:r>
              <w:rPr>
                <w:rFonts w:ascii="Times New Roman" w:eastAsia="Times New Roman"/>
                <w:color w:val="auto"/>
                <w:spacing w:val="-1"/>
                <w:sz w:val="21"/>
                <w:szCs w:val="21"/>
                <w:highlight w:val="none"/>
              </w:rPr>
              <w:t>t/a</w:t>
            </w:r>
          </w:p>
        </w:tc>
        <w:tc>
          <w:tcPr>
            <w:tcW w:w="1315" w:type="dxa"/>
            <w:noWrap w:val="0"/>
            <w:vAlign w:val="center"/>
          </w:tcPr>
          <w:p w14:paraId="343B0AF1">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lang w:val="en-US" w:eastAsia="zh-CN"/>
              </w:rPr>
              <w:t>+</w:t>
            </w:r>
            <w:r>
              <w:rPr>
                <w:rFonts w:hint="eastAsia" w:ascii="Times New Roman" w:eastAsia="宋体"/>
                <w:snapToGrid w:val="0"/>
                <w:color w:val="auto"/>
                <w:kern w:val="21"/>
                <w:sz w:val="21"/>
                <w:szCs w:val="21"/>
                <w:highlight w:val="none"/>
                <w:lang w:val="en-US" w:eastAsia="zh-CN"/>
              </w:rPr>
              <w:t>6.029</w:t>
            </w:r>
            <w:r>
              <w:rPr>
                <w:rFonts w:ascii="Times New Roman" w:eastAsia="Times New Roman"/>
                <w:color w:val="auto"/>
                <w:spacing w:val="-1"/>
                <w:sz w:val="21"/>
                <w:szCs w:val="21"/>
                <w:highlight w:val="none"/>
              </w:rPr>
              <w:t>t/a</w:t>
            </w:r>
          </w:p>
        </w:tc>
      </w:tr>
      <w:tr w14:paraId="22AC61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288" w:type="dxa"/>
            <w:vMerge w:val="continue"/>
            <w:noWrap w:val="0"/>
            <w:vAlign w:val="center"/>
          </w:tcPr>
          <w:p w14:paraId="0757DB93">
            <w:pPr>
              <w:pStyle w:val="56"/>
              <w:spacing w:beforeLines="0" w:afterLines="0" w:line="240" w:lineRule="auto"/>
              <w:ind w:firstLine="0" w:firstLineChars="0"/>
              <w:rPr>
                <w:rFonts w:ascii="Times New Roman"/>
                <w:snapToGrid w:val="0"/>
                <w:color w:val="auto"/>
                <w:kern w:val="21"/>
                <w:sz w:val="21"/>
                <w:szCs w:val="21"/>
                <w:highlight w:val="none"/>
              </w:rPr>
            </w:pPr>
          </w:p>
        </w:tc>
        <w:tc>
          <w:tcPr>
            <w:tcW w:w="1831" w:type="dxa"/>
            <w:noWrap w:val="0"/>
            <w:vAlign w:val="center"/>
          </w:tcPr>
          <w:p w14:paraId="26C268BD">
            <w:pPr>
              <w:pStyle w:val="107"/>
              <w:widowControl/>
              <w:ind w:firstLine="0" w:firstLineChars="0"/>
              <w:jc w:val="center"/>
              <w:rPr>
                <w:rFonts w:hint="eastAsia"/>
                <w:color w:val="auto"/>
                <w:sz w:val="21"/>
                <w:szCs w:val="21"/>
                <w:highlight w:val="none"/>
                <w:lang w:bidi="ar"/>
              </w:rPr>
            </w:pPr>
            <w:r>
              <w:rPr>
                <w:rFonts w:hint="eastAsia" w:ascii="Times New Roman" w:hAnsi="Times New Roman" w:eastAsia="宋体"/>
                <w:color w:val="auto"/>
                <w:sz w:val="21"/>
                <w:szCs w:val="21"/>
                <w:highlight w:val="none"/>
              </w:rPr>
              <w:t>SO</w:t>
            </w:r>
            <w:r>
              <w:rPr>
                <w:rFonts w:hint="eastAsia" w:ascii="Times New Roman" w:hAnsi="Times New Roman" w:eastAsia="宋体"/>
                <w:color w:val="auto"/>
                <w:sz w:val="21"/>
                <w:szCs w:val="21"/>
                <w:highlight w:val="none"/>
                <w:vertAlign w:val="subscript"/>
              </w:rPr>
              <w:t>2</w:t>
            </w:r>
          </w:p>
        </w:tc>
        <w:tc>
          <w:tcPr>
            <w:tcW w:w="1580" w:type="dxa"/>
            <w:noWrap w:val="0"/>
            <w:vAlign w:val="center"/>
          </w:tcPr>
          <w:p w14:paraId="5C2FDD16">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274" w:type="dxa"/>
            <w:noWrap w:val="0"/>
            <w:vAlign w:val="center"/>
          </w:tcPr>
          <w:p w14:paraId="527E7016">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699" w:type="dxa"/>
            <w:noWrap w:val="0"/>
            <w:vAlign w:val="center"/>
          </w:tcPr>
          <w:p w14:paraId="75040743">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558" w:type="dxa"/>
            <w:noWrap w:val="0"/>
            <w:vAlign w:val="center"/>
          </w:tcPr>
          <w:p w14:paraId="372DE46D">
            <w:pPr>
              <w:pStyle w:val="56"/>
              <w:spacing w:beforeLines="0" w:afterLines="0" w:line="240" w:lineRule="auto"/>
              <w:ind w:firstLine="0" w:firstLineChars="0"/>
              <w:rPr>
                <w:rFonts w:ascii="Times New Roman"/>
                <w:snapToGrid w:val="0"/>
                <w:color w:val="auto"/>
                <w:kern w:val="21"/>
                <w:sz w:val="21"/>
                <w:szCs w:val="21"/>
                <w:highlight w:val="none"/>
              </w:rPr>
            </w:pPr>
            <w:r>
              <w:rPr>
                <w:rFonts w:hint="eastAsia" w:ascii="Times New Roman"/>
                <w:snapToGrid w:val="0"/>
                <w:color w:val="auto"/>
                <w:kern w:val="21"/>
                <w:sz w:val="21"/>
                <w:szCs w:val="21"/>
                <w:highlight w:val="none"/>
              </w:rPr>
              <w:t>0.</w:t>
            </w:r>
            <w:r>
              <w:rPr>
                <w:rFonts w:hint="eastAsia" w:ascii="Times New Roman"/>
                <w:snapToGrid w:val="0"/>
                <w:color w:val="auto"/>
                <w:kern w:val="21"/>
                <w:sz w:val="21"/>
                <w:szCs w:val="21"/>
                <w:highlight w:val="none"/>
                <w:lang w:val="en-US" w:eastAsia="zh-CN"/>
              </w:rPr>
              <w:t>213</w:t>
            </w:r>
            <w:r>
              <w:rPr>
                <w:rFonts w:ascii="Times New Roman" w:eastAsia="Times New Roman"/>
                <w:color w:val="auto"/>
                <w:spacing w:val="-1"/>
                <w:sz w:val="21"/>
                <w:szCs w:val="21"/>
                <w:highlight w:val="none"/>
              </w:rPr>
              <w:t>t/a</w:t>
            </w:r>
          </w:p>
        </w:tc>
        <w:tc>
          <w:tcPr>
            <w:tcW w:w="1442" w:type="dxa"/>
            <w:noWrap w:val="0"/>
            <w:vAlign w:val="center"/>
          </w:tcPr>
          <w:p w14:paraId="68E7304F">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787" w:type="dxa"/>
            <w:noWrap w:val="0"/>
            <w:vAlign w:val="center"/>
          </w:tcPr>
          <w:p w14:paraId="768617B6">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0.</w:t>
            </w:r>
            <w:r>
              <w:rPr>
                <w:rFonts w:hint="eastAsia" w:ascii="Times New Roman"/>
                <w:snapToGrid w:val="0"/>
                <w:color w:val="auto"/>
                <w:kern w:val="21"/>
                <w:sz w:val="21"/>
                <w:szCs w:val="21"/>
                <w:highlight w:val="none"/>
                <w:lang w:val="en-US" w:eastAsia="zh-CN"/>
              </w:rPr>
              <w:t>213</w:t>
            </w:r>
            <w:r>
              <w:rPr>
                <w:rFonts w:ascii="Times New Roman" w:eastAsia="Times New Roman"/>
                <w:color w:val="auto"/>
                <w:spacing w:val="-1"/>
                <w:sz w:val="21"/>
                <w:szCs w:val="21"/>
                <w:highlight w:val="none"/>
              </w:rPr>
              <w:t>t/a</w:t>
            </w:r>
          </w:p>
        </w:tc>
        <w:tc>
          <w:tcPr>
            <w:tcW w:w="1315" w:type="dxa"/>
            <w:noWrap w:val="0"/>
            <w:vAlign w:val="center"/>
          </w:tcPr>
          <w:p w14:paraId="61BF67D7">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lang w:val="en-US" w:eastAsia="zh-CN"/>
              </w:rPr>
              <w:t>+</w:t>
            </w:r>
            <w:r>
              <w:rPr>
                <w:rFonts w:hint="eastAsia" w:ascii="Times New Roman"/>
                <w:snapToGrid w:val="0"/>
                <w:color w:val="auto"/>
                <w:kern w:val="21"/>
                <w:sz w:val="21"/>
                <w:szCs w:val="21"/>
                <w:highlight w:val="none"/>
              </w:rPr>
              <w:t>0.</w:t>
            </w:r>
            <w:r>
              <w:rPr>
                <w:rFonts w:hint="eastAsia" w:ascii="Times New Roman"/>
                <w:snapToGrid w:val="0"/>
                <w:color w:val="auto"/>
                <w:kern w:val="21"/>
                <w:sz w:val="21"/>
                <w:szCs w:val="21"/>
                <w:highlight w:val="none"/>
                <w:lang w:val="en-US" w:eastAsia="zh-CN"/>
              </w:rPr>
              <w:t>213</w:t>
            </w:r>
            <w:r>
              <w:rPr>
                <w:rFonts w:ascii="Times New Roman" w:eastAsia="Times New Roman"/>
                <w:color w:val="auto"/>
                <w:spacing w:val="-1"/>
                <w:sz w:val="21"/>
                <w:szCs w:val="21"/>
                <w:highlight w:val="none"/>
              </w:rPr>
              <w:t>t/a</w:t>
            </w:r>
          </w:p>
        </w:tc>
      </w:tr>
      <w:tr w14:paraId="5889D1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288" w:type="dxa"/>
            <w:vMerge w:val="continue"/>
            <w:noWrap w:val="0"/>
            <w:vAlign w:val="center"/>
          </w:tcPr>
          <w:p w14:paraId="46A661CA">
            <w:pPr>
              <w:pStyle w:val="56"/>
              <w:spacing w:beforeLines="0" w:afterLines="0" w:line="240" w:lineRule="auto"/>
              <w:ind w:firstLine="0" w:firstLineChars="0"/>
              <w:rPr>
                <w:rFonts w:ascii="Times New Roman"/>
                <w:snapToGrid w:val="0"/>
                <w:color w:val="auto"/>
                <w:kern w:val="21"/>
                <w:sz w:val="21"/>
                <w:szCs w:val="21"/>
                <w:highlight w:val="none"/>
              </w:rPr>
            </w:pPr>
          </w:p>
        </w:tc>
        <w:tc>
          <w:tcPr>
            <w:tcW w:w="1831" w:type="dxa"/>
            <w:noWrap w:val="0"/>
            <w:vAlign w:val="center"/>
          </w:tcPr>
          <w:p w14:paraId="6DC2646B">
            <w:pPr>
              <w:pStyle w:val="107"/>
              <w:widowControl/>
              <w:ind w:firstLine="0" w:firstLineChars="0"/>
              <w:jc w:val="center"/>
              <w:rPr>
                <w:rFonts w:hint="eastAsia"/>
                <w:color w:val="auto"/>
                <w:sz w:val="21"/>
                <w:szCs w:val="21"/>
                <w:highlight w:val="none"/>
                <w:lang w:bidi="ar"/>
              </w:rPr>
            </w:pPr>
            <w:r>
              <w:rPr>
                <w:rFonts w:hint="eastAsia" w:ascii="Times New Roman" w:hAnsi="Times New Roman" w:eastAsia="宋体"/>
                <w:color w:val="auto"/>
                <w:sz w:val="21"/>
                <w:szCs w:val="21"/>
                <w:highlight w:val="none"/>
              </w:rPr>
              <w:t>NO</w:t>
            </w:r>
            <w:r>
              <w:rPr>
                <w:rFonts w:hint="eastAsia" w:ascii="Times New Roman" w:hAnsi="Times New Roman" w:eastAsia="宋体"/>
                <w:color w:val="auto"/>
                <w:sz w:val="21"/>
                <w:szCs w:val="21"/>
                <w:highlight w:val="none"/>
                <w:vertAlign w:val="subscript"/>
              </w:rPr>
              <w:t>X</w:t>
            </w:r>
          </w:p>
        </w:tc>
        <w:tc>
          <w:tcPr>
            <w:tcW w:w="1580" w:type="dxa"/>
            <w:noWrap w:val="0"/>
            <w:vAlign w:val="center"/>
          </w:tcPr>
          <w:p w14:paraId="67AAA65B">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274" w:type="dxa"/>
            <w:noWrap w:val="0"/>
            <w:vAlign w:val="center"/>
          </w:tcPr>
          <w:p w14:paraId="04CBD80E">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699" w:type="dxa"/>
            <w:noWrap w:val="0"/>
            <w:vAlign w:val="center"/>
          </w:tcPr>
          <w:p w14:paraId="2CBDD7C8">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558" w:type="dxa"/>
            <w:noWrap w:val="0"/>
            <w:vAlign w:val="center"/>
          </w:tcPr>
          <w:p w14:paraId="463784DF">
            <w:pPr>
              <w:pStyle w:val="56"/>
              <w:spacing w:beforeLines="0" w:afterLines="0" w:line="240" w:lineRule="auto"/>
              <w:ind w:firstLine="0" w:firstLineChars="0"/>
              <w:rPr>
                <w:rFonts w:ascii="Times New Roman"/>
                <w:snapToGrid w:val="0"/>
                <w:color w:val="auto"/>
                <w:kern w:val="21"/>
                <w:sz w:val="21"/>
                <w:szCs w:val="21"/>
                <w:highlight w:val="none"/>
              </w:rPr>
            </w:pPr>
            <w:r>
              <w:rPr>
                <w:rFonts w:hint="eastAsia" w:ascii="Times New Roman"/>
                <w:snapToGrid w:val="0"/>
                <w:color w:val="auto"/>
                <w:kern w:val="21"/>
                <w:sz w:val="21"/>
                <w:szCs w:val="21"/>
                <w:highlight w:val="none"/>
                <w:lang w:val="en-US" w:eastAsia="zh-CN"/>
              </w:rPr>
              <w:t>2.826</w:t>
            </w:r>
            <w:r>
              <w:rPr>
                <w:rFonts w:ascii="Times New Roman" w:eastAsia="Times New Roman"/>
                <w:color w:val="auto"/>
                <w:spacing w:val="-1"/>
                <w:sz w:val="21"/>
                <w:szCs w:val="21"/>
                <w:highlight w:val="none"/>
              </w:rPr>
              <w:t>t/a</w:t>
            </w:r>
          </w:p>
        </w:tc>
        <w:tc>
          <w:tcPr>
            <w:tcW w:w="1442" w:type="dxa"/>
            <w:noWrap w:val="0"/>
            <w:vAlign w:val="center"/>
          </w:tcPr>
          <w:p w14:paraId="69A39112">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787" w:type="dxa"/>
            <w:noWrap w:val="0"/>
            <w:vAlign w:val="center"/>
          </w:tcPr>
          <w:p w14:paraId="2E0686B1">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lang w:val="en-US" w:eastAsia="zh-CN"/>
              </w:rPr>
              <w:t>2.826</w:t>
            </w:r>
            <w:r>
              <w:rPr>
                <w:rFonts w:ascii="Times New Roman" w:eastAsia="Times New Roman"/>
                <w:color w:val="auto"/>
                <w:spacing w:val="-1"/>
                <w:sz w:val="21"/>
                <w:szCs w:val="21"/>
                <w:highlight w:val="none"/>
              </w:rPr>
              <w:t>t/a</w:t>
            </w:r>
          </w:p>
        </w:tc>
        <w:tc>
          <w:tcPr>
            <w:tcW w:w="1315" w:type="dxa"/>
            <w:noWrap w:val="0"/>
            <w:vAlign w:val="center"/>
          </w:tcPr>
          <w:p w14:paraId="7241E186">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lang w:val="en-US" w:eastAsia="zh-CN"/>
              </w:rPr>
              <w:t>+2.826</w:t>
            </w:r>
            <w:r>
              <w:rPr>
                <w:rFonts w:ascii="Times New Roman" w:eastAsia="Times New Roman"/>
                <w:color w:val="auto"/>
                <w:spacing w:val="-1"/>
                <w:sz w:val="21"/>
                <w:szCs w:val="21"/>
                <w:highlight w:val="none"/>
              </w:rPr>
              <w:t>t/a</w:t>
            </w:r>
          </w:p>
        </w:tc>
      </w:tr>
      <w:tr w14:paraId="54AAAC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288" w:type="dxa"/>
            <w:vMerge w:val="continue"/>
            <w:noWrap w:val="0"/>
            <w:vAlign w:val="center"/>
          </w:tcPr>
          <w:p w14:paraId="1CB67B28">
            <w:pPr>
              <w:pStyle w:val="56"/>
              <w:spacing w:beforeLines="0" w:afterLines="0" w:line="240" w:lineRule="auto"/>
              <w:ind w:firstLine="0" w:firstLineChars="0"/>
              <w:rPr>
                <w:rFonts w:ascii="Times New Roman"/>
                <w:snapToGrid w:val="0"/>
                <w:color w:val="auto"/>
                <w:kern w:val="21"/>
                <w:sz w:val="21"/>
                <w:szCs w:val="21"/>
                <w:highlight w:val="none"/>
              </w:rPr>
            </w:pPr>
          </w:p>
        </w:tc>
        <w:tc>
          <w:tcPr>
            <w:tcW w:w="1831" w:type="dxa"/>
            <w:noWrap w:val="0"/>
            <w:vAlign w:val="center"/>
          </w:tcPr>
          <w:p w14:paraId="10AB901F">
            <w:pPr>
              <w:pStyle w:val="107"/>
              <w:widowControl/>
              <w:ind w:firstLine="0" w:firstLineChars="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沥青烟</w:t>
            </w:r>
          </w:p>
        </w:tc>
        <w:tc>
          <w:tcPr>
            <w:tcW w:w="1580" w:type="dxa"/>
            <w:noWrap w:val="0"/>
            <w:vAlign w:val="center"/>
          </w:tcPr>
          <w:p w14:paraId="1B1FE0B1">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274" w:type="dxa"/>
            <w:noWrap w:val="0"/>
            <w:vAlign w:val="center"/>
          </w:tcPr>
          <w:p w14:paraId="6BFD57F1">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699" w:type="dxa"/>
            <w:noWrap w:val="0"/>
            <w:vAlign w:val="center"/>
          </w:tcPr>
          <w:p w14:paraId="07F6AE63">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558" w:type="dxa"/>
            <w:noWrap w:val="0"/>
            <w:vAlign w:val="center"/>
          </w:tcPr>
          <w:p w14:paraId="4F6E6D97">
            <w:pPr>
              <w:pStyle w:val="56"/>
              <w:spacing w:beforeLines="0" w:afterLines="0" w:line="240" w:lineRule="auto"/>
              <w:ind w:firstLine="0" w:firstLineChars="0"/>
              <w:rPr>
                <w:rFonts w:hint="default" w:ascii="Times New Roman" w:eastAsia="宋体"/>
                <w:snapToGrid w:val="0"/>
                <w:color w:val="auto"/>
                <w:kern w:val="21"/>
                <w:sz w:val="21"/>
                <w:szCs w:val="21"/>
                <w:highlight w:val="none"/>
                <w:lang w:val="en-US" w:eastAsia="zh-CN"/>
              </w:rPr>
            </w:pPr>
            <w:r>
              <w:rPr>
                <w:rFonts w:hint="eastAsia" w:ascii="Times New Roman"/>
                <w:snapToGrid w:val="0"/>
                <w:color w:val="auto"/>
                <w:kern w:val="21"/>
                <w:sz w:val="21"/>
                <w:szCs w:val="21"/>
                <w:highlight w:val="none"/>
                <w:lang w:val="en-US" w:eastAsia="zh-CN"/>
              </w:rPr>
              <w:t>0.3158</w:t>
            </w:r>
            <w:r>
              <w:rPr>
                <w:rFonts w:ascii="Times New Roman" w:eastAsia="Times New Roman"/>
                <w:color w:val="auto"/>
                <w:spacing w:val="-1"/>
                <w:sz w:val="21"/>
                <w:szCs w:val="21"/>
                <w:highlight w:val="none"/>
              </w:rPr>
              <w:t>t/a</w:t>
            </w:r>
          </w:p>
        </w:tc>
        <w:tc>
          <w:tcPr>
            <w:tcW w:w="1442" w:type="dxa"/>
            <w:noWrap w:val="0"/>
            <w:vAlign w:val="center"/>
          </w:tcPr>
          <w:p w14:paraId="2888C2C4">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787" w:type="dxa"/>
            <w:noWrap w:val="0"/>
            <w:vAlign w:val="center"/>
          </w:tcPr>
          <w:p w14:paraId="50CFCFF0">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lang w:val="en-US" w:eastAsia="zh-CN"/>
              </w:rPr>
              <w:t>0.3158</w:t>
            </w:r>
            <w:r>
              <w:rPr>
                <w:rFonts w:ascii="Times New Roman" w:eastAsia="Times New Roman"/>
                <w:color w:val="auto"/>
                <w:spacing w:val="-1"/>
                <w:sz w:val="21"/>
                <w:szCs w:val="21"/>
                <w:highlight w:val="none"/>
              </w:rPr>
              <w:t>t/a</w:t>
            </w:r>
          </w:p>
        </w:tc>
        <w:tc>
          <w:tcPr>
            <w:tcW w:w="1315" w:type="dxa"/>
            <w:noWrap w:val="0"/>
            <w:vAlign w:val="center"/>
          </w:tcPr>
          <w:p w14:paraId="7EC94934">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lang w:val="en-US" w:eastAsia="zh-CN"/>
              </w:rPr>
              <w:t>+0.3158</w:t>
            </w:r>
            <w:r>
              <w:rPr>
                <w:rFonts w:ascii="Times New Roman" w:eastAsia="Times New Roman"/>
                <w:color w:val="auto"/>
                <w:spacing w:val="-1"/>
                <w:sz w:val="21"/>
                <w:szCs w:val="21"/>
                <w:highlight w:val="none"/>
              </w:rPr>
              <w:t>t/a</w:t>
            </w:r>
          </w:p>
        </w:tc>
      </w:tr>
      <w:tr w14:paraId="6D355F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288" w:type="dxa"/>
            <w:vMerge w:val="continue"/>
            <w:noWrap w:val="0"/>
            <w:vAlign w:val="center"/>
          </w:tcPr>
          <w:p w14:paraId="2E7FA02B">
            <w:pPr>
              <w:pStyle w:val="56"/>
              <w:spacing w:beforeLines="0" w:afterLines="0" w:line="240" w:lineRule="auto"/>
              <w:ind w:firstLine="0" w:firstLineChars="0"/>
              <w:rPr>
                <w:rFonts w:ascii="Times New Roman"/>
                <w:snapToGrid w:val="0"/>
                <w:color w:val="auto"/>
                <w:kern w:val="21"/>
                <w:sz w:val="21"/>
                <w:szCs w:val="21"/>
                <w:highlight w:val="none"/>
              </w:rPr>
            </w:pPr>
          </w:p>
        </w:tc>
        <w:tc>
          <w:tcPr>
            <w:tcW w:w="1831" w:type="dxa"/>
            <w:noWrap w:val="0"/>
            <w:vAlign w:val="center"/>
          </w:tcPr>
          <w:p w14:paraId="4FF24FDE">
            <w:pPr>
              <w:pStyle w:val="107"/>
              <w:widowControl/>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苯并[a]芘</w:t>
            </w:r>
          </w:p>
        </w:tc>
        <w:tc>
          <w:tcPr>
            <w:tcW w:w="1580" w:type="dxa"/>
            <w:noWrap w:val="0"/>
            <w:vAlign w:val="center"/>
          </w:tcPr>
          <w:p w14:paraId="7EEA21AC">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274" w:type="dxa"/>
            <w:noWrap w:val="0"/>
            <w:vAlign w:val="center"/>
          </w:tcPr>
          <w:p w14:paraId="4EE45F93">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699" w:type="dxa"/>
            <w:noWrap w:val="0"/>
            <w:vAlign w:val="center"/>
          </w:tcPr>
          <w:p w14:paraId="18D198E7">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558" w:type="dxa"/>
            <w:noWrap w:val="0"/>
            <w:vAlign w:val="center"/>
          </w:tcPr>
          <w:p w14:paraId="469C90EC">
            <w:pPr>
              <w:pStyle w:val="56"/>
              <w:spacing w:beforeLines="0" w:afterLines="0" w:line="240" w:lineRule="auto"/>
              <w:ind w:firstLine="0" w:firstLineChars="0"/>
              <w:rPr>
                <w:rFonts w:hint="default" w:ascii="Times New Roman" w:eastAsia="宋体"/>
                <w:snapToGrid w:val="0"/>
                <w:color w:val="auto"/>
                <w:kern w:val="21"/>
                <w:sz w:val="21"/>
                <w:szCs w:val="21"/>
                <w:highlight w:val="none"/>
                <w:lang w:val="en-US" w:eastAsia="zh-CN"/>
              </w:rPr>
            </w:pPr>
            <w:r>
              <w:rPr>
                <w:rFonts w:hint="eastAsia" w:ascii="Times New Roman"/>
                <w:snapToGrid w:val="0"/>
                <w:color w:val="auto"/>
                <w:kern w:val="21"/>
                <w:sz w:val="21"/>
                <w:szCs w:val="21"/>
                <w:highlight w:val="none"/>
                <w:lang w:val="en-US" w:eastAsia="zh-CN"/>
              </w:rPr>
              <w:t>0.00045</w:t>
            </w:r>
            <w:r>
              <w:rPr>
                <w:rFonts w:ascii="Times New Roman" w:eastAsia="Times New Roman"/>
                <w:color w:val="auto"/>
                <w:spacing w:val="-1"/>
                <w:sz w:val="21"/>
                <w:szCs w:val="21"/>
                <w:highlight w:val="none"/>
              </w:rPr>
              <w:t>t/a</w:t>
            </w:r>
          </w:p>
        </w:tc>
        <w:tc>
          <w:tcPr>
            <w:tcW w:w="1442" w:type="dxa"/>
            <w:noWrap w:val="0"/>
            <w:vAlign w:val="center"/>
          </w:tcPr>
          <w:p w14:paraId="5D1949DC">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787" w:type="dxa"/>
            <w:noWrap w:val="0"/>
            <w:vAlign w:val="center"/>
          </w:tcPr>
          <w:p w14:paraId="2BC7DE3D">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lang w:val="en-US" w:eastAsia="zh-CN"/>
              </w:rPr>
              <w:t>0.00045</w:t>
            </w:r>
            <w:r>
              <w:rPr>
                <w:rFonts w:ascii="Times New Roman" w:eastAsia="Times New Roman"/>
                <w:color w:val="auto"/>
                <w:spacing w:val="-1"/>
                <w:sz w:val="21"/>
                <w:szCs w:val="21"/>
                <w:highlight w:val="none"/>
              </w:rPr>
              <w:t>t/a</w:t>
            </w:r>
          </w:p>
        </w:tc>
        <w:tc>
          <w:tcPr>
            <w:tcW w:w="1315" w:type="dxa"/>
            <w:noWrap w:val="0"/>
            <w:vAlign w:val="center"/>
          </w:tcPr>
          <w:p w14:paraId="3691E08F">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lang w:val="en-US" w:eastAsia="zh-CN"/>
              </w:rPr>
              <w:t>+0.00045</w:t>
            </w:r>
            <w:r>
              <w:rPr>
                <w:rFonts w:ascii="Times New Roman" w:eastAsia="Times New Roman"/>
                <w:color w:val="auto"/>
                <w:spacing w:val="-1"/>
                <w:sz w:val="21"/>
                <w:szCs w:val="21"/>
                <w:highlight w:val="none"/>
              </w:rPr>
              <w:t>t/a</w:t>
            </w:r>
          </w:p>
        </w:tc>
      </w:tr>
      <w:tr w14:paraId="50D87C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288" w:type="dxa"/>
            <w:vMerge w:val="continue"/>
            <w:noWrap w:val="0"/>
            <w:vAlign w:val="center"/>
          </w:tcPr>
          <w:p w14:paraId="59D1AC3F">
            <w:pPr>
              <w:pStyle w:val="56"/>
              <w:spacing w:beforeLines="0" w:afterLines="0" w:line="240" w:lineRule="auto"/>
              <w:ind w:firstLine="0" w:firstLineChars="0"/>
              <w:rPr>
                <w:rFonts w:ascii="Times New Roman"/>
                <w:snapToGrid w:val="0"/>
                <w:color w:val="auto"/>
                <w:kern w:val="21"/>
                <w:sz w:val="21"/>
                <w:szCs w:val="21"/>
                <w:highlight w:val="none"/>
              </w:rPr>
            </w:pPr>
          </w:p>
        </w:tc>
        <w:tc>
          <w:tcPr>
            <w:tcW w:w="1831" w:type="dxa"/>
            <w:noWrap w:val="0"/>
            <w:vAlign w:val="center"/>
          </w:tcPr>
          <w:p w14:paraId="7E745DFA">
            <w:pPr>
              <w:pStyle w:val="107"/>
              <w:widowControl/>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非甲烷总烃</w:t>
            </w:r>
          </w:p>
        </w:tc>
        <w:tc>
          <w:tcPr>
            <w:tcW w:w="1580" w:type="dxa"/>
            <w:noWrap w:val="0"/>
            <w:vAlign w:val="center"/>
          </w:tcPr>
          <w:p w14:paraId="4DDC4526">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274" w:type="dxa"/>
            <w:noWrap w:val="0"/>
            <w:vAlign w:val="center"/>
          </w:tcPr>
          <w:p w14:paraId="538A7709">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699" w:type="dxa"/>
            <w:noWrap w:val="0"/>
            <w:vAlign w:val="center"/>
          </w:tcPr>
          <w:p w14:paraId="1AAB18E3">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558" w:type="dxa"/>
            <w:noWrap w:val="0"/>
            <w:vAlign w:val="center"/>
          </w:tcPr>
          <w:p w14:paraId="30719812">
            <w:pPr>
              <w:pStyle w:val="56"/>
              <w:spacing w:beforeLines="0" w:afterLines="0" w:line="240" w:lineRule="auto"/>
              <w:ind w:firstLine="0" w:firstLineChars="0"/>
              <w:rPr>
                <w:rFonts w:hint="default" w:ascii="Times New Roman" w:eastAsia="宋体"/>
                <w:snapToGrid w:val="0"/>
                <w:color w:val="auto"/>
                <w:kern w:val="21"/>
                <w:sz w:val="21"/>
                <w:szCs w:val="21"/>
                <w:highlight w:val="none"/>
                <w:lang w:val="en-US" w:eastAsia="zh-CN"/>
              </w:rPr>
            </w:pPr>
            <w:r>
              <w:rPr>
                <w:rFonts w:hint="eastAsia" w:ascii="Times New Roman"/>
                <w:snapToGrid w:val="0"/>
                <w:color w:val="auto"/>
                <w:kern w:val="21"/>
                <w:sz w:val="21"/>
                <w:szCs w:val="21"/>
                <w:highlight w:val="none"/>
                <w:lang w:val="en-US" w:eastAsia="zh-CN"/>
              </w:rPr>
              <w:t>0.0103</w:t>
            </w:r>
            <w:r>
              <w:rPr>
                <w:rFonts w:ascii="Times New Roman" w:eastAsia="Times New Roman"/>
                <w:color w:val="auto"/>
                <w:spacing w:val="-1"/>
                <w:sz w:val="21"/>
                <w:szCs w:val="21"/>
                <w:highlight w:val="none"/>
              </w:rPr>
              <w:t>t/a</w:t>
            </w:r>
          </w:p>
        </w:tc>
        <w:tc>
          <w:tcPr>
            <w:tcW w:w="1442" w:type="dxa"/>
            <w:noWrap w:val="0"/>
            <w:vAlign w:val="center"/>
          </w:tcPr>
          <w:p w14:paraId="3118B190">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787" w:type="dxa"/>
            <w:noWrap w:val="0"/>
            <w:vAlign w:val="center"/>
          </w:tcPr>
          <w:p w14:paraId="54272D1B">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lang w:val="en-US" w:eastAsia="zh-CN"/>
              </w:rPr>
              <w:t>0.0103</w:t>
            </w:r>
            <w:r>
              <w:rPr>
                <w:rFonts w:ascii="Times New Roman" w:eastAsia="Times New Roman"/>
                <w:color w:val="auto"/>
                <w:spacing w:val="-1"/>
                <w:sz w:val="21"/>
                <w:szCs w:val="21"/>
                <w:highlight w:val="none"/>
              </w:rPr>
              <w:t>t/a</w:t>
            </w:r>
          </w:p>
        </w:tc>
        <w:tc>
          <w:tcPr>
            <w:tcW w:w="1315" w:type="dxa"/>
            <w:noWrap w:val="0"/>
            <w:vAlign w:val="center"/>
          </w:tcPr>
          <w:p w14:paraId="5A8634A7">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lang w:val="en-US" w:eastAsia="zh-CN"/>
              </w:rPr>
              <w:t>+0.0103</w:t>
            </w:r>
            <w:r>
              <w:rPr>
                <w:rFonts w:ascii="Times New Roman" w:eastAsia="Times New Roman"/>
                <w:color w:val="auto"/>
                <w:spacing w:val="-1"/>
                <w:sz w:val="21"/>
                <w:szCs w:val="21"/>
                <w:highlight w:val="none"/>
              </w:rPr>
              <w:t>t/a</w:t>
            </w:r>
          </w:p>
        </w:tc>
      </w:tr>
      <w:tr w14:paraId="344824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288" w:type="dxa"/>
            <w:vMerge w:val="continue"/>
            <w:noWrap w:val="0"/>
            <w:vAlign w:val="center"/>
          </w:tcPr>
          <w:p w14:paraId="1373881D">
            <w:pPr>
              <w:pStyle w:val="56"/>
              <w:spacing w:beforeLines="0" w:afterLines="0" w:line="240" w:lineRule="auto"/>
              <w:ind w:firstLine="0" w:firstLineChars="0"/>
              <w:rPr>
                <w:rFonts w:ascii="Times New Roman"/>
                <w:snapToGrid w:val="0"/>
                <w:color w:val="auto"/>
                <w:kern w:val="21"/>
                <w:sz w:val="21"/>
                <w:szCs w:val="21"/>
                <w:highlight w:val="none"/>
              </w:rPr>
            </w:pPr>
          </w:p>
        </w:tc>
        <w:tc>
          <w:tcPr>
            <w:tcW w:w="1831" w:type="dxa"/>
            <w:noWrap w:val="0"/>
            <w:vAlign w:val="center"/>
          </w:tcPr>
          <w:p w14:paraId="3E2509EC">
            <w:pPr>
              <w:pStyle w:val="107"/>
              <w:widowControl/>
              <w:ind w:firstLine="0" w:firstLineChars="0"/>
              <w:jc w:val="center"/>
              <w:rPr>
                <w:rFonts w:hint="eastAsia"/>
                <w:color w:val="auto"/>
                <w:sz w:val="21"/>
                <w:szCs w:val="21"/>
                <w:highlight w:val="none"/>
                <w:lang w:bidi="ar"/>
              </w:rPr>
            </w:pPr>
            <w:r>
              <w:rPr>
                <w:rFonts w:hint="eastAsia" w:ascii="Times New Roman" w:hAnsi="Times New Roman" w:eastAsia="宋体"/>
                <w:color w:val="auto"/>
                <w:sz w:val="21"/>
                <w:szCs w:val="21"/>
                <w:highlight w:val="none"/>
              </w:rPr>
              <w:t>油烟</w:t>
            </w:r>
          </w:p>
        </w:tc>
        <w:tc>
          <w:tcPr>
            <w:tcW w:w="1580" w:type="dxa"/>
            <w:noWrap w:val="0"/>
            <w:vAlign w:val="center"/>
          </w:tcPr>
          <w:p w14:paraId="2923B100">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274" w:type="dxa"/>
            <w:noWrap w:val="0"/>
            <w:vAlign w:val="center"/>
          </w:tcPr>
          <w:p w14:paraId="271FF40F">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699" w:type="dxa"/>
            <w:noWrap w:val="0"/>
            <w:vAlign w:val="center"/>
          </w:tcPr>
          <w:p w14:paraId="5D31C910">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558" w:type="dxa"/>
            <w:noWrap w:val="0"/>
            <w:vAlign w:val="center"/>
          </w:tcPr>
          <w:p w14:paraId="138A9750">
            <w:pPr>
              <w:pStyle w:val="56"/>
              <w:spacing w:beforeLines="0" w:afterLines="0" w:line="240" w:lineRule="auto"/>
              <w:ind w:firstLine="0" w:firstLineChars="0"/>
              <w:rPr>
                <w:rFonts w:ascii="Times New Roman"/>
                <w:snapToGrid w:val="0"/>
                <w:color w:val="auto"/>
                <w:kern w:val="21"/>
                <w:sz w:val="21"/>
                <w:szCs w:val="21"/>
                <w:highlight w:val="none"/>
              </w:rPr>
            </w:pPr>
            <w:r>
              <w:rPr>
                <w:rFonts w:hint="eastAsia" w:ascii="Times New Roman"/>
                <w:snapToGrid w:val="0"/>
                <w:color w:val="auto"/>
                <w:kern w:val="21"/>
                <w:sz w:val="21"/>
                <w:szCs w:val="21"/>
                <w:highlight w:val="none"/>
              </w:rPr>
              <w:t>0.0</w:t>
            </w:r>
            <w:r>
              <w:rPr>
                <w:rFonts w:hint="eastAsia" w:ascii="Times New Roman"/>
                <w:snapToGrid w:val="0"/>
                <w:color w:val="auto"/>
                <w:kern w:val="21"/>
                <w:sz w:val="21"/>
                <w:szCs w:val="21"/>
                <w:highlight w:val="none"/>
                <w:lang w:val="en-US" w:eastAsia="zh-CN"/>
              </w:rPr>
              <w:t>01</w:t>
            </w:r>
            <w:r>
              <w:rPr>
                <w:rFonts w:ascii="Times New Roman" w:eastAsia="Times New Roman"/>
                <w:color w:val="auto"/>
                <w:spacing w:val="-1"/>
                <w:sz w:val="21"/>
                <w:szCs w:val="21"/>
                <w:highlight w:val="none"/>
              </w:rPr>
              <w:t>t/a</w:t>
            </w:r>
          </w:p>
        </w:tc>
        <w:tc>
          <w:tcPr>
            <w:tcW w:w="1442" w:type="dxa"/>
            <w:noWrap w:val="0"/>
            <w:vAlign w:val="center"/>
          </w:tcPr>
          <w:p w14:paraId="49A242BA">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787" w:type="dxa"/>
            <w:noWrap w:val="0"/>
            <w:vAlign w:val="center"/>
          </w:tcPr>
          <w:p w14:paraId="428EE013">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0.0</w:t>
            </w:r>
            <w:r>
              <w:rPr>
                <w:rFonts w:hint="eastAsia" w:ascii="Times New Roman"/>
                <w:snapToGrid w:val="0"/>
                <w:color w:val="auto"/>
                <w:kern w:val="21"/>
                <w:sz w:val="21"/>
                <w:szCs w:val="21"/>
                <w:highlight w:val="none"/>
                <w:lang w:val="en-US" w:eastAsia="zh-CN"/>
              </w:rPr>
              <w:t>01</w:t>
            </w:r>
            <w:r>
              <w:rPr>
                <w:rFonts w:ascii="Times New Roman" w:eastAsia="Times New Roman"/>
                <w:color w:val="auto"/>
                <w:spacing w:val="-1"/>
                <w:sz w:val="21"/>
                <w:szCs w:val="21"/>
                <w:highlight w:val="none"/>
              </w:rPr>
              <w:t>t/a</w:t>
            </w:r>
          </w:p>
        </w:tc>
        <w:tc>
          <w:tcPr>
            <w:tcW w:w="1315" w:type="dxa"/>
            <w:noWrap w:val="0"/>
            <w:vAlign w:val="center"/>
          </w:tcPr>
          <w:p w14:paraId="6461F5B6">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lang w:val="en-US" w:eastAsia="zh-CN"/>
              </w:rPr>
              <w:t>+</w:t>
            </w:r>
            <w:r>
              <w:rPr>
                <w:rFonts w:hint="eastAsia" w:ascii="Times New Roman"/>
                <w:snapToGrid w:val="0"/>
                <w:color w:val="auto"/>
                <w:kern w:val="21"/>
                <w:sz w:val="21"/>
                <w:szCs w:val="21"/>
                <w:highlight w:val="none"/>
              </w:rPr>
              <w:t>0.0</w:t>
            </w:r>
            <w:r>
              <w:rPr>
                <w:rFonts w:hint="eastAsia" w:ascii="Times New Roman"/>
                <w:snapToGrid w:val="0"/>
                <w:color w:val="auto"/>
                <w:kern w:val="21"/>
                <w:sz w:val="21"/>
                <w:szCs w:val="21"/>
                <w:highlight w:val="none"/>
                <w:lang w:val="en-US" w:eastAsia="zh-CN"/>
              </w:rPr>
              <w:t>01</w:t>
            </w:r>
            <w:r>
              <w:rPr>
                <w:rFonts w:ascii="Times New Roman" w:eastAsia="Times New Roman"/>
                <w:color w:val="auto"/>
                <w:spacing w:val="-1"/>
                <w:sz w:val="21"/>
                <w:szCs w:val="21"/>
                <w:highlight w:val="none"/>
              </w:rPr>
              <w:t>t/a</w:t>
            </w:r>
          </w:p>
        </w:tc>
      </w:tr>
      <w:tr w14:paraId="325469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288" w:type="dxa"/>
            <w:vMerge w:val="restart"/>
            <w:noWrap w:val="0"/>
            <w:vAlign w:val="center"/>
          </w:tcPr>
          <w:p w14:paraId="46785D45">
            <w:pPr>
              <w:pStyle w:val="56"/>
              <w:spacing w:beforeLines="0" w:afterLines="0" w:line="240" w:lineRule="auto"/>
              <w:ind w:firstLine="0" w:firstLineChars="0"/>
              <w:rPr>
                <w:rFonts w:ascii="Times New Roman"/>
                <w:snapToGrid w:val="0"/>
                <w:color w:val="auto"/>
                <w:kern w:val="21"/>
                <w:sz w:val="21"/>
                <w:szCs w:val="21"/>
                <w:highlight w:val="none"/>
              </w:rPr>
            </w:pPr>
            <w:r>
              <w:rPr>
                <w:rFonts w:ascii="Times New Roman"/>
                <w:snapToGrid w:val="0"/>
                <w:color w:val="auto"/>
                <w:kern w:val="21"/>
                <w:sz w:val="21"/>
                <w:szCs w:val="21"/>
                <w:highlight w:val="none"/>
              </w:rPr>
              <w:t>废水</w:t>
            </w:r>
          </w:p>
        </w:tc>
        <w:tc>
          <w:tcPr>
            <w:tcW w:w="1831" w:type="dxa"/>
            <w:noWrap w:val="0"/>
            <w:vAlign w:val="center"/>
          </w:tcPr>
          <w:p w14:paraId="26AD34F8">
            <w:pPr>
              <w:spacing w:line="340" w:lineRule="exact"/>
              <w:ind w:firstLine="0" w:firstLineChars="0"/>
              <w:jc w:val="center"/>
              <w:rPr>
                <w:color w:val="auto"/>
                <w:sz w:val="21"/>
                <w:szCs w:val="21"/>
                <w:highlight w:val="none"/>
                <w:lang w:bidi="ar"/>
              </w:rPr>
            </w:pPr>
            <w:r>
              <w:rPr>
                <w:rFonts w:hint="eastAsia"/>
                <w:color w:val="auto"/>
                <w:sz w:val="21"/>
                <w:szCs w:val="21"/>
                <w:highlight w:val="none"/>
                <w:lang w:bidi="ar"/>
              </w:rPr>
              <w:t>COD</w:t>
            </w:r>
          </w:p>
        </w:tc>
        <w:tc>
          <w:tcPr>
            <w:tcW w:w="1580" w:type="dxa"/>
            <w:noWrap w:val="0"/>
            <w:vAlign w:val="center"/>
          </w:tcPr>
          <w:p w14:paraId="298AE789">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274" w:type="dxa"/>
            <w:noWrap w:val="0"/>
            <w:vAlign w:val="center"/>
          </w:tcPr>
          <w:p w14:paraId="5A825B8A">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699" w:type="dxa"/>
            <w:noWrap w:val="0"/>
            <w:vAlign w:val="center"/>
          </w:tcPr>
          <w:p w14:paraId="26DB1A33">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558" w:type="dxa"/>
            <w:noWrap w:val="0"/>
            <w:vAlign w:val="center"/>
          </w:tcPr>
          <w:p w14:paraId="4C3E3EA5">
            <w:pPr>
              <w:pStyle w:val="56"/>
              <w:spacing w:beforeLines="0" w:afterLines="0" w:line="240" w:lineRule="auto"/>
              <w:ind w:firstLine="0" w:firstLineChars="0"/>
              <w:rPr>
                <w:rFonts w:hint="default" w:ascii="Times New Roman" w:eastAsia="宋体"/>
                <w:snapToGrid w:val="0"/>
                <w:color w:val="auto"/>
                <w:kern w:val="21"/>
                <w:sz w:val="21"/>
                <w:szCs w:val="21"/>
                <w:highlight w:val="none"/>
                <w:lang w:val="en-US" w:eastAsia="zh-CN"/>
              </w:rPr>
            </w:pPr>
            <w:r>
              <w:rPr>
                <w:rFonts w:hint="eastAsia" w:ascii="Times New Roman"/>
                <w:snapToGrid w:val="0"/>
                <w:color w:val="auto"/>
                <w:kern w:val="21"/>
                <w:sz w:val="21"/>
                <w:szCs w:val="21"/>
                <w:highlight w:val="none"/>
                <w:lang w:val="en-US" w:eastAsia="zh-CN"/>
              </w:rPr>
              <w:t>0.1469</w:t>
            </w:r>
            <w:r>
              <w:rPr>
                <w:rFonts w:ascii="Times New Roman" w:eastAsia="Times New Roman"/>
                <w:color w:val="auto"/>
                <w:spacing w:val="-1"/>
                <w:sz w:val="21"/>
                <w:szCs w:val="21"/>
                <w:highlight w:val="none"/>
              </w:rPr>
              <w:t>t/a</w:t>
            </w:r>
          </w:p>
        </w:tc>
        <w:tc>
          <w:tcPr>
            <w:tcW w:w="1442" w:type="dxa"/>
            <w:noWrap w:val="0"/>
            <w:vAlign w:val="center"/>
          </w:tcPr>
          <w:p w14:paraId="13A10139">
            <w:pPr>
              <w:pStyle w:val="56"/>
              <w:spacing w:beforeLines="0" w:afterLines="0" w:line="240" w:lineRule="auto"/>
              <w:ind w:firstLine="0" w:firstLineChars="0"/>
              <w:rPr>
                <w:rFonts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787" w:type="dxa"/>
            <w:noWrap w:val="0"/>
            <w:vAlign w:val="center"/>
          </w:tcPr>
          <w:p w14:paraId="01BE5A10">
            <w:pPr>
              <w:pStyle w:val="56"/>
              <w:spacing w:beforeLines="0" w:afterLines="0" w:line="240" w:lineRule="auto"/>
              <w:ind w:firstLine="0" w:firstLineChars="0"/>
              <w:rPr>
                <w:rFonts w:ascii="Times New Roman"/>
                <w:snapToGrid w:val="0"/>
                <w:color w:val="auto"/>
                <w:kern w:val="21"/>
                <w:sz w:val="21"/>
                <w:szCs w:val="21"/>
                <w:highlight w:val="none"/>
              </w:rPr>
            </w:pPr>
            <w:r>
              <w:rPr>
                <w:rFonts w:hint="eastAsia" w:ascii="Times New Roman"/>
                <w:snapToGrid w:val="0"/>
                <w:color w:val="auto"/>
                <w:kern w:val="21"/>
                <w:sz w:val="21"/>
                <w:szCs w:val="21"/>
                <w:highlight w:val="none"/>
                <w:lang w:val="en-US" w:eastAsia="zh-CN"/>
              </w:rPr>
              <w:t>0.1469</w:t>
            </w:r>
            <w:r>
              <w:rPr>
                <w:rFonts w:ascii="Times New Roman" w:eastAsia="Times New Roman"/>
                <w:color w:val="auto"/>
                <w:spacing w:val="-1"/>
                <w:sz w:val="21"/>
                <w:szCs w:val="21"/>
                <w:highlight w:val="none"/>
              </w:rPr>
              <w:t>t/a</w:t>
            </w:r>
          </w:p>
        </w:tc>
        <w:tc>
          <w:tcPr>
            <w:tcW w:w="1315" w:type="dxa"/>
            <w:noWrap w:val="0"/>
            <w:vAlign w:val="center"/>
          </w:tcPr>
          <w:p w14:paraId="2ACB8AAE">
            <w:pPr>
              <w:pStyle w:val="56"/>
              <w:spacing w:beforeLines="0" w:afterLines="0" w:line="240" w:lineRule="auto"/>
              <w:ind w:firstLine="0" w:firstLineChars="0"/>
              <w:rPr>
                <w:rFonts w:ascii="Times New Roman"/>
                <w:snapToGrid w:val="0"/>
                <w:color w:val="auto"/>
                <w:kern w:val="21"/>
                <w:sz w:val="21"/>
                <w:szCs w:val="21"/>
                <w:highlight w:val="none"/>
              </w:rPr>
            </w:pPr>
            <w:r>
              <w:rPr>
                <w:rFonts w:hint="eastAsia" w:ascii="Times New Roman"/>
                <w:snapToGrid w:val="0"/>
                <w:color w:val="auto"/>
                <w:kern w:val="21"/>
                <w:sz w:val="21"/>
                <w:szCs w:val="21"/>
                <w:highlight w:val="none"/>
                <w:lang w:val="en-US" w:eastAsia="zh-CN"/>
              </w:rPr>
              <w:t>+0.1469</w:t>
            </w:r>
            <w:r>
              <w:rPr>
                <w:rFonts w:ascii="Times New Roman" w:eastAsia="Times New Roman"/>
                <w:color w:val="auto"/>
                <w:spacing w:val="-1"/>
                <w:sz w:val="21"/>
                <w:szCs w:val="21"/>
                <w:highlight w:val="none"/>
              </w:rPr>
              <w:t>t/a</w:t>
            </w:r>
          </w:p>
        </w:tc>
      </w:tr>
      <w:tr w14:paraId="649FAE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288" w:type="dxa"/>
            <w:vMerge w:val="continue"/>
            <w:noWrap w:val="0"/>
            <w:vAlign w:val="center"/>
          </w:tcPr>
          <w:p w14:paraId="4CC4C5D5">
            <w:pPr>
              <w:pStyle w:val="56"/>
              <w:spacing w:beforeLines="0" w:afterLines="0" w:line="240" w:lineRule="auto"/>
              <w:ind w:firstLine="0" w:firstLineChars="0"/>
              <w:rPr>
                <w:rFonts w:ascii="Times New Roman"/>
                <w:snapToGrid w:val="0"/>
                <w:color w:val="auto"/>
                <w:kern w:val="21"/>
                <w:sz w:val="21"/>
                <w:szCs w:val="21"/>
                <w:highlight w:val="none"/>
              </w:rPr>
            </w:pPr>
          </w:p>
        </w:tc>
        <w:tc>
          <w:tcPr>
            <w:tcW w:w="1831" w:type="dxa"/>
            <w:noWrap w:val="0"/>
            <w:vAlign w:val="center"/>
          </w:tcPr>
          <w:p w14:paraId="5EAF7786">
            <w:pPr>
              <w:spacing w:line="340" w:lineRule="exact"/>
              <w:ind w:firstLine="0" w:firstLineChars="0"/>
              <w:jc w:val="center"/>
              <w:rPr>
                <w:color w:val="auto"/>
                <w:sz w:val="21"/>
                <w:szCs w:val="21"/>
                <w:highlight w:val="none"/>
                <w:lang w:bidi="ar"/>
              </w:rPr>
            </w:pPr>
            <w:r>
              <w:rPr>
                <w:rFonts w:hint="eastAsia"/>
                <w:color w:val="auto"/>
                <w:sz w:val="21"/>
                <w:szCs w:val="21"/>
                <w:highlight w:val="none"/>
                <w:lang w:bidi="ar"/>
              </w:rPr>
              <w:t>BOD</w:t>
            </w:r>
            <w:r>
              <w:rPr>
                <w:rFonts w:hint="eastAsia"/>
                <w:color w:val="auto"/>
                <w:sz w:val="21"/>
                <w:szCs w:val="21"/>
                <w:highlight w:val="none"/>
                <w:vertAlign w:val="subscript"/>
                <w:lang w:bidi="ar"/>
              </w:rPr>
              <w:t>5</w:t>
            </w:r>
          </w:p>
        </w:tc>
        <w:tc>
          <w:tcPr>
            <w:tcW w:w="1580" w:type="dxa"/>
            <w:noWrap w:val="0"/>
            <w:vAlign w:val="center"/>
          </w:tcPr>
          <w:p w14:paraId="3427B98C">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274" w:type="dxa"/>
            <w:noWrap w:val="0"/>
            <w:vAlign w:val="center"/>
          </w:tcPr>
          <w:p w14:paraId="38A8C668">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699" w:type="dxa"/>
            <w:noWrap w:val="0"/>
            <w:vAlign w:val="center"/>
          </w:tcPr>
          <w:p w14:paraId="051189C3">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558" w:type="dxa"/>
            <w:noWrap w:val="0"/>
            <w:vAlign w:val="center"/>
          </w:tcPr>
          <w:p w14:paraId="344E8E30">
            <w:pPr>
              <w:pStyle w:val="56"/>
              <w:spacing w:beforeLines="0" w:afterLines="0" w:line="240" w:lineRule="auto"/>
              <w:ind w:firstLine="0" w:firstLineChars="0"/>
              <w:rPr>
                <w:rFonts w:hint="default" w:ascii="Times New Roman" w:eastAsia="宋体"/>
                <w:snapToGrid w:val="0"/>
                <w:color w:val="auto"/>
                <w:kern w:val="21"/>
                <w:sz w:val="21"/>
                <w:szCs w:val="21"/>
                <w:highlight w:val="none"/>
                <w:lang w:val="en-US" w:eastAsia="zh-CN"/>
              </w:rPr>
            </w:pPr>
            <w:r>
              <w:rPr>
                <w:rFonts w:hint="eastAsia" w:ascii="Times New Roman"/>
                <w:snapToGrid w:val="0"/>
                <w:color w:val="auto"/>
                <w:kern w:val="21"/>
                <w:sz w:val="21"/>
                <w:szCs w:val="21"/>
                <w:highlight w:val="none"/>
                <w:lang w:val="en-US" w:eastAsia="zh-CN"/>
              </w:rPr>
              <w:t>0.0874</w:t>
            </w:r>
            <w:r>
              <w:rPr>
                <w:rFonts w:ascii="Times New Roman" w:eastAsia="Times New Roman"/>
                <w:color w:val="auto"/>
                <w:spacing w:val="-1"/>
                <w:sz w:val="21"/>
                <w:szCs w:val="21"/>
                <w:highlight w:val="none"/>
              </w:rPr>
              <w:t>t/a</w:t>
            </w:r>
          </w:p>
        </w:tc>
        <w:tc>
          <w:tcPr>
            <w:tcW w:w="1442" w:type="dxa"/>
            <w:noWrap w:val="0"/>
            <w:vAlign w:val="center"/>
          </w:tcPr>
          <w:p w14:paraId="23255B15">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787" w:type="dxa"/>
            <w:noWrap w:val="0"/>
            <w:vAlign w:val="center"/>
          </w:tcPr>
          <w:p w14:paraId="24226036">
            <w:pPr>
              <w:pStyle w:val="56"/>
              <w:spacing w:beforeLines="0" w:afterLines="0" w:line="240" w:lineRule="auto"/>
              <w:ind w:firstLine="0" w:firstLineChars="0"/>
              <w:rPr>
                <w:rFonts w:ascii="Times New Roman"/>
                <w:snapToGrid w:val="0"/>
                <w:color w:val="auto"/>
                <w:kern w:val="21"/>
                <w:sz w:val="21"/>
                <w:szCs w:val="21"/>
                <w:highlight w:val="none"/>
              </w:rPr>
            </w:pPr>
            <w:r>
              <w:rPr>
                <w:rFonts w:hint="eastAsia" w:ascii="Times New Roman"/>
                <w:snapToGrid w:val="0"/>
                <w:color w:val="auto"/>
                <w:kern w:val="21"/>
                <w:sz w:val="21"/>
                <w:szCs w:val="21"/>
                <w:highlight w:val="none"/>
                <w:lang w:val="en-US" w:eastAsia="zh-CN"/>
              </w:rPr>
              <w:t>0.0874</w:t>
            </w:r>
            <w:r>
              <w:rPr>
                <w:rFonts w:ascii="Times New Roman" w:eastAsia="Times New Roman"/>
                <w:color w:val="auto"/>
                <w:spacing w:val="-1"/>
                <w:sz w:val="21"/>
                <w:szCs w:val="21"/>
                <w:highlight w:val="none"/>
              </w:rPr>
              <w:t>t/a</w:t>
            </w:r>
          </w:p>
        </w:tc>
        <w:tc>
          <w:tcPr>
            <w:tcW w:w="1315" w:type="dxa"/>
            <w:noWrap w:val="0"/>
            <w:vAlign w:val="center"/>
          </w:tcPr>
          <w:p w14:paraId="15D89B56">
            <w:pPr>
              <w:pStyle w:val="56"/>
              <w:spacing w:beforeLines="0" w:afterLines="0" w:line="240" w:lineRule="auto"/>
              <w:ind w:firstLine="0" w:firstLineChars="0"/>
              <w:rPr>
                <w:rFonts w:ascii="Times New Roman"/>
                <w:snapToGrid w:val="0"/>
                <w:color w:val="auto"/>
                <w:kern w:val="21"/>
                <w:sz w:val="21"/>
                <w:szCs w:val="21"/>
                <w:highlight w:val="none"/>
              </w:rPr>
            </w:pPr>
            <w:r>
              <w:rPr>
                <w:rFonts w:hint="eastAsia" w:ascii="Times New Roman"/>
                <w:snapToGrid w:val="0"/>
                <w:color w:val="auto"/>
                <w:kern w:val="21"/>
                <w:sz w:val="21"/>
                <w:szCs w:val="21"/>
                <w:highlight w:val="none"/>
                <w:lang w:val="en-US" w:eastAsia="zh-CN"/>
              </w:rPr>
              <w:t>+0.0874</w:t>
            </w:r>
            <w:r>
              <w:rPr>
                <w:rFonts w:ascii="Times New Roman" w:eastAsia="Times New Roman"/>
                <w:color w:val="auto"/>
                <w:spacing w:val="-1"/>
                <w:sz w:val="21"/>
                <w:szCs w:val="21"/>
                <w:highlight w:val="none"/>
              </w:rPr>
              <w:t>t/a</w:t>
            </w:r>
          </w:p>
        </w:tc>
      </w:tr>
      <w:tr w14:paraId="0A7218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288" w:type="dxa"/>
            <w:vMerge w:val="continue"/>
            <w:noWrap w:val="0"/>
            <w:vAlign w:val="center"/>
          </w:tcPr>
          <w:p w14:paraId="4CAA5C9D">
            <w:pPr>
              <w:pStyle w:val="56"/>
              <w:spacing w:beforeLines="0" w:afterLines="0" w:line="240" w:lineRule="auto"/>
              <w:ind w:firstLine="0" w:firstLineChars="0"/>
              <w:rPr>
                <w:rFonts w:ascii="Times New Roman"/>
                <w:snapToGrid w:val="0"/>
                <w:color w:val="auto"/>
                <w:kern w:val="21"/>
                <w:sz w:val="21"/>
                <w:szCs w:val="21"/>
                <w:highlight w:val="none"/>
              </w:rPr>
            </w:pPr>
          </w:p>
        </w:tc>
        <w:tc>
          <w:tcPr>
            <w:tcW w:w="1831" w:type="dxa"/>
            <w:noWrap w:val="0"/>
            <w:vAlign w:val="center"/>
          </w:tcPr>
          <w:p w14:paraId="524E6244">
            <w:pPr>
              <w:spacing w:line="340" w:lineRule="exact"/>
              <w:ind w:firstLine="0" w:firstLineChars="0"/>
              <w:jc w:val="center"/>
              <w:rPr>
                <w:color w:val="auto"/>
                <w:sz w:val="21"/>
                <w:szCs w:val="21"/>
                <w:highlight w:val="none"/>
                <w:lang w:bidi="ar"/>
              </w:rPr>
            </w:pPr>
            <w:r>
              <w:rPr>
                <w:rFonts w:hint="eastAsia"/>
                <w:color w:val="auto"/>
                <w:sz w:val="21"/>
                <w:szCs w:val="21"/>
                <w:highlight w:val="none"/>
                <w:lang w:bidi="ar"/>
              </w:rPr>
              <w:t>SS</w:t>
            </w:r>
          </w:p>
        </w:tc>
        <w:tc>
          <w:tcPr>
            <w:tcW w:w="1580" w:type="dxa"/>
            <w:noWrap w:val="0"/>
            <w:vAlign w:val="center"/>
          </w:tcPr>
          <w:p w14:paraId="0DBE30B2">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274" w:type="dxa"/>
            <w:noWrap w:val="0"/>
            <w:vAlign w:val="center"/>
          </w:tcPr>
          <w:p w14:paraId="02DE2274">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699" w:type="dxa"/>
            <w:noWrap w:val="0"/>
            <w:vAlign w:val="center"/>
          </w:tcPr>
          <w:p w14:paraId="3E14F621">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558" w:type="dxa"/>
            <w:noWrap w:val="0"/>
            <w:vAlign w:val="center"/>
          </w:tcPr>
          <w:p w14:paraId="46E262E2">
            <w:pPr>
              <w:pStyle w:val="56"/>
              <w:spacing w:beforeLines="0" w:afterLines="0" w:line="240" w:lineRule="auto"/>
              <w:ind w:firstLine="0" w:firstLineChars="0"/>
              <w:rPr>
                <w:rFonts w:hint="default" w:ascii="Times New Roman" w:eastAsia="宋体"/>
                <w:snapToGrid w:val="0"/>
                <w:color w:val="auto"/>
                <w:kern w:val="21"/>
                <w:sz w:val="21"/>
                <w:szCs w:val="21"/>
                <w:highlight w:val="none"/>
                <w:lang w:val="en-US" w:eastAsia="zh-CN"/>
              </w:rPr>
            </w:pPr>
            <w:r>
              <w:rPr>
                <w:rFonts w:hint="eastAsia" w:ascii="Times New Roman"/>
                <w:snapToGrid w:val="0"/>
                <w:color w:val="auto"/>
                <w:kern w:val="21"/>
                <w:sz w:val="21"/>
                <w:szCs w:val="21"/>
                <w:highlight w:val="none"/>
                <w:lang w:val="en-US" w:eastAsia="zh-CN"/>
              </w:rPr>
              <w:t>0.0605</w:t>
            </w:r>
            <w:r>
              <w:rPr>
                <w:rFonts w:ascii="Times New Roman" w:eastAsia="Times New Roman"/>
                <w:color w:val="auto"/>
                <w:spacing w:val="-1"/>
                <w:sz w:val="21"/>
                <w:szCs w:val="21"/>
                <w:highlight w:val="none"/>
              </w:rPr>
              <w:t>t/a</w:t>
            </w:r>
          </w:p>
        </w:tc>
        <w:tc>
          <w:tcPr>
            <w:tcW w:w="1442" w:type="dxa"/>
            <w:noWrap w:val="0"/>
            <w:vAlign w:val="center"/>
          </w:tcPr>
          <w:p w14:paraId="63347444">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787" w:type="dxa"/>
            <w:noWrap w:val="0"/>
            <w:vAlign w:val="center"/>
          </w:tcPr>
          <w:p w14:paraId="5A70A960">
            <w:pPr>
              <w:pStyle w:val="56"/>
              <w:spacing w:beforeLines="0" w:afterLines="0" w:line="240" w:lineRule="auto"/>
              <w:ind w:firstLine="0" w:firstLineChars="0"/>
              <w:rPr>
                <w:rFonts w:ascii="Times New Roman"/>
                <w:snapToGrid w:val="0"/>
                <w:color w:val="auto"/>
                <w:kern w:val="21"/>
                <w:sz w:val="21"/>
                <w:szCs w:val="21"/>
                <w:highlight w:val="none"/>
              </w:rPr>
            </w:pPr>
            <w:r>
              <w:rPr>
                <w:rFonts w:hint="eastAsia" w:ascii="Times New Roman"/>
                <w:snapToGrid w:val="0"/>
                <w:color w:val="auto"/>
                <w:kern w:val="21"/>
                <w:sz w:val="21"/>
                <w:szCs w:val="21"/>
                <w:highlight w:val="none"/>
                <w:lang w:val="en-US" w:eastAsia="zh-CN"/>
              </w:rPr>
              <w:t>0.0605</w:t>
            </w:r>
            <w:r>
              <w:rPr>
                <w:rFonts w:ascii="Times New Roman" w:eastAsia="Times New Roman"/>
                <w:color w:val="auto"/>
                <w:spacing w:val="-1"/>
                <w:sz w:val="21"/>
                <w:szCs w:val="21"/>
                <w:highlight w:val="none"/>
              </w:rPr>
              <w:t>t/a</w:t>
            </w:r>
          </w:p>
        </w:tc>
        <w:tc>
          <w:tcPr>
            <w:tcW w:w="1315" w:type="dxa"/>
            <w:noWrap w:val="0"/>
            <w:vAlign w:val="center"/>
          </w:tcPr>
          <w:p w14:paraId="0BBC7A45">
            <w:pPr>
              <w:pStyle w:val="56"/>
              <w:spacing w:beforeLines="0" w:afterLines="0" w:line="240" w:lineRule="auto"/>
              <w:ind w:firstLine="0" w:firstLineChars="0"/>
              <w:rPr>
                <w:rFonts w:ascii="Times New Roman"/>
                <w:snapToGrid w:val="0"/>
                <w:color w:val="auto"/>
                <w:kern w:val="21"/>
                <w:sz w:val="21"/>
                <w:szCs w:val="21"/>
                <w:highlight w:val="none"/>
              </w:rPr>
            </w:pPr>
            <w:r>
              <w:rPr>
                <w:rFonts w:hint="eastAsia" w:ascii="Times New Roman"/>
                <w:snapToGrid w:val="0"/>
                <w:color w:val="auto"/>
                <w:kern w:val="21"/>
                <w:sz w:val="21"/>
                <w:szCs w:val="21"/>
                <w:highlight w:val="none"/>
                <w:lang w:val="en-US" w:eastAsia="zh-CN"/>
              </w:rPr>
              <w:t>+0.0605</w:t>
            </w:r>
            <w:r>
              <w:rPr>
                <w:rFonts w:ascii="Times New Roman" w:eastAsia="Times New Roman"/>
                <w:color w:val="auto"/>
                <w:spacing w:val="-1"/>
                <w:sz w:val="21"/>
                <w:szCs w:val="21"/>
                <w:highlight w:val="none"/>
              </w:rPr>
              <w:t>t/a</w:t>
            </w:r>
          </w:p>
        </w:tc>
      </w:tr>
      <w:tr w14:paraId="1DB50C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288" w:type="dxa"/>
            <w:vMerge w:val="continue"/>
            <w:noWrap w:val="0"/>
            <w:vAlign w:val="center"/>
          </w:tcPr>
          <w:p w14:paraId="07E0D89C">
            <w:pPr>
              <w:pStyle w:val="56"/>
              <w:spacing w:beforeLines="0" w:afterLines="0" w:line="240" w:lineRule="auto"/>
              <w:ind w:firstLine="0" w:firstLineChars="0"/>
              <w:rPr>
                <w:rFonts w:ascii="Times New Roman"/>
                <w:snapToGrid w:val="0"/>
                <w:color w:val="auto"/>
                <w:kern w:val="21"/>
                <w:sz w:val="21"/>
                <w:szCs w:val="21"/>
                <w:highlight w:val="none"/>
              </w:rPr>
            </w:pPr>
          </w:p>
        </w:tc>
        <w:tc>
          <w:tcPr>
            <w:tcW w:w="1831" w:type="dxa"/>
            <w:noWrap w:val="0"/>
            <w:vAlign w:val="center"/>
          </w:tcPr>
          <w:p w14:paraId="2DBCF4BC">
            <w:pPr>
              <w:spacing w:line="340" w:lineRule="exact"/>
              <w:ind w:firstLine="0" w:firstLineChars="0"/>
              <w:jc w:val="center"/>
              <w:rPr>
                <w:color w:val="auto"/>
                <w:sz w:val="21"/>
                <w:szCs w:val="21"/>
                <w:highlight w:val="none"/>
                <w:lang w:bidi="ar"/>
              </w:rPr>
            </w:pPr>
            <w:r>
              <w:rPr>
                <w:rFonts w:hint="eastAsia"/>
                <w:color w:val="auto"/>
                <w:sz w:val="21"/>
                <w:szCs w:val="21"/>
                <w:highlight w:val="none"/>
                <w:lang w:bidi="ar"/>
              </w:rPr>
              <w:t>NH</w:t>
            </w:r>
            <w:r>
              <w:rPr>
                <w:rFonts w:hint="eastAsia"/>
                <w:color w:val="auto"/>
                <w:sz w:val="21"/>
                <w:szCs w:val="21"/>
                <w:highlight w:val="none"/>
                <w:vertAlign w:val="subscript"/>
                <w:lang w:bidi="ar"/>
              </w:rPr>
              <w:t>3</w:t>
            </w:r>
            <w:r>
              <w:rPr>
                <w:rFonts w:hint="eastAsia"/>
                <w:color w:val="auto"/>
                <w:sz w:val="21"/>
                <w:szCs w:val="21"/>
                <w:highlight w:val="none"/>
                <w:lang w:bidi="ar"/>
              </w:rPr>
              <w:t>-N</w:t>
            </w:r>
          </w:p>
        </w:tc>
        <w:tc>
          <w:tcPr>
            <w:tcW w:w="1580" w:type="dxa"/>
            <w:noWrap w:val="0"/>
            <w:vAlign w:val="center"/>
          </w:tcPr>
          <w:p w14:paraId="3E28436B">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274" w:type="dxa"/>
            <w:noWrap w:val="0"/>
            <w:vAlign w:val="center"/>
          </w:tcPr>
          <w:p w14:paraId="149EC6DB">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699" w:type="dxa"/>
            <w:noWrap w:val="0"/>
            <w:vAlign w:val="center"/>
          </w:tcPr>
          <w:p w14:paraId="34392ABB">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558" w:type="dxa"/>
            <w:noWrap w:val="0"/>
            <w:vAlign w:val="center"/>
          </w:tcPr>
          <w:p w14:paraId="50850FF3">
            <w:pPr>
              <w:pStyle w:val="56"/>
              <w:spacing w:beforeLines="0" w:afterLines="0" w:line="240" w:lineRule="auto"/>
              <w:ind w:firstLine="0" w:firstLineChars="0"/>
              <w:rPr>
                <w:rFonts w:hint="default" w:ascii="Times New Roman" w:eastAsia="宋体"/>
                <w:snapToGrid w:val="0"/>
                <w:color w:val="auto"/>
                <w:kern w:val="21"/>
                <w:sz w:val="21"/>
                <w:szCs w:val="21"/>
                <w:highlight w:val="none"/>
                <w:lang w:val="en-US" w:eastAsia="zh-CN"/>
              </w:rPr>
            </w:pPr>
            <w:r>
              <w:rPr>
                <w:rFonts w:hint="eastAsia" w:ascii="Times New Roman"/>
                <w:snapToGrid w:val="0"/>
                <w:color w:val="auto"/>
                <w:kern w:val="21"/>
                <w:sz w:val="21"/>
                <w:szCs w:val="21"/>
                <w:highlight w:val="none"/>
                <w:lang w:val="en-US" w:eastAsia="zh-CN"/>
              </w:rPr>
              <w:t>0.01416</w:t>
            </w:r>
            <w:r>
              <w:rPr>
                <w:rFonts w:ascii="Times New Roman" w:eastAsia="Times New Roman"/>
                <w:color w:val="auto"/>
                <w:spacing w:val="-1"/>
                <w:sz w:val="21"/>
                <w:szCs w:val="21"/>
                <w:highlight w:val="none"/>
              </w:rPr>
              <w:t>t/a</w:t>
            </w:r>
          </w:p>
        </w:tc>
        <w:tc>
          <w:tcPr>
            <w:tcW w:w="1442" w:type="dxa"/>
            <w:noWrap w:val="0"/>
            <w:vAlign w:val="center"/>
          </w:tcPr>
          <w:p w14:paraId="1479F937">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787" w:type="dxa"/>
            <w:noWrap w:val="0"/>
            <w:vAlign w:val="center"/>
          </w:tcPr>
          <w:p w14:paraId="4BB2E2CD">
            <w:pPr>
              <w:pStyle w:val="56"/>
              <w:spacing w:beforeLines="0" w:afterLines="0" w:line="240" w:lineRule="auto"/>
              <w:ind w:firstLine="0" w:firstLineChars="0"/>
              <w:rPr>
                <w:rFonts w:ascii="Times New Roman"/>
                <w:snapToGrid w:val="0"/>
                <w:color w:val="auto"/>
                <w:kern w:val="21"/>
                <w:sz w:val="21"/>
                <w:szCs w:val="21"/>
                <w:highlight w:val="none"/>
              </w:rPr>
            </w:pPr>
            <w:r>
              <w:rPr>
                <w:rFonts w:hint="eastAsia" w:ascii="Times New Roman"/>
                <w:snapToGrid w:val="0"/>
                <w:color w:val="auto"/>
                <w:kern w:val="21"/>
                <w:sz w:val="21"/>
                <w:szCs w:val="21"/>
                <w:highlight w:val="none"/>
                <w:lang w:val="en-US" w:eastAsia="zh-CN"/>
              </w:rPr>
              <w:t>0.01416</w:t>
            </w:r>
            <w:r>
              <w:rPr>
                <w:rFonts w:ascii="Times New Roman" w:eastAsia="Times New Roman"/>
                <w:color w:val="auto"/>
                <w:spacing w:val="-1"/>
                <w:sz w:val="21"/>
                <w:szCs w:val="21"/>
                <w:highlight w:val="none"/>
              </w:rPr>
              <w:t>t/a</w:t>
            </w:r>
          </w:p>
        </w:tc>
        <w:tc>
          <w:tcPr>
            <w:tcW w:w="1315" w:type="dxa"/>
            <w:noWrap w:val="0"/>
            <w:vAlign w:val="center"/>
          </w:tcPr>
          <w:p w14:paraId="07CDE9E5">
            <w:pPr>
              <w:pStyle w:val="56"/>
              <w:spacing w:beforeLines="0" w:afterLines="0" w:line="240" w:lineRule="auto"/>
              <w:ind w:firstLine="0" w:firstLineChars="0"/>
              <w:rPr>
                <w:rFonts w:ascii="Times New Roman"/>
                <w:snapToGrid w:val="0"/>
                <w:color w:val="auto"/>
                <w:kern w:val="21"/>
                <w:sz w:val="21"/>
                <w:szCs w:val="21"/>
                <w:highlight w:val="none"/>
              </w:rPr>
            </w:pPr>
            <w:r>
              <w:rPr>
                <w:rFonts w:hint="eastAsia" w:ascii="Times New Roman"/>
                <w:snapToGrid w:val="0"/>
                <w:color w:val="auto"/>
                <w:kern w:val="21"/>
                <w:sz w:val="21"/>
                <w:szCs w:val="21"/>
                <w:highlight w:val="none"/>
                <w:lang w:val="en-US" w:eastAsia="zh-CN"/>
              </w:rPr>
              <w:t>+0.01416</w:t>
            </w:r>
            <w:r>
              <w:rPr>
                <w:rFonts w:ascii="Times New Roman" w:eastAsia="Times New Roman"/>
                <w:color w:val="auto"/>
                <w:spacing w:val="-1"/>
                <w:sz w:val="21"/>
                <w:szCs w:val="21"/>
                <w:highlight w:val="none"/>
              </w:rPr>
              <w:t>t/a</w:t>
            </w:r>
          </w:p>
        </w:tc>
      </w:tr>
      <w:tr w14:paraId="098085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288" w:type="dxa"/>
            <w:vMerge w:val="continue"/>
            <w:noWrap w:val="0"/>
            <w:vAlign w:val="center"/>
          </w:tcPr>
          <w:p w14:paraId="056079ED">
            <w:pPr>
              <w:pStyle w:val="56"/>
              <w:spacing w:beforeLines="0" w:afterLines="0" w:line="240" w:lineRule="auto"/>
              <w:ind w:firstLine="0" w:firstLineChars="0"/>
              <w:rPr>
                <w:rFonts w:ascii="Times New Roman"/>
                <w:snapToGrid w:val="0"/>
                <w:color w:val="auto"/>
                <w:kern w:val="21"/>
                <w:sz w:val="21"/>
                <w:szCs w:val="21"/>
                <w:highlight w:val="none"/>
              </w:rPr>
            </w:pPr>
          </w:p>
        </w:tc>
        <w:tc>
          <w:tcPr>
            <w:tcW w:w="1831" w:type="dxa"/>
            <w:noWrap w:val="0"/>
            <w:vAlign w:val="center"/>
          </w:tcPr>
          <w:p w14:paraId="0F270BF4">
            <w:pPr>
              <w:spacing w:line="340" w:lineRule="exact"/>
              <w:ind w:firstLine="0" w:firstLineChars="0"/>
              <w:jc w:val="center"/>
              <w:rPr>
                <w:rFonts w:hint="eastAsia"/>
                <w:color w:val="auto"/>
                <w:sz w:val="21"/>
                <w:szCs w:val="21"/>
                <w:highlight w:val="none"/>
                <w:lang w:bidi="ar"/>
              </w:rPr>
            </w:pPr>
            <w:r>
              <w:rPr>
                <w:rFonts w:hint="eastAsia"/>
                <w:color w:val="auto"/>
                <w:sz w:val="21"/>
                <w:szCs w:val="21"/>
                <w:highlight w:val="none"/>
                <w:lang w:bidi="ar"/>
              </w:rPr>
              <w:t>动植物油</w:t>
            </w:r>
          </w:p>
        </w:tc>
        <w:tc>
          <w:tcPr>
            <w:tcW w:w="1580" w:type="dxa"/>
            <w:noWrap w:val="0"/>
            <w:vAlign w:val="center"/>
          </w:tcPr>
          <w:p w14:paraId="02BB52B5">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274" w:type="dxa"/>
            <w:noWrap w:val="0"/>
            <w:vAlign w:val="center"/>
          </w:tcPr>
          <w:p w14:paraId="4420255F">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699" w:type="dxa"/>
            <w:noWrap w:val="0"/>
            <w:vAlign w:val="center"/>
          </w:tcPr>
          <w:p w14:paraId="12B3120D">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558" w:type="dxa"/>
            <w:noWrap w:val="0"/>
            <w:vAlign w:val="center"/>
          </w:tcPr>
          <w:p w14:paraId="5E185F2A">
            <w:pPr>
              <w:pStyle w:val="56"/>
              <w:spacing w:beforeLines="0" w:afterLines="0" w:line="240" w:lineRule="auto"/>
              <w:ind w:firstLine="0" w:firstLineChars="0"/>
              <w:rPr>
                <w:rFonts w:hint="default" w:ascii="Times New Roman" w:eastAsia="宋体"/>
                <w:snapToGrid w:val="0"/>
                <w:color w:val="auto"/>
                <w:kern w:val="21"/>
                <w:sz w:val="21"/>
                <w:szCs w:val="21"/>
                <w:highlight w:val="none"/>
                <w:lang w:val="en-US" w:eastAsia="zh-CN"/>
              </w:rPr>
            </w:pPr>
            <w:r>
              <w:rPr>
                <w:rFonts w:hint="eastAsia" w:ascii="Times New Roman"/>
                <w:snapToGrid w:val="0"/>
                <w:color w:val="auto"/>
                <w:kern w:val="21"/>
                <w:sz w:val="21"/>
                <w:szCs w:val="21"/>
                <w:highlight w:val="none"/>
                <w:lang w:val="en-US" w:eastAsia="zh-CN"/>
              </w:rPr>
              <w:t>0.0019</w:t>
            </w:r>
            <w:r>
              <w:rPr>
                <w:rFonts w:ascii="Times New Roman" w:eastAsia="Times New Roman"/>
                <w:color w:val="auto"/>
                <w:spacing w:val="-1"/>
                <w:sz w:val="21"/>
                <w:szCs w:val="21"/>
                <w:highlight w:val="none"/>
              </w:rPr>
              <w:t>t/a</w:t>
            </w:r>
          </w:p>
        </w:tc>
        <w:tc>
          <w:tcPr>
            <w:tcW w:w="1442" w:type="dxa"/>
            <w:noWrap w:val="0"/>
            <w:vAlign w:val="center"/>
          </w:tcPr>
          <w:p w14:paraId="6634DD2D">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787" w:type="dxa"/>
            <w:noWrap w:val="0"/>
            <w:vAlign w:val="center"/>
          </w:tcPr>
          <w:p w14:paraId="526BBD75">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lang w:val="en-US" w:eastAsia="zh-CN"/>
              </w:rPr>
              <w:t>0.0019</w:t>
            </w:r>
            <w:r>
              <w:rPr>
                <w:rFonts w:ascii="Times New Roman" w:eastAsia="Times New Roman"/>
                <w:color w:val="auto"/>
                <w:spacing w:val="-1"/>
                <w:sz w:val="21"/>
                <w:szCs w:val="21"/>
                <w:highlight w:val="none"/>
              </w:rPr>
              <w:t>t/a</w:t>
            </w:r>
          </w:p>
        </w:tc>
        <w:tc>
          <w:tcPr>
            <w:tcW w:w="1315" w:type="dxa"/>
            <w:noWrap w:val="0"/>
            <w:vAlign w:val="center"/>
          </w:tcPr>
          <w:p w14:paraId="258C7520">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lang w:val="en-US" w:eastAsia="zh-CN"/>
              </w:rPr>
              <w:t>+0.0019</w:t>
            </w:r>
            <w:r>
              <w:rPr>
                <w:rFonts w:ascii="Times New Roman" w:eastAsia="Times New Roman"/>
                <w:color w:val="auto"/>
                <w:spacing w:val="-1"/>
                <w:sz w:val="21"/>
                <w:szCs w:val="21"/>
                <w:highlight w:val="none"/>
              </w:rPr>
              <w:t>t/a</w:t>
            </w:r>
          </w:p>
        </w:tc>
      </w:tr>
      <w:tr w14:paraId="09E75C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288" w:type="dxa"/>
            <w:vMerge w:val="restart"/>
            <w:noWrap w:val="0"/>
            <w:vAlign w:val="center"/>
          </w:tcPr>
          <w:p w14:paraId="1B2C9D4D">
            <w:pPr>
              <w:pStyle w:val="56"/>
              <w:spacing w:beforeLines="0" w:afterLines="0" w:line="240" w:lineRule="auto"/>
              <w:ind w:firstLine="0" w:firstLineChars="0"/>
              <w:rPr>
                <w:rFonts w:ascii="Times New Roman"/>
                <w:snapToGrid w:val="0"/>
                <w:color w:val="auto"/>
                <w:kern w:val="21"/>
                <w:sz w:val="21"/>
                <w:szCs w:val="21"/>
                <w:highlight w:val="none"/>
              </w:rPr>
            </w:pPr>
            <w:r>
              <w:rPr>
                <w:rFonts w:ascii="Times New Roman"/>
                <w:snapToGrid w:val="0"/>
                <w:color w:val="auto"/>
                <w:kern w:val="21"/>
                <w:sz w:val="21"/>
                <w:szCs w:val="21"/>
                <w:highlight w:val="none"/>
              </w:rPr>
              <w:t>一般工业固体废物</w:t>
            </w:r>
          </w:p>
        </w:tc>
        <w:tc>
          <w:tcPr>
            <w:tcW w:w="1831" w:type="dxa"/>
            <w:noWrap w:val="0"/>
            <w:vAlign w:val="center"/>
          </w:tcPr>
          <w:p w14:paraId="7D56B9E4">
            <w:pPr>
              <w:spacing w:line="340" w:lineRule="exact"/>
              <w:ind w:firstLine="0" w:firstLineChars="0"/>
              <w:jc w:val="center"/>
              <w:rPr>
                <w:rFonts w:hint="eastAsia" w:eastAsia="宋体"/>
                <w:snapToGrid w:val="0"/>
                <w:color w:val="auto"/>
                <w:kern w:val="21"/>
                <w:sz w:val="21"/>
                <w:szCs w:val="21"/>
                <w:highlight w:val="none"/>
                <w:lang w:eastAsia="zh-CN"/>
              </w:rPr>
            </w:pPr>
            <w:r>
              <w:rPr>
                <w:rFonts w:hint="eastAsia"/>
                <w:color w:val="auto"/>
                <w:sz w:val="21"/>
                <w:szCs w:val="21"/>
                <w:highlight w:val="none"/>
                <w:lang w:val="en-US" w:eastAsia="zh-CN" w:bidi="ar"/>
              </w:rPr>
              <w:t>废石料</w:t>
            </w:r>
          </w:p>
        </w:tc>
        <w:tc>
          <w:tcPr>
            <w:tcW w:w="1580" w:type="dxa"/>
            <w:noWrap w:val="0"/>
            <w:vAlign w:val="center"/>
          </w:tcPr>
          <w:p w14:paraId="6EEEC337">
            <w:pPr>
              <w:pStyle w:val="56"/>
              <w:spacing w:beforeLines="0" w:afterLines="0" w:line="240" w:lineRule="auto"/>
              <w:ind w:firstLine="0" w:firstLineChars="0"/>
              <w:rPr>
                <w:rFonts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274" w:type="dxa"/>
            <w:noWrap w:val="0"/>
            <w:vAlign w:val="center"/>
          </w:tcPr>
          <w:p w14:paraId="4512384A">
            <w:pPr>
              <w:pStyle w:val="56"/>
              <w:spacing w:beforeLines="0" w:afterLines="0" w:line="240" w:lineRule="auto"/>
              <w:ind w:firstLine="0" w:firstLineChars="0"/>
              <w:rPr>
                <w:rFonts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699" w:type="dxa"/>
            <w:noWrap w:val="0"/>
            <w:vAlign w:val="center"/>
          </w:tcPr>
          <w:p w14:paraId="77A9387B">
            <w:pPr>
              <w:pStyle w:val="56"/>
              <w:spacing w:beforeLines="0" w:afterLines="0" w:line="240" w:lineRule="auto"/>
              <w:ind w:firstLine="0" w:firstLineChars="0"/>
              <w:rPr>
                <w:rFonts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558" w:type="dxa"/>
            <w:noWrap w:val="0"/>
            <w:vAlign w:val="center"/>
          </w:tcPr>
          <w:p w14:paraId="5A360199">
            <w:pPr>
              <w:pStyle w:val="56"/>
              <w:spacing w:beforeLines="0" w:afterLines="0" w:line="240" w:lineRule="auto"/>
              <w:ind w:firstLine="0" w:firstLineChars="0"/>
              <w:rPr>
                <w:rFonts w:ascii="Times New Roman"/>
                <w:snapToGrid w:val="0"/>
                <w:color w:val="auto"/>
                <w:kern w:val="21"/>
                <w:sz w:val="21"/>
                <w:szCs w:val="21"/>
                <w:highlight w:val="none"/>
              </w:rPr>
            </w:pPr>
            <w:r>
              <w:rPr>
                <w:rFonts w:hint="eastAsia" w:ascii="Times New Roman"/>
                <w:color w:val="auto"/>
                <w:spacing w:val="-1"/>
                <w:sz w:val="21"/>
                <w:szCs w:val="21"/>
                <w:highlight w:val="none"/>
                <w:lang w:val="en-US" w:eastAsia="zh-CN"/>
              </w:rPr>
              <w:t>259.32</w:t>
            </w:r>
            <w:r>
              <w:rPr>
                <w:rFonts w:ascii="Times New Roman" w:eastAsia="Times New Roman"/>
                <w:color w:val="auto"/>
                <w:spacing w:val="-1"/>
                <w:sz w:val="21"/>
                <w:szCs w:val="21"/>
                <w:highlight w:val="none"/>
              </w:rPr>
              <w:t>t/a</w:t>
            </w:r>
          </w:p>
        </w:tc>
        <w:tc>
          <w:tcPr>
            <w:tcW w:w="1442" w:type="dxa"/>
            <w:noWrap w:val="0"/>
            <w:vAlign w:val="center"/>
          </w:tcPr>
          <w:p w14:paraId="2BBDA1B7">
            <w:pPr>
              <w:pStyle w:val="56"/>
              <w:spacing w:beforeLines="0" w:afterLines="0" w:line="240" w:lineRule="auto"/>
              <w:ind w:firstLine="0" w:firstLineChars="0"/>
              <w:rPr>
                <w:rFonts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787" w:type="dxa"/>
            <w:noWrap w:val="0"/>
            <w:vAlign w:val="center"/>
          </w:tcPr>
          <w:p w14:paraId="22385503">
            <w:pPr>
              <w:pStyle w:val="56"/>
              <w:spacing w:beforeLines="0" w:afterLines="0" w:line="240" w:lineRule="auto"/>
              <w:ind w:firstLine="0" w:firstLineChars="0"/>
              <w:rPr>
                <w:rFonts w:ascii="Times New Roman"/>
                <w:snapToGrid w:val="0"/>
                <w:color w:val="auto"/>
                <w:kern w:val="21"/>
                <w:sz w:val="21"/>
                <w:szCs w:val="21"/>
                <w:highlight w:val="none"/>
              </w:rPr>
            </w:pPr>
            <w:r>
              <w:rPr>
                <w:rFonts w:hint="eastAsia" w:ascii="Times New Roman"/>
                <w:color w:val="auto"/>
                <w:spacing w:val="-1"/>
                <w:sz w:val="21"/>
                <w:szCs w:val="21"/>
                <w:highlight w:val="none"/>
                <w:lang w:val="en-US" w:eastAsia="zh-CN"/>
              </w:rPr>
              <w:t>259.32</w:t>
            </w:r>
            <w:r>
              <w:rPr>
                <w:rFonts w:ascii="Times New Roman" w:eastAsia="Times New Roman"/>
                <w:color w:val="auto"/>
                <w:spacing w:val="-1"/>
                <w:sz w:val="21"/>
                <w:szCs w:val="21"/>
                <w:highlight w:val="none"/>
              </w:rPr>
              <w:t>t/a</w:t>
            </w:r>
          </w:p>
        </w:tc>
        <w:tc>
          <w:tcPr>
            <w:tcW w:w="1315" w:type="dxa"/>
            <w:noWrap w:val="0"/>
            <w:vAlign w:val="center"/>
          </w:tcPr>
          <w:p w14:paraId="6DC81D39">
            <w:pPr>
              <w:pStyle w:val="56"/>
              <w:spacing w:beforeLines="0" w:afterLines="0" w:line="240" w:lineRule="auto"/>
              <w:ind w:firstLine="0" w:firstLineChars="0"/>
              <w:rPr>
                <w:rFonts w:ascii="Times New Roman"/>
                <w:snapToGrid w:val="0"/>
                <w:color w:val="auto"/>
                <w:kern w:val="21"/>
                <w:sz w:val="21"/>
                <w:szCs w:val="21"/>
                <w:highlight w:val="none"/>
              </w:rPr>
            </w:pPr>
            <w:r>
              <w:rPr>
                <w:rFonts w:hint="eastAsia" w:ascii="Times New Roman"/>
                <w:color w:val="auto"/>
                <w:spacing w:val="-1"/>
                <w:sz w:val="21"/>
                <w:szCs w:val="21"/>
                <w:highlight w:val="none"/>
                <w:lang w:val="en-US" w:eastAsia="zh-CN"/>
              </w:rPr>
              <w:t>+259.32</w:t>
            </w:r>
            <w:r>
              <w:rPr>
                <w:rFonts w:ascii="Times New Roman" w:eastAsia="Times New Roman"/>
                <w:color w:val="auto"/>
                <w:spacing w:val="-1"/>
                <w:sz w:val="21"/>
                <w:szCs w:val="21"/>
                <w:highlight w:val="none"/>
              </w:rPr>
              <w:t>t/a</w:t>
            </w:r>
          </w:p>
        </w:tc>
      </w:tr>
      <w:tr w14:paraId="54E394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288" w:type="dxa"/>
            <w:vMerge w:val="continue"/>
            <w:noWrap w:val="0"/>
            <w:vAlign w:val="center"/>
          </w:tcPr>
          <w:p w14:paraId="0420D317">
            <w:pPr>
              <w:pStyle w:val="56"/>
              <w:spacing w:beforeLines="0" w:afterLines="0" w:line="240" w:lineRule="auto"/>
              <w:ind w:firstLine="0" w:firstLineChars="0"/>
              <w:rPr>
                <w:rFonts w:ascii="Times New Roman"/>
                <w:snapToGrid w:val="0"/>
                <w:color w:val="auto"/>
                <w:kern w:val="21"/>
                <w:sz w:val="21"/>
                <w:szCs w:val="21"/>
                <w:highlight w:val="none"/>
              </w:rPr>
            </w:pPr>
          </w:p>
        </w:tc>
        <w:tc>
          <w:tcPr>
            <w:tcW w:w="1831" w:type="dxa"/>
            <w:noWrap w:val="0"/>
            <w:vAlign w:val="center"/>
          </w:tcPr>
          <w:p w14:paraId="43CAAB2A">
            <w:pPr>
              <w:spacing w:line="340" w:lineRule="exact"/>
              <w:ind w:firstLine="0" w:firstLineChars="0"/>
              <w:jc w:val="center"/>
              <w:rPr>
                <w:rFonts w:hint="default" w:eastAsia="宋体"/>
                <w:snapToGrid w:val="0"/>
                <w:color w:val="auto"/>
                <w:kern w:val="21"/>
                <w:sz w:val="21"/>
                <w:szCs w:val="21"/>
                <w:highlight w:val="none"/>
                <w:lang w:val="en-US" w:eastAsia="zh-CN"/>
              </w:rPr>
            </w:pPr>
            <w:r>
              <w:rPr>
                <w:rFonts w:hint="eastAsia"/>
                <w:color w:val="auto"/>
                <w:sz w:val="21"/>
                <w:szCs w:val="21"/>
                <w:highlight w:val="none"/>
                <w:lang w:val="en-US" w:eastAsia="zh-CN" w:bidi="ar"/>
              </w:rPr>
              <w:t>除尘器收集粉尘</w:t>
            </w:r>
          </w:p>
        </w:tc>
        <w:tc>
          <w:tcPr>
            <w:tcW w:w="1580" w:type="dxa"/>
            <w:noWrap w:val="0"/>
            <w:vAlign w:val="center"/>
          </w:tcPr>
          <w:p w14:paraId="60D66FD7">
            <w:pPr>
              <w:pStyle w:val="56"/>
              <w:spacing w:beforeLines="0" w:afterLines="0" w:line="240" w:lineRule="auto"/>
              <w:ind w:firstLine="0" w:firstLineChars="0"/>
              <w:rPr>
                <w:rFonts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274" w:type="dxa"/>
            <w:noWrap w:val="0"/>
            <w:vAlign w:val="center"/>
          </w:tcPr>
          <w:p w14:paraId="204A2E1A">
            <w:pPr>
              <w:pStyle w:val="56"/>
              <w:spacing w:beforeLines="0" w:afterLines="0" w:line="240" w:lineRule="auto"/>
              <w:ind w:firstLine="0" w:firstLineChars="0"/>
              <w:rPr>
                <w:rFonts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699" w:type="dxa"/>
            <w:noWrap w:val="0"/>
            <w:vAlign w:val="center"/>
          </w:tcPr>
          <w:p w14:paraId="211BE958">
            <w:pPr>
              <w:pStyle w:val="56"/>
              <w:spacing w:beforeLines="0" w:afterLines="0" w:line="240" w:lineRule="auto"/>
              <w:ind w:firstLine="0" w:firstLineChars="0"/>
              <w:rPr>
                <w:rFonts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558" w:type="dxa"/>
            <w:noWrap w:val="0"/>
            <w:vAlign w:val="center"/>
          </w:tcPr>
          <w:p w14:paraId="167C1B77">
            <w:pPr>
              <w:pStyle w:val="56"/>
              <w:spacing w:beforeLines="0" w:afterLines="0" w:line="240" w:lineRule="auto"/>
              <w:ind w:firstLine="0" w:firstLineChars="0"/>
              <w:rPr>
                <w:rFonts w:ascii="Times New Roman"/>
                <w:snapToGrid w:val="0"/>
                <w:color w:val="auto"/>
                <w:kern w:val="21"/>
                <w:sz w:val="21"/>
                <w:szCs w:val="21"/>
                <w:highlight w:val="none"/>
              </w:rPr>
            </w:pPr>
            <w:r>
              <w:rPr>
                <w:rFonts w:hint="eastAsia" w:ascii="Times New Roman"/>
                <w:color w:val="auto"/>
                <w:spacing w:val="-1"/>
                <w:sz w:val="21"/>
                <w:szCs w:val="21"/>
                <w:highlight w:val="none"/>
                <w:lang w:val="en-US" w:eastAsia="zh-CN"/>
              </w:rPr>
              <w:t>13.1</w:t>
            </w:r>
            <w:r>
              <w:rPr>
                <w:rFonts w:ascii="Times New Roman" w:eastAsia="Times New Roman"/>
                <w:color w:val="auto"/>
                <w:spacing w:val="-1"/>
                <w:sz w:val="21"/>
                <w:szCs w:val="21"/>
                <w:highlight w:val="none"/>
              </w:rPr>
              <w:t>t/a</w:t>
            </w:r>
          </w:p>
        </w:tc>
        <w:tc>
          <w:tcPr>
            <w:tcW w:w="1442" w:type="dxa"/>
            <w:noWrap w:val="0"/>
            <w:vAlign w:val="center"/>
          </w:tcPr>
          <w:p w14:paraId="6F17FE97">
            <w:pPr>
              <w:pStyle w:val="56"/>
              <w:spacing w:beforeLines="0" w:afterLines="0" w:line="240" w:lineRule="auto"/>
              <w:ind w:firstLine="0" w:firstLineChars="0"/>
              <w:rPr>
                <w:rFonts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787" w:type="dxa"/>
            <w:noWrap w:val="0"/>
            <w:vAlign w:val="center"/>
          </w:tcPr>
          <w:p w14:paraId="3BB29B1B">
            <w:pPr>
              <w:pStyle w:val="56"/>
              <w:spacing w:beforeLines="0" w:afterLines="0" w:line="240" w:lineRule="auto"/>
              <w:ind w:firstLine="0" w:firstLineChars="0"/>
              <w:rPr>
                <w:rFonts w:ascii="Times New Roman"/>
                <w:snapToGrid w:val="0"/>
                <w:color w:val="auto"/>
                <w:kern w:val="21"/>
                <w:sz w:val="21"/>
                <w:szCs w:val="21"/>
                <w:highlight w:val="none"/>
              </w:rPr>
            </w:pPr>
            <w:r>
              <w:rPr>
                <w:rFonts w:hint="eastAsia" w:ascii="Times New Roman"/>
                <w:color w:val="auto"/>
                <w:spacing w:val="-1"/>
                <w:sz w:val="21"/>
                <w:szCs w:val="21"/>
                <w:highlight w:val="none"/>
                <w:lang w:val="en-US" w:eastAsia="zh-CN"/>
              </w:rPr>
              <w:t>13.1</w:t>
            </w:r>
            <w:r>
              <w:rPr>
                <w:rFonts w:ascii="Times New Roman" w:eastAsia="Times New Roman"/>
                <w:color w:val="auto"/>
                <w:spacing w:val="-1"/>
                <w:sz w:val="21"/>
                <w:szCs w:val="21"/>
                <w:highlight w:val="none"/>
              </w:rPr>
              <w:t>t/a</w:t>
            </w:r>
          </w:p>
        </w:tc>
        <w:tc>
          <w:tcPr>
            <w:tcW w:w="1315" w:type="dxa"/>
            <w:noWrap w:val="0"/>
            <w:vAlign w:val="center"/>
          </w:tcPr>
          <w:p w14:paraId="4EDCD9A6">
            <w:pPr>
              <w:pStyle w:val="56"/>
              <w:spacing w:beforeLines="0" w:afterLines="0" w:line="240" w:lineRule="auto"/>
              <w:ind w:firstLine="0" w:firstLineChars="0"/>
              <w:rPr>
                <w:rFonts w:ascii="Times New Roman"/>
                <w:snapToGrid w:val="0"/>
                <w:color w:val="auto"/>
                <w:kern w:val="21"/>
                <w:sz w:val="21"/>
                <w:szCs w:val="21"/>
                <w:highlight w:val="none"/>
              </w:rPr>
            </w:pPr>
            <w:r>
              <w:rPr>
                <w:rFonts w:hint="eastAsia" w:ascii="Times New Roman"/>
                <w:color w:val="auto"/>
                <w:spacing w:val="-1"/>
                <w:sz w:val="21"/>
                <w:szCs w:val="21"/>
                <w:highlight w:val="none"/>
                <w:lang w:val="en-US" w:eastAsia="zh-CN"/>
              </w:rPr>
              <w:t>+13.1</w:t>
            </w:r>
            <w:r>
              <w:rPr>
                <w:rFonts w:ascii="Times New Roman" w:eastAsia="Times New Roman"/>
                <w:color w:val="auto"/>
                <w:spacing w:val="-1"/>
                <w:sz w:val="21"/>
                <w:szCs w:val="21"/>
                <w:highlight w:val="none"/>
              </w:rPr>
              <w:t>t/a</w:t>
            </w:r>
          </w:p>
        </w:tc>
      </w:tr>
      <w:tr w14:paraId="46B957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288" w:type="dxa"/>
            <w:vMerge w:val="continue"/>
            <w:noWrap w:val="0"/>
            <w:vAlign w:val="center"/>
          </w:tcPr>
          <w:p w14:paraId="3C0D5A34">
            <w:pPr>
              <w:pStyle w:val="56"/>
              <w:spacing w:beforeLines="0" w:afterLines="0" w:line="240" w:lineRule="auto"/>
              <w:ind w:firstLine="0" w:firstLineChars="0"/>
              <w:rPr>
                <w:rFonts w:ascii="Times New Roman"/>
                <w:snapToGrid w:val="0"/>
                <w:color w:val="auto"/>
                <w:kern w:val="21"/>
                <w:sz w:val="21"/>
                <w:szCs w:val="21"/>
                <w:highlight w:val="none"/>
              </w:rPr>
            </w:pPr>
          </w:p>
        </w:tc>
        <w:tc>
          <w:tcPr>
            <w:tcW w:w="1831" w:type="dxa"/>
            <w:noWrap w:val="0"/>
            <w:vAlign w:val="center"/>
          </w:tcPr>
          <w:p w14:paraId="5E5CF2E7">
            <w:pPr>
              <w:spacing w:line="340" w:lineRule="exact"/>
              <w:ind w:firstLine="0" w:firstLineChars="0"/>
              <w:jc w:val="center"/>
              <w:rPr>
                <w:color w:val="auto"/>
                <w:sz w:val="21"/>
                <w:szCs w:val="21"/>
                <w:highlight w:val="none"/>
                <w:lang w:bidi="ar"/>
              </w:rPr>
            </w:pPr>
            <w:r>
              <w:rPr>
                <w:rFonts w:hint="eastAsia"/>
                <w:color w:val="auto"/>
                <w:sz w:val="21"/>
                <w:szCs w:val="21"/>
                <w:highlight w:val="none"/>
                <w:lang w:bidi="ar"/>
              </w:rPr>
              <w:t>滴漏沥青及拌和残渣</w:t>
            </w:r>
          </w:p>
        </w:tc>
        <w:tc>
          <w:tcPr>
            <w:tcW w:w="1580" w:type="dxa"/>
            <w:noWrap w:val="0"/>
            <w:vAlign w:val="center"/>
          </w:tcPr>
          <w:p w14:paraId="0795B536">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274" w:type="dxa"/>
            <w:noWrap w:val="0"/>
            <w:vAlign w:val="center"/>
          </w:tcPr>
          <w:p w14:paraId="3E21648E">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699" w:type="dxa"/>
            <w:noWrap w:val="0"/>
            <w:vAlign w:val="center"/>
          </w:tcPr>
          <w:p w14:paraId="436AE17B">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558" w:type="dxa"/>
            <w:noWrap w:val="0"/>
            <w:vAlign w:val="center"/>
          </w:tcPr>
          <w:p w14:paraId="4515C266">
            <w:pPr>
              <w:pStyle w:val="56"/>
              <w:spacing w:beforeLines="0" w:afterLines="0" w:line="240" w:lineRule="auto"/>
              <w:ind w:firstLine="0" w:firstLineChars="0"/>
              <w:rPr>
                <w:rFonts w:ascii="Times New Roman"/>
                <w:snapToGrid w:val="0"/>
                <w:color w:val="auto"/>
                <w:kern w:val="21"/>
                <w:sz w:val="21"/>
                <w:szCs w:val="21"/>
                <w:highlight w:val="none"/>
              </w:rPr>
            </w:pPr>
            <w:r>
              <w:rPr>
                <w:rFonts w:hint="eastAsia" w:ascii="Times New Roman" w:eastAsia="宋体"/>
                <w:color w:val="auto"/>
                <w:spacing w:val="-1"/>
                <w:sz w:val="21"/>
                <w:szCs w:val="21"/>
                <w:highlight w:val="none"/>
                <w:lang w:val="en-US" w:eastAsia="zh-CN"/>
              </w:rPr>
              <w:t>6</w:t>
            </w:r>
            <w:r>
              <w:rPr>
                <w:rFonts w:ascii="Times New Roman" w:eastAsia="Times New Roman"/>
                <w:color w:val="auto"/>
                <w:spacing w:val="-1"/>
                <w:sz w:val="21"/>
                <w:szCs w:val="21"/>
                <w:highlight w:val="none"/>
              </w:rPr>
              <w:t>t/a</w:t>
            </w:r>
          </w:p>
        </w:tc>
        <w:tc>
          <w:tcPr>
            <w:tcW w:w="1442" w:type="dxa"/>
            <w:noWrap w:val="0"/>
            <w:vAlign w:val="center"/>
          </w:tcPr>
          <w:p w14:paraId="5ADC51EB">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787" w:type="dxa"/>
            <w:noWrap w:val="0"/>
            <w:vAlign w:val="center"/>
          </w:tcPr>
          <w:p w14:paraId="3F5EAF9B">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eastAsia="宋体"/>
                <w:color w:val="auto"/>
                <w:spacing w:val="-1"/>
                <w:sz w:val="21"/>
                <w:szCs w:val="21"/>
                <w:highlight w:val="none"/>
                <w:lang w:val="en-US" w:eastAsia="zh-CN"/>
              </w:rPr>
              <w:t>6</w:t>
            </w:r>
            <w:r>
              <w:rPr>
                <w:rFonts w:ascii="Times New Roman" w:eastAsia="Times New Roman"/>
                <w:color w:val="auto"/>
                <w:spacing w:val="-1"/>
                <w:sz w:val="21"/>
                <w:szCs w:val="21"/>
                <w:highlight w:val="none"/>
              </w:rPr>
              <w:t>t/a</w:t>
            </w:r>
          </w:p>
        </w:tc>
        <w:tc>
          <w:tcPr>
            <w:tcW w:w="1315" w:type="dxa"/>
            <w:noWrap w:val="0"/>
            <w:vAlign w:val="center"/>
          </w:tcPr>
          <w:p w14:paraId="3168C4D8">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color w:val="auto"/>
                <w:spacing w:val="-1"/>
                <w:sz w:val="21"/>
                <w:szCs w:val="21"/>
                <w:highlight w:val="none"/>
                <w:lang w:val="en-US" w:eastAsia="zh-CN"/>
              </w:rPr>
              <w:t>+</w:t>
            </w:r>
            <w:r>
              <w:rPr>
                <w:rFonts w:hint="eastAsia" w:ascii="Times New Roman" w:eastAsia="宋体"/>
                <w:color w:val="auto"/>
                <w:spacing w:val="-1"/>
                <w:sz w:val="21"/>
                <w:szCs w:val="21"/>
                <w:highlight w:val="none"/>
                <w:lang w:val="en-US" w:eastAsia="zh-CN"/>
              </w:rPr>
              <w:t>6</w:t>
            </w:r>
            <w:r>
              <w:rPr>
                <w:rFonts w:ascii="Times New Roman" w:eastAsia="Times New Roman"/>
                <w:color w:val="auto"/>
                <w:spacing w:val="-1"/>
                <w:sz w:val="21"/>
                <w:szCs w:val="21"/>
                <w:highlight w:val="none"/>
              </w:rPr>
              <w:t>t/a</w:t>
            </w:r>
          </w:p>
        </w:tc>
      </w:tr>
      <w:tr w14:paraId="53FE99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288" w:type="dxa"/>
            <w:vMerge w:val="continue"/>
            <w:noWrap w:val="0"/>
            <w:vAlign w:val="center"/>
          </w:tcPr>
          <w:p w14:paraId="43860800">
            <w:pPr>
              <w:pStyle w:val="56"/>
              <w:spacing w:beforeLines="0" w:afterLines="0" w:line="240" w:lineRule="auto"/>
              <w:ind w:firstLine="0" w:firstLineChars="0"/>
              <w:rPr>
                <w:rFonts w:ascii="Times New Roman"/>
                <w:snapToGrid w:val="0"/>
                <w:color w:val="auto"/>
                <w:kern w:val="21"/>
                <w:sz w:val="21"/>
                <w:szCs w:val="21"/>
                <w:highlight w:val="none"/>
              </w:rPr>
            </w:pPr>
          </w:p>
        </w:tc>
        <w:tc>
          <w:tcPr>
            <w:tcW w:w="1831" w:type="dxa"/>
            <w:noWrap w:val="0"/>
            <w:vAlign w:val="center"/>
          </w:tcPr>
          <w:p w14:paraId="01EEF53E">
            <w:pPr>
              <w:spacing w:line="340" w:lineRule="exact"/>
              <w:ind w:firstLine="0" w:firstLineChars="0"/>
              <w:jc w:val="center"/>
              <w:rPr>
                <w:snapToGrid w:val="0"/>
                <w:color w:val="auto"/>
                <w:kern w:val="21"/>
                <w:sz w:val="21"/>
                <w:szCs w:val="21"/>
                <w:highlight w:val="none"/>
              </w:rPr>
            </w:pPr>
            <w:r>
              <w:rPr>
                <w:rFonts w:hint="eastAsia"/>
                <w:snapToGrid w:val="0"/>
                <w:color w:val="auto"/>
                <w:kern w:val="21"/>
                <w:sz w:val="21"/>
                <w:szCs w:val="21"/>
                <w:highlight w:val="none"/>
              </w:rPr>
              <w:t>食堂厨余垃圾</w:t>
            </w:r>
          </w:p>
        </w:tc>
        <w:tc>
          <w:tcPr>
            <w:tcW w:w="1580" w:type="dxa"/>
            <w:noWrap w:val="0"/>
            <w:vAlign w:val="center"/>
          </w:tcPr>
          <w:p w14:paraId="6E2061E6">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274" w:type="dxa"/>
            <w:noWrap w:val="0"/>
            <w:vAlign w:val="center"/>
          </w:tcPr>
          <w:p w14:paraId="10D0FE4D">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699" w:type="dxa"/>
            <w:noWrap w:val="0"/>
            <w:vAlign w:val="center"/>
          </w:tcPr>
          <w:p w14:paraId="6599210C">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558" w:type="dxa"/>
            <w:noWrap w:val="0"/>
            <w:vAlign w:val="center"/>
          </w:tcPr>
          <w:p w14:paraId="3B8205B5">
            <w:pPr>
              <w:pStyle w:val="56"/>
              <w:spacing w:beforeLines="0" w:afterLines="0" w:line="240" w:lineRule="auto"/>
              <w:ind w:firstLine="0" w:firstLineChars="0"/>
              <w:rPr>
                <w:rFonts w:ascii="Times New Roman"/>
                <w:snapToGrid w:val="0"/>
                <w:color w:val="auto"/>
                <w:kern w:val="21"/>
                <w:sz w:val="21"/>
                <w:szCs w:val="21"/>
                <w:highlight w:val="none"/>
              </w:rPr>
            </w:pPr>
            <w:r>
              <w:rPr>
                <w:rFonts w:hint="eastAsia" w:ascii="Times New Roman"/>
                <w:color w:val="auto"/>
                <w:spacing w:val="-1"/>
                <w:sz w:val="21"/>
                <w:szCs w:val="21"/>
                <w:highlight w:val="none"/>
                <w:lang w:val="en-US" w:eastAsia="zh-CN"/>
              </w:rPr>
              <w:t>0.48</w:t>
            </w:r>
            <w:r>
              <w:rPr>
                <w:rFonts w:ascii="Times New Roman" w:eastAsia="Times New Roman"/>
                <w:color w:val="auto"/>
                <w:spacing w:val="-1"/>
                <w:sz w:val="21"/>
                <w:szCs w:val="21"/>
                <w:highlight w:val="none"/>
              </w:rPr>
              <w:t>t/a</w:t>
            </w:r>
          </w:p>
        </w:tc>
        <w:tc>
          <w:tcPr>
            <w:tcW w:w="1442" w:type="dxa"/>
            <w:noWrap w:val="0"/>
            <w:vAlign w:val="center"/>
          </w:tcPr>
          <w:p w14:paraId="68837639">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787" w:type="dxa"/>
            <w:noWrap w:val="0"/>
            <w:vAlign w:val="center"/>
          </w:tcPr>
          <w:p w14:paraId="3BB7C14B">
            <w:pPr>
              <w:pStyle w:val="56"/>
              <w:spacing w:beforeLines="0" w:afterLines="0" w:line="240" w:lineRule="auto"/>
              <w:ind w:firstLine="0" w:firstLineChars="0"/>
              <w:rPr>
                <w:rFonts w:ascii="Times New Roman"/>
                <w:snapToGrid w:val="0"/>
                <w:color w:val="auto"/>
                <w:kern w:val="21"/>
                <w:sz w:val="21"/>
                <w:szCs w:val="21"/>
                <w:highlight w:val="none"/>
              </w:rPr>
            </w:pPr>
            <w:r>
              <w:rPr>
                <w:rFonts w:hint="eastAsia" w:ascii="Times New Roman"/>
                <w:color w:val="auto"/>
                <w:spacing w:val="-1"/>
                <w:sz w:val="21"/>
                <w:szCs w:val="21"/>
                <w:highlight w:val="none"/>
                <w:lang w:val="en-US" w:eastAsia="zh-CN"/>
              </w:rPr>
              <w:t>0.48</w:t>
            </w:r>
            <w:r>
              <w:rPr>
                <w:rFonts w:ascii="Times New Roman" w:eastAsia="Times New Roman"/>
                <w:color w:val="auto"/>
                <w:spacing w:val="-1"/>
                <w:sz w:val="21"/>
                <w:szCs w:val="21"/>
                <w:highlight w:val="none"/>
              </w:rPr>
              <w:t>t/a</w:t>
            </w:r>
          </w:p>
        </w:tc>
        <w:tc>
          <w:tcPr>
            <w:tcW w:w="1315" w:type="dxa"/>
            <w:noWrap w:val="0"/>
            <w:vAlign w:val="center"/>
          </w:tcPr>
          <w:p w14:paraId="0A863A57">
            <w:pPr>
              <w:pStyle w:val="56"/>
              <w:spacing w:beforeLines="0" w:afterLines="0" w:line="240" w:lineRule="auto"/>
              <w:ind w:firstLine="0" w:firstLineChars="0"/>
              <w:rPr>
                <w:rFonts w:ascii="Times New Roman"/>
                <w:snapToGrid w:val="0"/>
                <w:color w:val="auto"/>
                <w:kern w:val="21"/>
                <w:sz w:val="21"/>
                <w:szCs w:val="21"/>
                <w:highlight w:val="none"/>
              </w:rPr>
            </w:pPr>
            <w:r>
              <w:rPr>
                <w:rFonts w:hint="eastAsia" w:ascii="Times New Roman"/>
                <w:color w:val="auto"/>
                <w:spacing w:val="-1"/>
                <w:sz w:val="21"/>
                <w:szCs w:val="21"/>
                <w:highlight w:val="none"/>
                <w:lang w:val="en-US" w:eastAsia="zh-CN"/>
              </w:rPr>
              <w:t>+0.48</w:t>
            </w:r>
            <w:r>
              <w:rPr>
                <w:rFonts w:ascii="Times New Roman" w:eastAsia="Times New Roman"/>
                <w:color w:val="auto"/>
                <w:spacing w:val="-1"/>
                <w:sz w:val="21"/>
                <w:szCs w:val="21"/>
                <w:highlight w:val="none"/>
              </w:rPr>
              <w:t>t/a</w:t>
            </w:r>
          </w:p>
        </w:tc>
      </w:tr>
      <w:tr w14:paraId="2E1777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288" w:type="dxa"/>
            <w:vMerge w:val="continue"/>
            <w:noWrap w:val="0"/>
            <w:vAlign w:val="center"/>
          </w:tcPr>
          <w:p w14:paraId="6B082998">
            <w:pPr>
              <w:pStyle w:val="56"/>
              <w:spacing w:beforeLines="0" w:afterLines="0" w:line="240" w:lineRule="auto"/>
              <w:ind w:firstLine="0" w:firstLineChars="0"/>
              <w:rPr>
                <w:rFonts w:ascii="Times New Roman"/>
                <w:snapToGrid w:val="0"/>
                <w:color w:val="auto"/>
                <w:kern w:val="21"/>
                <w:sz w:val="21"/>
                <w:szCs w:val="21"/>
                <w:highlight w:val="none"/>
              </w:rPr>
            </w:pPr>
          </w:p>
        </w:tc>
        <w:tc>
          <w:tcPr>
            <w:tcW w:w="1831" w:type="dxa"/>
            <w:noWrap w:val="0"/>
            <w:vAlign w:val="center"/>
          </w:tcPr>
          <w:p w14:paraId="2722BD94">
            <w:pPr>
              <w:spacing w:line="340" w:lineRule="exact"/>
              <w:ind w:firstLine="0" w:firstLineChars="0"/>
              <w:jc w:val="center"/>
              <w:rPr>
                <w:rFonts w:hint="default" w:eastAsia="宋体"/>
                <w:snapToGrid w:val="0"/>
                <w:color w:val="auto"/>
                <w:kern w:val="21"/>
                <w:sz w:val="21"/>
                <w:szCs w:val="21"/>
                <w:highlight w:val="none"/>
                <w:lang w:val="en-US" w:eastAsia="zh-CN"/>
              </w:rPr>
            </w:pPr>
            <w:r>
              <w:rPr>
                <w:rFonts w:hint="eastAsia"/>
                <w:snapToGrid w:val="0"/>
                <w:color w:val="auto"/>
                <w:kern w:val="21"/>
                <w:sz w:val="21"/>
                <w:szCs w:val="21"/>
                <w:highlight w:val="none"/>
                <w:lang w:val="en-US" w:eastAsia="zh-CN"/>
              </w:rPr>
              <w:t>隔油池废油</w:t>
            </w:r>
          </w:p>
        </w:tc>
        <w:tc>
          <w:tcPr>
            <w:tcW w:w="1580" w:type="dxa"/>
            <w:noWrap w:val="0"/>
            <w:vAlign w:val="center"/>
          </w:tcPr>
          <w:p w14:paraId="1CB63368">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274" w:type="dxa"/>
            <w:noWrap w:val="0"/>
            <w:vAlign w:val="center"/>
          </w:tcPr>
          <w:p w14:paraId="1D3FD72C">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699" w:type="dxa"/>
            <w:noWrap w:val="0"/>
            <w:vAlign w:val="center"/>
          </w:tcPr>
          <w:p w14:paraId="60521D58">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558" w:type="dxa"/>
            <w:noWrap w:val="0"/>
            <w:vAlign w:val="center"/>
          </w:tcPr>
          <w:p w14:paraId="3CE2DEDA">
            <w:pPr>
              <w:pStyle w:val="56"/>
              <w:spacing w:beforeLines="0" w:afterLines="0" w:line="240" w:lineRule="auto"/>
              <w:ind w:firstLine="0" w:firstLineChars="0"/>
              <w:rPr>
                <w:rFonts w:hint="default" w:ascii="Times New Roman" w:eastAsia="宋体"/>
                <w:snapToGrid w:val="0"/>
                <w:color w:val="auto"/>
                <w:kern w:val="21"/>
                <w:sz w:val="21"/>
                <w:szCs w:val="21"/>
                <w:highlight w:val="none"/>
                <w:lang w:val="en-US" w:eastAsia="zh-CN"/>
              </w:rPr>
            </w:pPr>
            <w:r>
              <w:rPr>
                <w:rFonts w:hint="eastAsia" w:ascii="Times New Roman"/>
                <w:snapToGrid w:val="0"/>
                <w:color w:val="auto"/>
                <w:kern w:val="21"/>
                <w:sz w:val="21"/>
                <w:szCs w:val="21"/>
                <w:highlight w:val="none"/>
                <w:lang w:val="en-US" w:eastAsia="zh-CN"/>
              </w:rPr>
              <w:t>0.0019</w:t>
            </w:r>
            <w:r>
              <w:rPr>
                <w:rFonts w:ascii="Times New Roman" w:eastAsia="Times New Roman"/>
                <w:color w:val="auto"/>
                <w:spacing w:val="-1"/>
                <w:sz w:val="21"/>
                <w:szCs w:val="21"/>
                <w:highlight w:val="none"/>
              </w:rPr>
              <w:t>t/a</w:t>
            </w:r>
          </w:p>
        </w:tc>
        <w:tc>
          <w:tcPr>
            <w:tcW w:w="1442" w:type="dxa"/>
            <w:noWrap w:val="0"/>
            <w:vAlign w:val="center"/>
          </w:tcPr>
          <w:p w14:paraId="0EC1BC2A">
            <w:pPr>
              <w:pStyle w:val="56"/>
              <w:spacing w:beforeLines="0" w:afterLines="0" w:line="240" w:lineRule="auto"/>
              <w:ind w:firstLine="0" w:firstLineChars="0"/>
              <w:rPr>
                <w:rFonts w:hint="eastAsia" w:ascii="Times New Roman" w:eastAsia="宋体"/>
                <w:snapToGrid w:val="0"/>
                <w:color w:val="auto"/>
                <w:kern w:val="21"/>
                <w:sz w:val="21"/>
                <w:szCs w:val="21"/>
                <w:highlight w:val="none"/>
                <w:lang w:val="en-US" w:eastAsia="zh-CN"/>
              </w:rPr>
            </w:pPr>
            <w:r>
              <w:rPr>
                <w:rFonts w:hint="eastAsia" w:ascii="Times New Roman"/>
                <w:snapToGrid w:val="0"/>
                <w:color w:val="auto"/>
                <w:kern w:val="21"/>
                <w:sz w:val="21"/>
                <w:szCs w:val="21"/>
                <w:highlight w:val="none"/>
                <w:lang w:val="en-US" w:eastAsia="zh-CN"/>
              </w:rPr>
              <w:t>/</w:t>
            </w:r>
          </w:p>
        </w:tc>
        <w:tc>
          <w:tcPr>
            <w:tcW w:w="1787" w:type="dxa"/>
            <w:noWrap w:val="0"/>
            <w:vAlign w:val="center"/>
          </w:tcPr>
          <w:p w14:paraId="608581A9">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lang w:val="en-US" w:eastAsia="zh-CN"/>
              </w:rPr>
              <w:t>0.0019</w:t>
            </w:r>
            <w:r>
              <w:rPr>
                <w:rFonts w:ascii="Times New Roman" w:eastAsia="Times New Roman"/>
                <w:color w:val="auto"/>
                <w:spacing w:val="-1"/>
                <w:sz w:val="21"/>
                <w:szCs w:val="21"/>
                <w:highlight w:val="none"/>
              </w:rPr>
              <w:t>t/a</w:t>
            </w:r>
          </w:p>
        </w:tc>
        <w:tc>
          <w:tcPr>
            <w:tcW w:w="1315" w:type="dxa"/>
            <w:noWrap w:val="0"/>
            <w:vAlign w:val="center"/>
          </w:tcPr>
          <w:p w14:paraId="46C18568">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lang w:val="en-US" w:eastAsia="zh-CN"/>
              </w:rPr>
              <w:t>+0.0019</w:t>
            </w:r>
            <w:r>
              <w:rPr>
                <w:rFonts w:ascii="Times New Roman" w:eastAsia="Times New Roman"/>
                <w:color w:val="auto"/>
                <w:spacing w:val="-1"/>
                <w:sz w:val="21"/>
                <w:szCs w:val="21"/>
                <w:highlight w:val="none"/>
              </w:rPr>
              <w:t>t/a</w:t>
            </w:r>
          </w:p>
        </w:tc>
      </w:tr>
      <w:tr w14:paraId="061DF5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288" w:type="dxa"/>
            <w:vMerge w:val="continue"/>
            <w:noWrap w:val="0"/>
            <w:vAlign w:val="center"/>
          </w:tcPr>
          <w:p w14:paraId="367EC0A7">
            <w:pPr>
              <w:pStyle w:val="56"/>
              <w:spacing w:beforeLines="0" w:afterLines="0" w:line="240" w:lineRule="auto"/>
              <w:ind w:firstLine="0" w:firstLineChars="0"/>
              <w:rPr>
                <w:rFonts w:ascii="Times New Roman"/>
                <w:snapToGrid w:val="0"/>
                <w:color w:val="auto"/>
                <w:kern w:val="21"/>
                <w:sz w:val="21"/>
                <w:szCs w:val="21"/>
                <w:highlight w:val="none"/>
              </w:rPr>
            </w:pPr>
          </w:p>
        </w:tc>
        <w:tc>
          <w:tcPr>
            <w:tcW w:w="1831" w:type="dxa"/>
            <w:noWrap w:val="0"/>
            <w:vAlign w:val="center"/>
          </w:tcPr>
          <w:p w14:paraId="0A3819AA">
            <w:pPr>
              <w:spacing w:line="340" w:lineRule="exact"/>
              <w:ind w:firstLine="0" w:firstLineChars="0"/>
              <w:jc w:val="center"/>
              <w:rPr>
                <w:rFonts w:hint="eastAsia"/>
                <w:snapToGrid w:val="0"/>
                <w:color w:val="auto"/>
                <w:kern w:val="21"/>
                <w:sz w:val="21"/>
                <w:szCs w:val="21"/>
                <w:highlight w:val="none"/>
                <w:lang w:val="en-US" w:eastAsia="zh-CN"/>
              </w:rPr>
            </w:pPr>
            <w:r>
              <w:rPr>
                <w:rFonts w:hint="eastAsia"/>
                <w:color w:val="auto"/>
                <w:sz w:val="21"/>
                <w:szCs w:val="21"/>
                <w:highlight w:val="none"/>
                <w:lang w:val="en-US" w:eastAsia="zh-CN" w:bidi="ar"/>
              </w:rPr>
              <w:t>沉淀池污泥</w:t>
            </w:r>
          </w:p>
        </w:tc>
        <w:tc>
          <w:tcPr>
            <w:tcW w:w="1580" w:type="dxa"/>
            <w:noWrap w:val="0"/>
            <w:vAlign w:val="center"/>
          </w:tcPr>
          <w:p w14:paraId="6FDFDD65">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274" w:type="dxa"/>
            <w:noWrap w:val="0"/>
            <w:vAlign w:val="center"/>
          </w:tcPr>
          <w:p w14:paraId="230CDD41">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699" w:type="dxa"/>
            <w:noWrap w:val="0"/>
            <w:vAlign w:val="center"/>
          </w:tcPr>
          <w:p w14:paraId="30E96672">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558" w:type="dxa"/>
            <w:noWrap w:val="0"/>
            <w:vAlign w:val="center"/>
          </w:tcPr>
          <w:p w14:paraId="3D8597FD">
            <w:pPr>
              <w:pStyle w:val="56"/>
              <w:spacing w:beforeLines="0" w:afterLines="0" w:line="240" w:lineRule="auto"/>
              <w:ind w:firstLine="0" w:firstLineChars="0"/>
              <w:rPr>
                <w:rFonts w:hint="default" w:ascii="Times New Roman"/>
                <w:snapToGrid w:val="0"/>
                <w:color w:val="auto"/>
                <w:kern w:val="21"/>
                <w:sz w:val="21"/>
                <w:szCs w:val="21"/>
                <w:highlight w:val="none"/>
                <w:lang w:val="en-US" w:eastAsia="zh-CN"/>
              </w:rPr>
            </w:pPr>
            <w:r>
              <w:rPr>
                <w:rFonts w:hint="eastAsia" w:ascii="Times New Roman"/>
                <w:snapToGrid w:val="0"/>
                <w:color w:val="auto"/>
                <w:kern w:val="21"/>
                <w:sz w:val="21"/>
                <w:szCs w:val="21"/>
                <w:highlight w:val="none"/>
                <w:lang w:val="en-US" w:eastAsia="zh-CN"/>
              </w:rPr>
              <w:t>9</w:t>
            </w:r>
            <w:r>
              <w:rPr>
                <w:rFonts w:ascii="Times New Roman" w:eastAsia="Times New Roman"/>
                <w:color w:val="auto"/>
                <w:spacing w:val="-1"/>
                <w:sz w:val="21"/>
                <w:szCs w:val="21"/>
                <w:highlight w:val="none"/>
              </w:rPr>
              <w:t>t/a</w:t>
            </w:r>
          </w:p>
        </w:tc>
        <w:tc>
          <w:tcPr>
            <w:tcW w:w="1442" w:type="dxa"/>
            <w:noWrap w:val="0"/>
            <w:vAlign w:val="center"/>
          </w:tcPr>
          <w:p w14:paraId="19F91CF1">
            <w:pPr>
              <w:pStyle w:val="56"/>
              <w:spacing w:beforeLines="0" w:afterLines="0" w:line="240" w:lineRule="auto"/>
              <w:ind w:firstLine="0" w:firstLineChars="0"/>
              <w:rPr>
                <w:rFonts w:hint="default" w:ascii="Times New Roman"/>
                <w:snapToGrid w:val="0"/>
                <w:color w:val="auto"/>
                <w:kern w:val="21"/>
                <w:sz w:val="21"/>
                <w:szCs w:val="21"/>
                <w:highlight w:val="none"/>
                <w:lang w:val="en-US" w:eastAsia="zh-CN"/>
              </w:rPr>
            </w:pPr>
            <w:r>
              <w:rPr>
                <w:rFonts w:hint="eastAsia" w:ascii="Times New Roman"/>
                <w:snapToGrid w:val="0"/>
                <w:color w:val="auto"/>
                <w:kern w:val="21"/>
                <w:sz w:val="21"/>
                <w:szCs w:val="21"/>
                <w:highlight w:val="none"/>
                <w:lang w:val="en-US" w:eastAsia="zh-CN"/>
              </w:rPr>
              <w:t>/</w:t>
            </w:r>
          </w:p>
        </w:tc>
        <w:tc>
          <w:tcPr>
            <w:tcW w:w="1787" w:type="dxa"/>
            <w:noWrap w:val="0"/>
            <w:vAlign w:val="center"/>
          </w:tcPr>
          <w:p w14:paraId="06A68F08">
            <w:pPr>
              <w:pStyle w:val="56"/>
              <w:spacing w:beforeLines="0" w:afterLines="0" w:line="240" w:lineRule="auto"/>
              <w:ind w:firstLine="0" w:firstLineChars="0"/>
              <w:rPr>
                <w:rFonts w:hint="eastAsia" w:ascii="Times New Roman"/>
                <w:snapToGrid w:val="0"/>
                <w:color w:val="auto"/>
                <w:kern w:val="21"/>
                <w:sz w:val="21"/>
                <w:szCs w:val="21"/>
                <w:highlight w:val="none"/>
                <w:lang w:val="en-US" w:eastAsia="zh-CN"/>
              </w:rPr>
            </w:pPr>
            <w:r>
              <w:rPr>
                <w:rFonts w:hint="eastAsia" w:ascii="Times New Roman"/>
                <w:snapToGrid w:val="0"/>
                <w:color w:val="auto"/>
                <w:kern w:val="21"/>
                <w:sz w:val="21"/>
                <w:szCs w:val="21"/>
                <w:highlight w:val="none"/>
                <w:lang w:val="en-US" w:eastAsia="zh-CN"/>
              </w:rPr>
              <w:t>9</w:t>
            </w:r>
            <w:r>
              <w:rPr>
                <w:rFonts w:ascii="Times New Roman" w:eastAsia="Times New Roman"/>
                <w:color w:val="auto"/>
                <w:spacing w:val="-1"/>
                <w:sz w:val="21"/>
                <w:szCs w:val="21"/>
                <w:highlight w:val="none"/>
              </w:rPr>
              <w:t>t/a</w:t>
            </w:r>
          </w:p>
        </w:tc>
        <w:tc>
          <w:tcPr>
            <w:tcW w:w="1315" w:type="dxa"/>
            <w:noWrap w:val="0"/>
            <w:vAlign w:val="center"/>
          </w:tcPr>
          <w:p w14:paraId="4F46C2E3">
            <w:pPr>
              <w:pStyle w:val="56"/>
              <w:spacing w:beforeLines="0" w:afterLines="0" w:line="240" w:lineRule="auto"/>
              <w:ind w:firstLine="0" w:firstLineChars="0"/>
              <w:rPr>
                <w:rFonts w:hint="eastAsia" w:ascii="Times New Roman"/>
                <w:snapToGrid w:val="0"/>
                <w:color w:val="auto"/>
                <w:kern w:val="21"/>
                <w:sz w:val="21"/>
                <w:szCs w:val="21"/>
                <w:highlight w:val="none"/>
                <w:lang w:val="en-US" w:eastAsia="zh-CN"/>
              </w:rPr>
            </w:pPr>
            <w:r>
              <w:rPr>
                <w:rFonts w:hint="eastAsia" w:ascii="Times New Roman"/>
                <w:snapToGrid w:val="0"/>
                <w:color w:val="auto"/>
                <w:kern w:val="21"/>
                <w:sz w:val="21"/>
                <w:szCs w:val="21"/>
                <w:highlight w:val="none"/>
                <w:lang w:val="en-US" w:eastAsia="zh-CN"/>
              </w:rPr>
              <w:t>+9</w:t>
            </w:r>
            <w:r>
              <w:rPr>
                <w:rFonts w:ascii="Times New Roman" w:eastAsia="Times New Roman"/>
                <w:color w:val="auto"/>
                <w:spacing w:val="-1"/>
                <w:sz w:val="21"/>
                <w:szCs w:val="21"/>
                <w:highlight w:val="none"/>
              </w:rPr>
              <w:t>t/a</w:t>
            </w:r>
          </w:p>
        </w:tc>
      </w:tr>
      <w:tr w14:paraId="4ADCA5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288" w:type="dxa"/>
            <w:vMerge w:val="restart"/>
            <w:noWrap w:val="0"/>
            <w:vAlign w:val="center"/>
          </w:tcPr>
          <w:p w14:paraId="5B270BA5">
            <w:pPr>
              <w:pStyle w:val="56"/>
              <w:spacing w:beforeLines="0" w:afterLines="0" w:line="240" w:lineRule="auto"/>
              <w:ind w:firstLine="0" w:firstLineChars="0"/>
              <w:rPr>
                <w:rFonts w:ascii="Times New Roman"/>
                <w:snapToGrid w:val="0"/>
                <w:color w:val="auto"/>
                <w:kern w:val="21"/>
                <w:sz w:val="21"/>
                <w:szCs w:val="21"/>
                <w:highlight w:val="none"/>
              </w:rPr>
            </w:pPr>
            <w:r>
              <w:rPr>
                <w:rFonts w:ascii="Times New Roman"/>
                <w:snapToGrid w:val="0"/>
                <w:color w:val="auto"/>
                <w:kern w:val="21"/>
                <w:sz w:val="21"/>
                <w:szCs w:val="21"/>
                <w:highlight w:val="none"/>
              </w:rPr>
              <w:t>危险废物</w:t>
            </w:r>
          </w:p>
        </w:tc>
        <w:tc>
          <w:tcPr>
            <w:tcW w:w="1831" w:type="dxa"/>
            <w:noWrap w:val="0"/>
            <w:vAlign w:val="center"/>
          </w:tcPr>
          <w:p w14:paraId="0D9E3007">
            <w:pPr>
              <w:pStyle w:val="56"/>
              <w:spacing w:beforeLines="0" w:afterLines="0" w:line="240" w:lineRule="auto"/>
              <w:ind w:firstLine="0" w:firstLineChars="0"/>
              <w:rPr>
                <w:rFonts w:hint="default" w:ascii="Times New Roman" w:eastAsia="宋体"/>
                <w:snapToGrid w:val="0"/>
                <w:color w:val="auto"/>
                <w:kern w:val="21"/>
                <w:sz w:val="21"/>
                <w:szCs w:val="21"/>
                <w:highlight w:val="none"/>
                <w:lang w:val="en-US" w:eastAsia="zh-CN"/>
              </w:rPr>
            </w:pPr>
            <w:r>
              <w:rPr>
                <w:rFonts w:hint="eastAsia" w:ascii="Times New Roman"/>
                <w:snapToGrid w:val="0"/>
                <w:color w:val="auto"/>
                <w:kern w:val="21"/>
                <w:sz w:val="21"/>
                <w:szCs w:val="21"/>
                <w:highlight w:val="none"/>
                <w:lang w:eastAsia="zh-CN"/>
              </w:rPr>
              <w:t>废</w:t>
            </w:r>
            <w:r>
              <w:rPr>
                <w:rFonts w:hint="eastAsia" w:ascii="Times New Roman"/>
                <w:snapToGrid w:val="0"/>
                <w:color w:val="auto"/>
                <w:kern w:val="21"/>
                <w:sz w:val="21"/>
                <w:szCs w:val="21"/>
                <w:highlight w:val="none"/>
                <w:lang w:val="en-US" w:eastAsia="zh-CN"/>
              </w:rPr>
              <w:t>导热油</w:t>
            </w:r>
          </w:p>
        </w:tc>
        <w:tc>
          <w:tcPr>
            <w:tcW w:w="1580" w:type="dxa"/>
            <w:noWrap w:val="0"/>
            <w:vAlign w:val="center"/>
          </w:tcPr>
          <w:p w14:paraId="167E5517">
            <w:pPr>
              <w:pStyle w:val="56"/>
              <w:spacing w:beforeLines="0" w:afterLines="0" w:line="240" w:lineRule="auto"/>
              <w:ind w:firstLine="0" w:firstLineChars="0"/>
              <w:rPr>
                <w:rFonts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274" w:type="dxa"/>
            <w:noWrap w:val="0"/>
            <w:vAlign w:val="center"/>
          </w:tcPr>
          <w:p w14:paraId="53E27B4F">
            <w:pPr>
              <w:pStyle w:val="56"/>
              <w:spacing w:beforeLines="0" w:afterLines="0" w:line="240" w:lineRule="auto"/>
              <w:ind w:firstLine="0" w:firstLineChars="0"/>
              <w:rPr>
                <w:rFonts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699" w:type="dxa"/>
            <w:noWrap w:val="0"/>
            <w:vAlign w:val="center"/>
          </w:tcPr>
          <w:p w14:paraId="4EB7D6D9">
            <w:pPr>
              <w:pStyle w:val="56"/>
              <w:spacing w:beforeLines="0" w:afterLines="0" w:line="240" w:lineRule="auto"/>
              <w:ind w:firstLine="0" w:firstLineChars="0"/>
              <w:rPr>
                <w:rFonts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558" w:type="dxa"/>
            <w:noWrap w:val="0"/>
            <w:vAlign w:val="center"/>
          </w:tcPr>
          <w:p w14:paraId="1FA2BE57">
            <w:pPr>
              <w:pStyle w:val="56"/>
              <w:spacing w:beforeLines="0" w:afterLines="0" w:line="240" w:lineRule="auto"/>
              <w:ind w:firstLine="0" w:firstLineChars="0"/>
              <w:rPr>
                <w:rFonts w:ascii="Times New Roman"/>
                <w:snapToGrid w:val="0"/>
                <w:color w:val="auto"/>
                <w:kern w:val="21"/>
                <w:sz w:val="21"/>
                <w:szCs w:val="21"/>
                <w:highlight w:val="none"/>
              </w:rPr>
            </w:pPr>
            <w:r>
              <w:rPr>
                <w:rFonts w:hint="eastAsia" w:ascii="Times New Roman" w:eastAsia="宋体"/>
                <w:snapToGrid w:val="0"/>
                <w:color w:val="auto"/>
                <w:kern w:val="21"/>
                <w:sz w:val="21"/>
                <w:szCs w:val="21"/>
                <w:highlight w:val="none"/>
                <w:lang w:val="en-US" w:eastAsia="zh-CN"/>
              </w:rPr>
              <w:t>6</w:t>
            </w:r>
            <w:r>
              <w:rPr>
                <w:rFonts w:ascii="Times New Roman" w:eastAsia="Times New Roman"/>
                <w:color w:val="auto"/>
                <w:spacing w:val="-1"/>
                <w:sz w:val="21"/>
                <w:szCs w:val="21"/>
                <w:highlight w:val="none"/>
              </w:rPr>
              <w:t>t/a</w:t>
            </w:r>
          </w:p>
        </w:tc>
        <w:tc>
          <w:tcPr>
            <w:tcW w:w="1442" w:type="dxa"/>
            <w:noWrap w:val="0"/>
            <w:vAlign w:val="center"/>
          </w:tcPr>
          <w:p w14:paraId="600BB17F">
            <w:pPr>
              <w:pStyle w:val="56"/>
              <w:spacing w:beforeLines="0" w:afterLines="0" w:line="240" w:lineRule="auto"/>
              <w:ind w:firstLine="0" w:firstLineChars="0"/>
              <w:rPr>
                <w:rFonts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787" w:type="dxa"/>
            <w:noWrap w:val="0"/>
            <w:vAlign w:val="center"/>
          </w:tcPr>
          <w:p w14:paraId="050C6627">
            <w:pPr>
              <w:pStyle w:val="56"/>
              <w:spacing w:beforeLines="0" w:afterLines="0" w:line="240" w:lineRule="auto"/>
              <w:ind w:firstLine="0" w:firstLineChars="0"/>
              <w:rPr>
                <w:rFonts w:ascii="Times New Roman"/>
                <w:snapToGrid w:val="0"/>
                <w:color w:val="auto"/>
                <w:kern w:val="21"/>
                <w:sz w:val="21"/>
                <w:szCs w:val="21"/>
                <w:highlight w:val="none"/>
              </w:rPr>
            </w:pPr>
            <w:r>
              <w:rPr>
                <w:rFonts w:hint="eastAsia" w:ascii="Times New Roman" w:eastAsia="宋体"/>
                <w:snapToGrid w:val="0"/>
                <w:color w:val="auto"/>
                <w:kern w:val="21"/>
                <w:sz w:val="21"/>
                <w:szCs w:val="21"/>
                <w:highlight w:val="none"/>
                <w:lang w:val="en-US" w:eastAsia="zh-CN"/>
              </w:rPr>
              <w:t>6</w:t>
            </w:r>
            <w:r>
              <w:rPr>
                <w:rFonts w:ascii="Times New Roman" w:eastAsia="Times New Roman"/>
                <w:color w:val="auto"/>
                <w:spacing w:val="-1"/>
                <w:sz w:val="21"/>
                <w:szCs w:val="21"/>
                <w:highlight w:val="none"/>
              </w:rPr>
              <w:t>t/a</w:t>
            </w:r>
          </w:p>
        </w:tc>
        <w:tc>
          <w:tcPr>
            <w:tcW w:w="1315" w:type="dxa"/>
            <w:noWrap w:val="0"/>
            <w:vAlign w:val="center"/>
          </w:tcPr>
          <w:p w14:paraId="2ED96D95">
            <w:pPr>
              <w:pStyle w:val="56"/>
              <w:spacing w:beforeLines="0" w:afterLines="0" w:line="240" w:lineRule="auto"/>
              <w:ind w:firstLine="0" w:firstLineChars="0"/>
              <w:rPr>
                <w:rFonts w:ascii="Times New Roman"/>
                <w:snapToGrid w:val="0"/>
                <w:color w:val="auto"/>
                <w:kern w:val="21"/>
                <w:sz w:val="21"/>
                <w:szCs w:val="21"/>
                <w:highlight w:val="none"/>
              </w:rPr>
            </w:pPr>
            <w:r>
              <w:rPr>
                <w:rFonts w:hint="eastAsia" w:ascii="Times New Roman"/>
                <w:snapToGrid w:val="0"/>
                <w:color w:val="auto"/>
                <w:kern w:val="21"/>
                <w:sz w:val="21"/>
                <w:szCs w:val="21"/>
                <w:highlight w:val="none"/>
                <w:lang w:val="en-US" w:eastAsia="zh-CN"/>
              </w:rPr>
              <w:t>+</w:t>
            </w:r>
            <w:r>
              <w:rPr>
                <w:rFonts w:hint="eastAsia" w:ascii="Times New Roman" w:eastAsia="宋体"/>
                <w:snapToGrid w:val="0"/>
                <w:color w:val="auto"/>
                <w:kern w:val="21"/>
                <w:sz w:val="21"/>
                <w:szCs w:val="21"/>
                <w:highlight w:val="none"/>
                <w:lang w:val="en-US" w:eastAsia="zh-CN"/>
              </w:rPr>
              <w:t>6</w:t>
            </w:r>
            <w:r>
              <w:rPr>
                <w:rFonts w:ascii="Times New Roman" w:eastAsia="Times New Roman"/>
                <w:color w:val="auto"/>
                <w:spacing w:val="-1"/>
                <w:sz w:val="21"/>
                <w:szCs w:val="21"/>
                <w:highlight w:val="none"/>
              </w:rPr>
              <w:t>t/a</w:t>
            </w:r>
          </w:p>
        </w:tc>
      </w:tr>
      <w:tr w14:paraId="4AE823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288" w:type="dxa"/>
            <w:vMerge w:val="continue"/>
            <w:noWrap w:val="0"/>
            <w:vAlign w:val="center"/>
          </w:tcPr>
          <w:p w14:paraId="59C334CC">
            <w:pPr>
              <w:pStyle w:val="56"/>
              <w:spacing w:beforeLines="0" w:afterLines="0" w:line="240" w:lineRule="auto"/>
              <w:ind w:firstLine="0" w:firstLineChars="0"/>
              <w:rPr>
                <w:rFonts w:ascii="Times New Roman"/>
                <w:snapToGrid w:val="0"/>
                <w:color w:val="auto"/>
                <w:kern w:val="21"/>
                <w:sz w:val="21"/>
                <w:szCs w:val="21"/>
                <w:highlight w:val="none"/>
              </w:rPr>
            </w:pPr>
          </w:p>
        </w:tc>
        <w:tc>
          <w:tcPr>
            <w:tcW w:w="1831" w:type="dxa"/>
            <w:noWrap w:val="0"/>
            <w:vAlign w:val="center"/>
          </w:tcPr>
          <w:p w14:paraId="2F0BB05F">
            <w:pPr>
              <w:spacing w:line="340" w:lineRule="exact"/>
              <w:ind w:firstLine="0" w:firstLineChars="0"/>
              <w:jc w:val="center"/>
              <w:rPr>
                <w:rFonts w:hint="eastAsia" w:eastAsia="宋体"/>
                <w:snapToGrid w:val="0"/>
                <w:color w:val="auto"/>
                <w:kern w:val="21"/>
                <w:sz w:val="21"/>
                <w:szCs w:val="21"/>
                <w:highlight w:val="none"/>
                <w:lang w:eastAsia="zh-CN"/>
              </w:rPr>
            </w:pPr>
            <w:r>
              <w:rPr>
                <w:rFonts w:hint="eastAsia" w:ascii="Times New Roman"/>
                <w:snapToGrid w:val="0"/>
                <w:color w:val="auto"/>
                <w:kern w:val="21"/>
                <w:sz w:val="21"/>
                <w:szCs w:val="21"/>
                <w:highlight w:val="none"/>
              </w:rPr>
              <w:t>废机油</w:t>
            </w:r>
          </w:p>
        </w:tc>
        <w:tc>
          <w:tcPr>
            <w:tcW w:w="1580" w:type="dxa"/>
            <w:noWrap w:val="0"/>
            <w:vAlign w:val="center"/>
          </w:tcPr>
          <w:p w14:paraId="19D64C88">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274" w:type="dxa"/>
            <w:noWrap w:val="0"/>
            <w:vAlign w:val="center"/>
          </w:tcPr>
          <w:p w14:paraId="13E2AD43">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699" w:type="dxa"/>
            <w:noWrap w:val="0"/>
            <w:vAlign w:val="center"/>
          </w:tcPr>
          <w:p w14:paraId="4C7B62DE">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558" w:type="dxa"/>
            <w:noWrap w:val="0"/>
            <w:vAlign w:val="center"/>
          </w:tcPr>
          <w:p w14:paraId="1DA3965B">
            <w:pPr>
              <w:pStyle w:val="56"/>
              <w:spacing w:beforeLines="0" w:afterLines="0" w:line="240" w:lineRule="auto"/>
              <w:ind w:firstLine="0" w:firstLineChars="0"/>
              <w:rPr>
                <w:rFonts w:ascii="Times New Roman"/>
                <w:snapToGrid w:val="0"/>
                <w:color w:val="auto"/>
                <w:kern w:val="21"/>
                <w:sz w:val="21"/>
                <w:szCs w:val="21"/>
                <w:highlight w:val="none"/>
              </w:rPr>
            </w:pPr>
            <w:r>
              <w:rPr>
                <w:rFonts w:hint="eastAsia" w:ascii="Times New Roman"/>
                <w:snapToGrid w:val="0"/>
                <w:color w:val="auto"/>
                <w:kern w:val="21"/>
                <w:sz w:val="21"/>
                <w:szCs w:val="21"/>
                <w:highlight w:val="none"/>
              </w:rPr>
              <w:t>0.</w:t>
            </w:r>
            <w:r>
              <w:rPr>
                <w:rFonts w:hint="eastAsia" w:ascii="Times New Roman"/>
                <w:snapToGrid w:val="0"/>
                <w:color w:val="auto"/>
                <w:kern w:val="21"/>
                <w:sz w:val="21"/>
                <w:szCs w:val="21"/>
                <w:highlight w:val="none"/>
                <w:lang w:val="en-US" w:eastAsia="zh-CN"/>
              </w:rPr>
              <w:t>6</w:t>
            </w:r>
            <w:r>
              <w:rPr>
                <w:rFonts w:ascii="Times New Roman" w:eastAsia="Times New Roman"/>
                <w:color w:val="auto"/>
                <w:spacing w:val="-1"/>
                <w:sz w:val="21"/>
                <w:szCs w:val="21"/>
                <w:highlight w:val="none"/>
              </w:rPr>
              <w:t>t/a</w:t>
            </w:r>
          </w:p>
        </w:tc>
        <w:tc>
          <w:tcPr>
            <w:tcW w:w="1442" w:type="dxa"/>
            <w:noWrap w:val="0"/>
            <w:vAlign w:val="center"/>
          </w:tcPr>
          <w:p w14:paraId="6740631D">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787" w:type="dxa"/>
            <w:noWrap w:val="0"/>
            <w:vAlign w:val="center"/>
          </w:tcPr>
          <w:p w14:paraId="15AAD222">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0.</w:t>
            </w:r>
            <w:r>
              <w:rPr>
                <w:rFonts w:hint="eastAsia" w:ascii="Times New Roman"/>
                <w:snapToGrid w:val="0"/>
                <w:color w:val="auto"/>
                <w:kern w:val="21"/>
                <w:sz w:val="21"/>
                <w:szCs w:val="21"/>
                <w:highlight w:val="none"/>
                <w:lang w:val="en-US" w:eastAsia="zh-CN"/>
              </w:rPr>
              <w:t>6</w:t>
            </w:r>
            <w:r>
              <w:rPr>
                <w:rFonts w:ascii="Times New Roman" w:eastAsia="Times New Roman"/>
                <w:color w:val="auto"/>
                <w:spacing w:val="-1"/>
                <w:sz w:val="21"/>
                <w:szCs w:val="21"/>
                <w:highlight w:val="none"/>
              </w:rPr>
              <w:t>t/a</w:t>
            </w:r>
          </w:p>
        </w:tc>
        <w:tc>
          <w:tcPr>
            <w:tcW w:w="1315" w:type="dxa"/>
            <w:noWrap w:val="0"/>
            <w:vAlign w:val="center"/>
          </w:tcPr>
          <w:p w14:paraId="156709BE">
            <w:pPr>
              <w:pStyle w:val="56"/>
              <w:spacing w:beforeLines="0" w:afterLines="0" w:line="240" w:lineRule="auto"/>
              <w:ind w:firstLine="0" w:firstLineChars="0"/>
              <w:rPr>
                <w:rFonts w:ascii="Times New Roman"/>
                <w:snapToGrid w:val="0"/>
                <w:color w:val="auto"/>
                <w:kern w:val="21"/>
                <w:sz w:val="21"/>
                <w:szCs w:val="21"/>
                <w:highlight w:val="none"/>
              </w:rPr>
            </w:pPr>
            <w:r>
              <w:rPr>
                <w:rFonts w:hint="eastAsia" w:ascii="Times New Roman"/>
                <w:snapToGrid w:val="0"/>
                <w:color w:val="auto"/>
                <w:kern w:val="21"/>
                <w:sz w:val="21"/>
                <w:szCs w:val="21"/>
                <w:highlight w:val="none"/>
                <w:lang w:val="en-US" w:eastAsia="zh-CN"/>
              </w:rPr>
              <w:t>+</w:t>
            </w:r>
            <w:r>
              <w:rPr>
                <w:rFonts w:hint="eastAsia" w:ascii="Times New Roman"/>
                <w:snapToGrid w:val="0"/>
                <w:color w:val="auto"/>
                <w:kern w:val="21"/>
                <w:sz w:val="21"/>
                <w:szCs w:val="21"/>
                <w:highlight w:val="none"/>
              </w:rPr>
              <w:t>0.</w:t>
            </w:r>
            <w:r>
              <w:rPr>
                <w:rFonts w:hint="eastAsia" w:ascii="Times New Roman"/>
                <w:snapToGrid w:val="0"/>
                <w:color w:val="auto"/>
                <w:kern w:val="21"/>
                <w:sz w:val="21"/>
                <w:szCs w:val="21"/>
                <w:highlight w:val="none"/>
                <w:lang w:val="en-US" w:eastAsia="zh-CN"/>
              </w:rPr>
              <w:t>6</w:t>
            </w:r>
            <w:r>
              <w:rPr>
                <w:rFonts w:ascii="Times New Roman" w:eastAsia="Times New Roman"/>
                <w:color w:val="auto"/>
                <w:spacing w:val="-1"/>
                <w:sz w:val="21"/>
                <w:szCs w:val="21"/>
                <w:highlight w:val="none"/>
              </w:rPr>
              <w:t>t/a</w:t>
            </w:r>
          </w:p>
        </w:tc>
      </w:tr>
      <w:tr w14:paraId="33F2B7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288" w:type="dxa"/>
            <w:vMerge w:val="continue"/>
            <w:noWrap w:val="0"/>
            <w:vAlign w:val="center"/>
          </w:tcPr>
          <w:p w14:paraId="67B7317F">
            <w:pPr>
              <w:pStyle w:val="56"/>
              <w:spacing w:beforeLines="0" w:afterLines="0" w:line="240" w:lineRule="auto"/>
              <w:ind w:firstLine="0" w:firstLineChars="0"/>
              <w:rPr>
                <w:rFonts w:ascii="Times New Roman"/>
                <w:snapToGrid w:val="0"/>
                <w:color w:val="auto"/>
                <w:kern w:val="21"/>
                <w:sz w:val="21"/>
                <w:szCs w:val="21"/>
                <w:highlight w:val="none"/>
              </w:rPr>
            </w:pPr>
          </w:p>
        </w:tc>
        <w:tc>
          <w:tcPr>
            <w:tcW w:w="1831" w:type="dxa"/>
            <w:noWrap w:val="0"/>
            <w:vAlign w:val="center"/>
          </w:tcPr>
          <w:p w14:paraId="6589E78A">
            <w:pPr>
              <w:spacing w:line="340" w:lineRule="exact"/>
              <w:ind w:firstLine="0" w:firstLineChars="0"/>
              <w:jc w:val="center"/>
              <w:rPr>
                <w:rFonts w:hint="eastAsia" w:ascii="Times New Roman" w:eastAsia="宋体"/>
                <w:snapToGrid w:val="0"/>
                <w:color w:val="auto"/>
                <w:kern w:val="21"/>
                <w:sz w:val="21"/>
                <w:szCs w:val="21"/>
                <w:highlight w:val="none"/>
                <w:lang w:val="en-US" w:eastAsia="zh-CN"/>
              </w:rPr>
            </w:pPr>
            <w:r>
              <w:rPr>
                <w:rFonts w:hint="eastAsia"/>
                <w:snapToGrid w:val="0"/>
                <w:color w:val="auto"/>
                <w:kern w:val="21"/>
                <w:sz w:val="21"/>
                <w:szCs w:val="21"/>
                <w:highlight w:val="none"/>
                <w:lang w:val="en-US" w:eastAsia="zh-CN"/>
              </w:rPr>
              <w:t>废油桶</w:t>
            </w:r>
          </w:p>
        </w:tc>
        <w:tc>
          <w:tcPr>
            <w:tcW w:w="1580" w:type="dxa"/>
            <w:noWrap w:val="0"/>
            <w:vAlign w:val="center"/>
          </w:tcPr>
          <w:p w14:paraId="2F86D747">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274" w:type="dxa"/>
            <w:noWrap w:val="0"/>
            <w:vAlign w:val="center"/>
          </w:tcPr>
          <w:p w14:paraId="7C016861">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699" w:type="dxa"/>
            <w:noWrap w:val="0"/>
            <w:vAlign w:val="center"/>
          </w:tcPr>
          <w:p w14:paraId="0E4B64D7">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558" w:type="dxa"/>
            <w:noWrap w:val="0"/>
            <w:vAlign w:val="center"/>
          </w:tcPr>
          <w:p w14:paraId="18019DDF">
            <w:pPr>
              <w:pStyle w:val="56"/>
              <w:spacing w:beforeLines="0" w:afterLines="0" w:line="240" w:lineRule="auto"/>
              <w:ind w:firstLine="0" w:firstLineChars="0"/>
              <w:rPr>
                <w:rFonts w:hint="default" w:ascii="Times New Roman" w:eastAsia="宋体"/>
                <w:snapToGrid w:val="0"/>
                <w:color w:val="auto"/>
                <w:kern w:val="21"/>
                <w:sz w:val="21"/>
                <w:szCs w:val="21"/>
                <w:highlight w:val="none"/>
                <w:lang w:val="en-US" w:eastAsia="zh-CN"/>
              </w:rPr>
            </w:pPr>
            <w:r>
              <w:rPr>
                <w:rFonts w:hint="eastAsia" w:ascii="Times New Roman"/>
                <w:snapToGrid w:val="0"/>
                <w:color w:val="auto"/>
                <w:kern w:val="21"/>
                <w:sz w:val="21"/>
                <w:szCs w:val="21"/>
                <w:highlight w:val="none"/>
                <w:lang w:val="en-US" w:eastAsia="zh-CN"/>
              </w:rPr>
              <w:t>0.03</w:t>
            </w:r>
            <w:r>
              <w:rPr>
                <w:rFonts w:ascii="Times New Roman" w:eastAsia="Times New Roman"/>
                <w:color w:val="auto"/>
                <w:spacing w:val="-1"/>
                <w:sz w:val="21"/>
                <w:szCs w:val="21"/>
                <w:highlight w:val="none"/>
              </w:rPr>
              <w:t>t/a</w:t>
            </w:r>
          </w:p>
        </w:tc>
        <w:tc>
          <w:tcPr>
            <w:tcW w:w="1442" w:type="dxa"/>
            <w:noWrap w:val="0"/>
            <w:vAlign w:val="center"/>
          </w:tcPr>
          <w:p w14:paraId="75A47736">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787" w:type="dxa"/>
            <w:noWrap w:val="0"/>
            <w:vAlign w:val="center"/>
          </w:tcPr>
          <w:p w14:paraId="17C72EF2">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lang w:val="en-US" w:eastAsia="zh-CN"/>
              </w:rPr>
              <w:t>0.03</w:t>
            </w:r>
            <w:r>
              <w:rPr>
                <w:rFonts w:ascii="Times New Roman" w:eastAsia="Times New Roman"/>
                <w:color w:val="auto"/>
                <w:spacing w:val="-1"/>
                <w:sz w:val="21"/>
                <w:szCs w:val="21"/>
                <w:highlight w:val="none"/>
              </w:rPr>
              <w:t>t/a</w:t>
            </w:r>
          </w:p>
        </w:tc>
        <w:tc>
          <w:tcPr>
            <w:tcW w:w="1315" w:type="dxa"/>
            <w:noWrap w:val="0"/>
            <w:vAlign w:val="center"/>
          </w:tcPr>
          <w:p w14:paraId="0BF8C91D">
            <w:pPr>
              <w:pStyle w:val="56"/>
              <w:spacing w:beforeLines="0" w:afterLines="0" w:line="240" w:lineRule="auto"/>
              <w:ind w:firstLine="0" w:firstLineChars="0"/>
              <w:rPr>
                <w:rFonts w:hint="default" w:ascii="Times New Roman"/>
                <w:snapToGrid w:val="0"/>
                <w:color w:val="auto"/>
                <w:kern w:val="21"/>
                <w:sz w:val="21"/>
                <w:szCs w:val="21"/>
                <w:highlight w:val="none"/>
                <w:lang w:val="en-US" w:eastAsia="zh-CN"/>
              </w:rPr>
            </w:pPr>
            <w:r>
              <w:rPr>
                <w:rFonts w:hint="eastAsia" w:ascii="Times New Roman"/>
                <w:snapToGrid w:val="0"/>
                <w:color w:val="auto"/>
                <w:kern w:val="21"/>
                <w:sz w:val="21"/>
                <w:szCs w:val="21"/>
                <w:highlight w:val="none"/>
                <w:lang w:val="en-US" w:eastAsia="zh-CN"/>
              </w:rPr>
              <w:t>+0.03</w:t>
            </w:r>
            <w:r>
              <w:rPr>
                <w:rFonts w:ascii="Times New Roman" w:eastAsia="Times New Roman"/>
                <w:color w:val="auto"/>
                <w:spacing w:val="-1"/>
                <w:sz w:val="21"/>
                <w:szCs w:val="21"/>
                <w:highlight w:val="none"/>
              </w:rPr>
              <w:t>t/a</w:t>
            </w:r>
          </w:p>
        </w:tc>
      </w:tr>
      <w:tr w14:paraId="46A70F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288" w:type="dxa"/>
            <w:vMerge w:val="continue"/>
            <w:noWrap w:val="0"/>
            <w:vAlign w:val="center"/>
          </w:tcPr>
          <w:p w14:paraId="2868F919">
            <w:pPr>
              <w:pStyle w:val="56"/>
              <w:spacing w:beforeLines="0" w:afterLines="0" w:line="240" w:lineRule="auto"/>
              <w:ind w:firstLine="0" w:firstLineChars="0"/>
              <w:rPr>
                <w:rFonts w:ascii="Times New Roman"/>
                <w:snapToGrid w:val="0"/>
                <w:color w:val="auto"/>
                <w:kern w:val="21"/>
                <w:sz w:val="21"/>
                <w:szCs w:val="21"/>
                <w:highlight w:val="none"/>
              </w:rPr>
            </w:pPr>
          </w:p>
        </w:tc>
        <w:tc>
          <w:tcPr>
            <w:tcW w:w="1831" w:type="dxa"/>
            <w:noWrap w:val="0"/>
            <w:vAlign w:val="center"/>
          </w:tcPr>
          <w:p w14:paraId="6F8F1C5C">
            <w:pPr>
              <w:spacing w:line="340" w:lineRule="exact"/>
              <w:ind w:firstLine="0" w:firstLineChars="0"/>
              <w:jc w:val="center"/>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废含油抹布手套</w:t>
            </w:r>
          </w:p>
        </w:tc>
        <w:tc>
          <w:tcPr>
            <w:tcW w:w="1580" w:type="dxa"/>
            <w:noWrap w:val="0"/>
            <w:vAlign w:val="center"/>
          </w:tcPr>
          <w:p w14:paraId="7CA11ABF">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274" w:type="dxa"/>
            <w:noWrap w:val="0"/>
            <w:vAlign w:val="center"/>
          </w:tcPr>
          <w:p w14:paraId="1637FAB6">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699" w:type="dxa"/>
            <w:noWrap w:val="0"/>
            <w:vAlign w:val="center"/>
          </w:tcPr>
          <w:p w14:paraId="5BBCB5FA">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558" w:type="dxa"/>
            <w:noWrap w:val="0"/>
            <w:vAlign w:val="center"/>
          </w:tcPr>
          <w:p w14:paraId="3E99C863">
            <w:pPr>
              <w:pStyle w:val="56"/>
              <w:spacing w:beforeLines="0" w:afterLines="0" w:line="240" w:lineRule="auto"/>
              <w:ind w:firstLine="0" w:firstLineChars="0"/>
              <w:rPr>
                <w:rFonts w:hint="default" w:ascii="Times New Roman" w:eastAsia="宋体"/>
                <w:snapToGrid w:val="0"/>
                <w:color w:val="auto"/>
                <w:kern w:val="21"/>
                <w:sz w:val="21"/>
                <w:szCs w:val="21"/>
                <w:highlight w:val="none"/>
                <w:lang w:val="en-US" w:eastAsia="zh-CN"/>
              </w:rPr>
            </w:pPr>
            <w:r>
              <w:rPr>
                <w:rFonts w:hint="eastAsia" w:ascii="Times New Roman"/>
                <w:snapToGrid w:val="0"/>
                <w:color w:val="auto"/>
                <w:kern w:val="21"/>
                <w:sz w:val="21"/>
                <w:szCs w:val="21"/>
                <w:highlight w:val="none"/>
                <w:lang w:val="en-US" w:eastAsia="zh-CN"/>
              </w:rPr>
              <w:t>0.01</w:t>
            </w:r>
            <w:r>
              <w:rPr>
                <w:rFonts w:ascii="Times New Roman" w:eastAsia="Times New Roman"/>
                <w:color w:val="auto"/>
                <w:spacing w:val="-1"/>
                <w:sz w:val="21"/>
                <w:szCs w:val="21"/>
                <w:highlight w:val="none"/>
              </w:rPr>
              <w:t>t/a</w:t>
            </w:r>
          </w:p>
        </w:tc>
        <w:tc>
          <w:tcPr>
            <w:tcW w:w="1442" w:type="dxa"/>
            <w:noWrap w:val="0"/>
            <w:vAlign w:val="center"/>
          </w:tcPr>
          <w:p w14:paraId="31CE7998">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787" w:type="dxa"/>
            <w:noWrap w:val="0"/>
            <w:vAlign w:val="center"/>
          </w:tcPr>
          <w:p w14:paraId="1EB1919E">
            <w:pPr>
              <w:pStyle w:val="56"/>
              <w:spacing w:beforeLines="0" w:afterLines="0" w:line="240" w:lineRule="auto"/>
              <w:ind w:firstLine="0" w:firstLineChars="0"/>
              <w:rPr>
                <w:rFonts w:hint="default" w:ascii="Times New Roman" w:eastAsia="宋体"/>
                <w:snapToGrid w:val="0"/>
                <w:color w:val="auto"/>
                <w:kern w:val="21"/>
                <w:sz w:val="21"/>
                <w:szCs w:val="21"/>
                <w:highlight w:val="none"/>
                <w:lang w:val="en-US" w:eastAsia="zh-CN"/>
              </w:rPr>
            </w:pPr>
            <w:r>
              <w:rPr>
                <w:rFonts w:hint="eastAsia" w:ascii="Times New Roman"/>
                <w:snapToGrid w:val="0"/>
                <w:color w:val="auto"/>
                <w:kern w:val="21"/>
                <w:sz w:val="21"/>
                <w:szCs w:val="21"/>
                <w:highlight w:val="none"/>
                <w:lang w:val="en-US" w:eastAsia="zh-CN"/>
              </w:rPr>
              <w:t>0.01</w:t>
            </w:r>
            <w:r>
              <w:rPr>
                <w:rFonts w:ascii="Times New Roman" w:eastAsia="Times New Roman"/>
                <w:color w:val="auto"/>
                <w:spacing w:val="-1"/>
                <w:sz w:val="21"/>
                <w:szCs w:val="21"/>
                <w:highlight w:val="none"/>
              </w:rPr>
              <w:t>t/a</w:t>
            </w:r>
          </w:p>
        </w:tc>
        <w:tc>
          <w:tcPr>
            <w:tcW w:w="1315" w:type="dxa"/>
            <w:noWrap w:val="0"/>
            <w:vAlign w:val="center"/>
          </w:tcPr>
          <w:p w14:paraId="3446ED0D">
            <w:pPr>
              <w:pStyle w:val="56"/>
              <w:spacing w:beforeLines="0" w:afterLines="0" w:line="240" w:lineRule="auto"/>
              <w:ind w:firstLine="0" w:firstLineChars="0"/>
              <w:rPr>
                <w:rFonts w:hint="default" w:ascii="Times New Roman"/>
                <w:snapToGrid w:val="0"/>
                <w:color w:val="auto"/>
                <w:kern w:val="21"/>
                <w:sz w:val="21"/>
                <w:szCs w:val="21"/>
                <w:highlight w:val="none"/>
                <w:lang w:val="en-US" w:eastAsia="zh-CN"/>
              </w:rPr>
            </w:pPr>
            <w:r>
              <w:rPr>
                <w:rFonts w:hint="eastAsia" w:ascii="Times New Roman"/>
                <w:snapToGrid w:val="0"/>
                <w:color w:val="auto"/>
                <w:kern w:val="21"/>
                <w:sz w:val="21"/>
                <w:szCs w:val="21"/>
                <w:highlight w:val="none"/>
                <w:lang w:val="en-US" w:eastAsia="zh-CN"/>
              </w:rPr>
              <w:t>+0.01</w:t>
            </w:r>
            <w:r>
              <w:rPr>
                <w:rFonts w:ascii="Times New Roman" w:eastAsia="Times New Roman"/>
                <w:color w:val="auto"/>
                <w:spacing w:val="-1"/>
                <w:sz w:val="21"/>
                <w:szCs w:val="21"/>
                <w:highlight w:val="none"/>
              </w:rPr>
              <w:t>t/a</w:t>
            </w:r>
          </w:p>
        </w:tc>
      </w:tr>
      <w:tr w14:paraId="0E88B3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288" w:type="dxa"/>
            <w:vMerge w:val="continue"/>
            <w:noWrap w:val="0"/>
            <w:vAlign w:val="center"/>
          </w:tcPr>
          <w:p w14:paraId="623520C7">
            <w:pPr>
              <w:pStyle w:val="56"/>
              <w:spacing w:beforeLines="0" w:afterLines="0" w:line="240" w:lineRule="auto"/>
              <w:ind w:firstLine="0" w:firstLineChars="0"/>
              <w:rPr>
                <w:rFonts w:ascii="Times New Roman"/>
                <w:snapToGrid w:val="0"/>
                <w:color w:val="auto"/>
                <w:kern w:val="21"/>
                <w:sz w:val="21"/>
                <w:szCs w:val="21"/>
                <w:highlight w:val="none"/>
              </w:rPr>
            </w:pPr>
          </w:p>
        </w:tc>
        <w:tc>
          <w:tcPr>
            <w:tcW w:w="1831" w:type="dxa"/>
            <w:noWrap w:val="0"/>
            <w:vAlign w:val="center"/>
          </w:tcPr>
          <w:p w14:paraId="38AE6A82">
            <w:pPr>
              <w:spacing w:line="340" w:lineRule="exact"/>
              <w:ind w:firstLine="0" w:firstLineChars="0"/>
              <w:jc w:val="center"/>
              <w:rPr>
                <w:color w:val="auto"/>
                <w:sz w:val="21"/>
                <w:szCs w:val="21"/>
                <w:highlight w:val="none"/>
                <w:lang w:bidi="ar"/>
              </w:rPr>
            </w:pPr>
            <w:r>
              <w:rPr>
                <w:rFonts w:hint="eastAsia"/>
                <w:color w:val="auto"/>
                <w:sz w:val="21"/>
                <w:szCs w:val="21"/>
                <w:highlight w:val="none"/>
                <w:lang w:bidi="ar"/>
              </w:rPr>
              <w:t>废活性炭</w:t>
            </w:r>
          </w:p>
        </w:tc>
        <w:tc>
          <w:tcPr>
            <w:tcW w:w="1580" w:type="dxa"/>
            <w:noWrap w:val="0"/>
            <w:vAlign w:val="center"/>
          </w:tcPr>
          <w:p w14:paraId="3C48094F">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274" w:type="dxa"/>
            <w:noWrap w:val="0"/>
            <w:vAlign w:val="center"/>
          </w:tcPr>
          <w:p w14:paraId="15362177">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699" w:type="dxa"/>
            <w:noWrap w:val="0"/>
            <w:vAlign w:val="center"/>
          </w:tcPr>
          <w:p w14:paraId="6138B52A">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558" w:type="dxa"/>
            <w:noWrap w:val="0"/>
            <w:vAlign w:val="center"/>
          </w:tcPr>
          <w:p w14:paraId="16B771BF">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lang w:val="en-US" w:eastAsia="zh-CN"/>
              </w:rPr>
              <w:t>1.6812</w:t>
            </w:r>
            <w:r>
              <w:rPr>
                <w:rFonts w:hint="eastAsia" w:ascii="Times New Roman"/>
                <w:snapToGrid w:val="0"/>
                <w:color w:val="auto"/>
                <w:kern w:val="21"/>
                <w:sz w:val="21"/>
                <w:szCs w:val="21"/>
                <w:highlight w:val="none"/>
              </w:rPr>
              <w:t>t/a</w:t>
            </w:r>
          </w:p>
        </w:tc>
        <w:tc>
          <w:tcPr>
            <w:tcW w:w="1442" w:type="dxa"/>
            <w:noWrap w:val="0"/>
            <w:vAlign w:val="center"/>
          </w:tcPr>
          <w:p w14:paraId="68E4DE66">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787" w:type="dxa"/>
            <w:noWrap w:val="0"/>
            <w:vAlign w:val="center"/>
          </w:tcPr>
          <w:p w14:paraId="225DA40A">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lang w:val="en-US" w:eastAsia="zh-CN"/>
              </w:rPr>
              <w:t>1.6812</w:t>
            </w:r>
            <w:r>
              <w:rPr>
                <w:rFonts w:hint="eastAsia" w:ascii="Times New Roman"/>
                <w:snapToGrid w:val="0"/>
                <w:color w:val="auto"/>
                <w:kern w:val="21"/>
                <w:sz w:val="21"/>
                <w:szCs w:val="21"/>
                <w:highlight w:val="none"/>
              </w:rPr>
              <w:t>t/a</w:t>
            </w:r>
          </w:p>
        </w:tc>
        <w:tc>
          <w:tcPr>
            <w:tcW w:w="1315" w:type="dxa"/>
            <w:noWrap w:val="0"/>
            <w:vAlign w:val="center"/>
          </w:tcPr>
          <w:p w14:paraId="2F9BACC3">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lang w:val="en-US" w:eastAsia="zh-CN"/>
              </w:rPr>
              <w:t>+1.6812</w:t>
            </w:r>
            <w:r>
              <w:rPr>
                <w:rFonts w:hint="eastAsia" w:ascii="Times New Roman"/>
                <w:snapToGrid w:val="0"/>
                <w:color w:val="auto"/>
                <w:kern w:val="21"/>
                <w:sz w:val="21"/>
                <w:szCs w:val="21"/>
                <w:highlight w:val="none"/>
              </w:rPr>
              <w:t>t/a</w:t>
            </w:r>
          </w:p>
        </w:tc>
      </w:tr>
      <w:tr w14:paraId="6974E9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288" w:type="dxa"/>
            <w:vMerge w:val="continue"/>
            <w:noWrap w:val="0"/>
            <w:vAlign w:val="center"/>
          </w:tcPr>
          <w:p w14:paraId="47777C30">
            <w:pPr>
              <w:pStyle w:val="56"/>
              <w:spacing w:beforeLines="0" w:afterLines="0" w:line="240" w:lineRule="auto"/>
              <w:ind w:firstLine="0" w:firstLineChars="0"/>
              <w:rPr>
                <w:rFonts w:ascii="Times New Roman"/>
                <w:snapToGrid w:val="0"/>
                <w:color w:val="auto"/>
                <w:kern w:val="21"/>
                <w:sz w:val="21"/>
                <w:szCs w:val="21"/>
                <w:highlight w:val="none"/>
              </w:rPr>
            </w:pPr>
          </w:p>
        </w:tc>
        <w:tc>
          <w:tcPr>
            <w:tcW w:w="1831" w:type="dxa"/>
            <w:noWrap w:val="0"/>
            <w:vAlign w:val="center"/>
          </w:tcPr>
          <w:p w14:paraId="11E33F20">
            <w:pPr>
              <w:spacing w:line="340" w:lineRule="exact"/>
              <w:ind w:firstLine="0" w:firstLineChars="0"/>
              <w:jc w:val="center"/>
              <w:rPr>
                <w:rFonts w:hint="default" w:eastAsia="宋体"/>
                <w:color w:val="auto"/>
                <w:sz w:val="21"/>
                <w:szCs w:val="21"/>
                <w:highlight w:val="none"/>
                <w:lang w:val="en-US" w:eastAsia="zh-CN" w:bidi="ar"/>
              </w:rPr>
            </w:pPr>
            <w:r>
              <w:rPr>
                <w:rFonts w:hint="eastAsia"/>
                <w:color w:val="auto"/>
                <w:sz w:val="21"/>
                <w:szCs w:val="21"/>
                <w:highlight w:val="none"/>
                <w:lang w:val="en-US" w:eastAsia="zh-CN" w:bidi="ar"/>
              </w:rPr>
              <w:t>喷淋废液</w:t>
            </w:r>
          </w:p>
        </w:tc>
        <w:tc>
          <w:tcPr>
            <w:tcW w:w="1580" w:type="dxa"/>
            <w:noWrap w:val="0"/>
            <w:vAlign w:val="center"/>
          </w:tcPr>
          <w:p w14:paraId="71A5A31E">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274" w:type="dxa"/>
            <w:noWrap w:val="0"/>
            <w:vAlign w:val="center"/>
          </w:tcPr>
          <w:p w14:paraId="6060E074">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699" w:type="dxa"/>
            <w:noWrap w:val="0"/>
            <w:vAlign w:val="center"/>
          </w:tcPr>
          <w:p w14:paraId="28140D57">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558" w:type="dxa"/>
            <w:noWrap w:val="0"/>
            <w:vAlign w:val="center"/>
          </w:tcPr>
          <w:p w14:paraId="447EB367">
            <w:pPr>
              <w:pStyle w:val="56"/>
              <w:spacing w:beforeLines="0" w:afterLines="0" w:line="240" w:lineRule="auto"/>
              <w:ind w:firstLine="0" w:firstLineChars="0"/>
              <w:rPr>
                <w:rFonts w:hint="eastAsia" w:ascii="Times New Roman"/>
                <w:snapToGrid w:val="0"/>
                <w:color w:val="auto"/>
                <w:kern w:val="21"/>
                <w:sz w:val="21"/>
                <w:szCs w:val="21"/>
                <w:highlight w:val="none"/>
                <w:lang w:val="en-US" w:eastAsia="zh-CN"/>
              </w:rPr>
            </w:pPr>
            <w:r>
              <w:rPr>
                <w:rFonts w:hint="eastAsia" w:ascii="Times New Roman" w:eastAsia="宋体"/>
                <w:color w:val="auto"/>
                <w:spacing w:val="-1"/>
                <w:sz w:val="21"/>
                <w:szCs w:val="21"/>
                <w:highlight w:val="none"/>
                <w:lang w:val="en-US" w:eastAsia="zh-CN"/>
              </w:rPr>
              <w:t>24</w:t>
            </w:r>
            <w:r>
              <w:rPr>
                <w:rFonts w:ascii="Times New Roman" w:eastAsia="Times New Roman"/>
                <w:color w:val="auto"/>
                <w:spacing w:val="-1"/>
                <w:sz w:val="21"/>
                <w:szCs w:val="21"/>
                <w:highlight w:val="none"/>
              </w:rPr>
              <w:t>t/a</w:t>
            </w:r>
          </w:p>
        </w:tc>
        <w:tc>
          <w:tcPr>
            <w:tcW w:w="1442" w:type="dxa"/>
            <w:noWrap w:val="0"/>
            <w:vAlign w:val="center"/>
          </w:tcPr>
          <w:p w14:paraId="2562D91E">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787" w:type="dxa"/>
            <w:noWrap w:val="0"/>
            <w:vAlign w:val="center"/>
          </w:tcPr>
          <w:p w14:paraId="7A699D70">
            <w:pPr>
              <w:pStyle w:val="56"/>
              <w:spacing w:beforeLines="0" w:afterLines="0" w:line="240" w:lineRule="auto"/>
              <w:ind w:firstLine="0" w:firstLineChars="0"/>
              <w:rPr>
                <w:rFonts w:hint="eastAsia" w:ascii="Times New Roman"/>
                <w:snapToGrid w:val="0"/>
                <w:color w:val="auto"/>
                <w:kern w:val="21"/>
                <w:sz w:val="21"/>
                <w:szCs w:val="21"/>
                <w:highlight w:val="none"/>
                <w:lang w:val="en-US" w:eastAsia="zh-CN"/>
              </w:rPr>
            </w:pPr>
            <w:r>
              <w:rPr>
                <w:rFonts w:hint="eastAsia" w:ascii="Times New Roman" w:eastAsia="宋体"/>
                <w:color w:val="auto"/>
                <w:spacing w:val="-1"/>
                <w:sz w:val="21"/>
                <w:szCs w:val="21"/>
                <w:highlight w:val="none"/>
                <w:lang w:val="en-US" w:eastAsia="zh-CN"/>
              </w:rPr>
              <w:t>24</w:t>
            </w:r>
            <w:r>
              <w:rPr>
                <w:rFonts w:ascii="Times New Roman" w:eastAsia="Times New Roman"/>
                <w:color w:val="auto"/>
                <w:spacing w:val="-1"/>
                <w:sz w:val="21"/>
                <w:szCs w:val="21"/>
                <w:highlight w:val="none"/>
              </w:rPr>
              <w:t>t/a</w:t>
            </w:r>
          </w:p>
        </w:tc>
        <w:tc>
          <w:tcPr>
            <w:tcW w:w="1315" w:type="dxa"/>
            <w:noWrap w:val="0"/>
            <w:vAlign w:val="center"/>
          </w:tcPr>
          <w:p w14:paraId="2FC62D56">
            <w:pPr>
              <w:pStyle w:val="56"/>
              <w:spacing w:beforeLines="0" w:afterLines="0" w:line="240" w:lineRule="auto"/>
              <w:ind w:firstLine="0" w:firstLineChars="0"/>
              <w:rPr>
                <w:rFonts w:hint="default" w:ascii="Times New Roman"/>
                <w:snapToGrid w:val="0"/>
                <w:color w:val="auto"/>
                <w:kern w:val="21"/>
                <w:sz w:val="21"/>
                <w:szCs w:val="21"/>
                <w:highlight w:val="none"/>
                <w:lang w:val="en-US" w:eastAsia="zh-CN"/>
              </w:rPr>
            </w:pPr>
            <w:r>
              <w:rPr>
                <w:rFonts w:hint="eastAsia" w:ascii="Times New Roman"/>
                <w:snapToGrid w:val="0"/>
                <w:color w:val="auto"/>
                <w:kern w:val="21"/>
                <w:sz w:val="21"/>
                <w:szCs w:val="21"/>
                <w:highlight w:val="none"/>
                <w:lang w:val="en-US" w:eastAsia="zh-CN"/>
              </w:rPr>
              <w:t>+</w:t>
            </w:r>
            <w:r>
              <w:rPr>
                <w:rFonts w:hint="eastAsia" w:ascii="Times New Roman" w:eastAsia="宋体"/>
                <w:color w:val="auto"/>
                <w:spacing w:val="-1"/>
                <w:sz w:val="21"/>
                <w:szCs w:val="21"/>
                <w:highlight w:val="none"/>
                <w:lang w:val="en-US" w:eastAsia="zh-CN"/>
              </w:rPr>
              <w:t>24</w:t>
            </w:r>
            <w:r>
              <w:rPr>
                <w:rFonts w:ascii="Times New Roman" w:eastAsia="Times New Roman"/>
                <w:color w:val="auto"/>
                <w:spacing w:val="-1"/>
                <w:sz w:val="21"/>
                <w:szCs w:val="21"/>
                <w:highlight w:val="none"/>
              </w:rPr>
              <w:t>t/a</w:t>
            </w:r>
          </w:p>
        </w:tc>
      </w:tr>
      <w:tr w14:paraId="633F39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288" w:type="dxa"/>
            <w:noWrap w:val="0"/>
            <w:vAlign w:val="center"/>
          </w:tcPr>
          <w:p w14:paraId="7EEBB7C6">
            <w:pPr>
              <w:pStyle w:val="56"/>
              <w:spacing w:beforeLines="0" w:afterLines="0" w:line="240" w:lineRule="auto"/>
              <w:ind w:firstLine="0" w:firstLineChars="0"/>
              <w:rPr>
                <w:rFonts w:ascii="Times New Roman"/>
                <w:snapToGrid w:val="0"/>
                <w:color w:val="auto"/>
                <w:kern w:val="21"/>
                <w:sz w:val="21"/>
                <w:szCs w:val="21"/>
                <w:highlight w:val="none"/>
              </w:rPr>
            </w:pPr>
            <w:r>
              <w:rPr>
                <w:rFonts w:ascii="Times New Roman"/>
                <w:snapToGrid w:val="0"/>
                <w:color w:val="auto"/>
                <w:kern w:val="21"/>
                <w:sz w:val="21"/>
                <w:szCs w:val="21"/>
                <w:highlight w:val="none"/>
              </w:rPr>
              <w:t>生活垃圾</w:t>
            </w:r>
          </w:p>
        </w:tc>
        <w:tc>
          <w:tcPr>
            <w:tcW w:w="1831" w:type="dxa"/>
            <w:noWrap w:val="0"/>
            <w:vAlign w:val="center"/>
          </w:tcPr>
          <w:p w14:paraId="22AD8596">
            <w:pPr>
              <w:pStyle w:val="56"/>
              <w:spacing w:beforeLines="0" w:afterLines="0" w:line="240" w:lineRule="auto"/>
              <w:ind w:firstLine="0" w:firstLineChars="0"/>
              <w:rPr>
                <w:rFonts w:ascii="Times New Roman"/>
                <w:color w:val="auto"/>
                <w:sz w:val="21"/>
                <w:szCs w:val="21"/>
                <w:highlight w:val="none"/>
                <w:lang w:bidi="ar"/>
              </w:rPr>
            </w:pPr>
            <w:r>
              <w:rPr>
                <w:rFonts w:ascii="Times New Roman"/>
                <w:snapToGrid w:val="0"/>
                <w:color w:val="auto"/>
                <w:kern w:val="21"/>
                <w:sz w:val="21"/>
                <w:szCs w:val="21"/>
                <w:highlight w:val="none"/>
              </w:rPr>
              <w:t>生活垃圾</w:t>
            </w:r>
          </w:p>
        </w:tc>
        <w:tc>
          <w:tcPr>
            <w:tcW w:w="1580" w:type="dxa"/>
            <w:noWrap w:val="0"/>
            <w:vAlign w:val="center"/>
          </w:tcPr>
          <w:p w14:paraId="4D033BAD">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274" w:type="dxa"/>
            <w:noWrap w:val="0"/>
            <w:vAlign w:val="center"/>
          </w:tcPr>
          <w:p w14:paraId="4E0C0D07">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699" w:type="dxa"/>
            <w:noWrap w:val="0"/>
            <w:vAlign w:val="center"/>
          </w:tcPr>
          <w:p w14:paraId="092EE00C">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558" w:type="dxa"/>
            <w:noWrap w:val="0"/>
            <w:vAlign w:val="center"/>
          </w:tcPr>
          <w:p w14:paraId="2E4AAFA2">
            <w:pPr>
              <w:pStyle w:val="56"/>
              <w:spacing w:beforeLines="0" w:afterLines="0" w:line="240" w:lineRule="auto"/>
              <w:ind w:firstLine="0" w:firstLineChars="0"/>
              <w:rPr>
                <w:rFonts w:ascii="Times New Roman"/>
                <w:snapToGrid w:val="0"/>
                <w:color w:val="auto"/>
                <w:kern w:val="21"/>
                <w:sz w:val="21"/>
                <w:szCs w:val="21"/>
                <w:highlight w:val="none"/>
              </w:rPr>
            </w:pPr>
            <w:r>
              <w:rPr>
                <w:rFonts w:hint="eastAsia" w:ascii="Times New Roman" w:eastAsia="宋体"/>
                <w:color w:val="auto"/>
                <w:spacing w:val="-1"/>
                <w:sz w:val="21"/>
                <w:szCs w:val="21"/>
                <w:highlight w:val="none"/>
                <w:lang w:val="en-US" w:eastAsia="zh-CN"/>
              </w:rPr>
              <w:t>2.4</w:t>
            </w:r>
            <w:r>
              <w:rPr>
                <w:rFonts w:ascii="Times New Roman" w:eastAsia="Times New Roman"/>
                <w:color w:val="auto"/>
                <w:spacing w:val="-1"/>
                <w:sz w:val="21"/>
                <w:szCs w:val="21"/>
                <w:highlight w:val="none"/>
              </w:rPr>
              <w:t>t/a</w:t>
            </w:r>
          </w:p>
        </w:tc>
        <w:tc>
          <w:tcPr>
            <w:tcW w:w="1442" w:type="dxa"/>
            <w:noWrap w:val="0"/>
            <w:vAlign w:val="center"/>
          </w:tcPr>
          <w:p w14:paraId="11473EFC">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w:t>
            </w:r>
          </w:p>
        </w:tc>
        <w:tc>
          <w:tcPr>
            <w:tcW w:w="1787" w:type="dxa"/>
            <w:noWrap w:val="0"/>
            <w:vAlign w:val="center"/>
          </w:tcPr>
          <w:p w14:paraId="77995412">
            <w:pPr>
              <w:pStyle w:val="56"/>
              <w:spacing w:beforeLines="0" w:afterLines="0" w:line="240" w:lineRule="auto"/>
              <w:ind w:firstLine="0" w:firstLineChars="0"/>
              <w:rPr>
                <w:rFonts w:hint="eastAsia" w:ascii="Times New Roman"/>
                <w:snapToGrid w:val="0"/>
                <w:color w:val="auto"/>
                <w:kern w:val="21"/>
                <w:sz w:val="21"/>
                <w:szCs w:val="21"/>
                <w:highlight w:val="none"/>
              </w:rPr>
            </w:pPr>
            <w:r>
              <w:rPr>
                <w:rFonts w:hint="eastAsia" w:ascii="Times New Roman" w:eastAsia="宋体"/>
                <w:color w:val="auto"/>
                <w:spacing w:val="-1"/>
                <w:sz w:val="21"/>
                <w:szCs w:val="21"/>
                <w:highlight w:val="none"/>
                <w:lang w:val="en-US" w:eastAsia="zh-CN"/>
              </w:rPr>
              <w:t>2.4</w:t>
            </w:r>
            <w:r>
              <w:rPr>
                <w:rFonts w:ascii="Times New Roman" w:eastAsia="Times New Roman"/>
                <w:color w:val="auto"/>
                <w:spacing w:val="-1"/>
                <w:sz w:val="21"/>
                <w:szCs w:val="21"/>
                <w:highlight w:val="none"/>
              </w:rPr>
              <w:t>t/a</w:t>
            </w:r>
          </w:p>
        </w:tc>
        <w:tc>
          <w:tcPr>
            <w:tcW w:w="1315" w:type="dxa"/>
            <w:noWrap w:val="0"/>
            <w:vAlign w:val="center"/>
          </w:tcPr>
          <w:p w14:paraId="7DE1FB2A">
            <w:pPr>
              <w:pStyle w:val="56"/>
              <w:spacing w:beforeLines="0" w:afterLines="0" w:line="240" w:lineRule="auto"/>
              <w:ind w:firstLine="0" w:firstLineChars="0"/>
              <w:rPr>
                <w:rFonts w:ascii="Times New Roman"/>
                <w:snapToGrid w:val="0"/>
                <w:color w:val="auto"/>
                <w:kern w:val="21"/>
                <w:sz w:val="21"/>
                <w:szCs w:val="21"/>
                <w:highlight w:val="none"/>
              </w:rPr>
            </w:pPr>
            <w:r>
              <w:rPr>
                <w:rFonts w:hint="eastAsia" w:ascii="Times New Roman"/>
                <w:color w:val="auto"/>
                <w:spacing w:val="-1"/>
                <w:sz w:val="21"/>
                <w:szCs w:val="21"/>
                <w:highlight w:val="none"/>
                <w:lang w:val="en-US" w:eastAsia="zh-CN"/>
              </w:rPr>
              <w:t>+</w:t>
            </w:r>
            <w:r>
              <w:rPr>
                <w:rFonts w:hint="eastAsia" w:ascii="Times New Roman" w:eastAsia="宋体"/>
                <w:color w:val="auto"/>
                <w:spacing w:val="-1"/>
                <w:sz w:val="21"/>
                <w:szCs w:val="21"/>
                <w:highlight w:val="none"/>
                <w:lang w:val="en-US" w:eastAsia="zh-CN"/>
              </w:rPr>
              <w:t>2.4</w:t>
            </w:r>
            <w:r>
              <w:rPr>
                <w:rFonts w:ascii="Times New Roman" w:eastAsia="Times New Roman"/>
                <w:color w:val="auto"/>
                <w:spacing w:val="-1"/>
                <w:sz w:val="21"/>
                <w:szCs w:val="21"/>
                <w:highlight w:val="none"/>
              </w:rPr>
              <w:t>t/a</w:t>
            </w:r>
          </w:p>
        </w:tc>
      </w:tr>
    </w:tbl>
    <w:p w14:paraId="5B9CF935">
      <w:pPr>
        <w:ind w:firstLine="480"/>
        <w:rPr>
          <w:rFonts w:hint="eastAsia" w:ascii="Times New Roman" w:hAnsi="Times New Roman" w:eastAsia="宋体" w:cs="Times New Roman"/>
          <w:color w:val="auto"/>
          <w:highlight w:val="none"/>
          <w:lang w:val="en-US" w:eastAsia="zh-CN"/>
        </w:rPr>
      </w:pPr>
      <w:r>
        <w:rPr>
          <w:rFonts w:ascii="Times New Roman" w:hAnsi="Times New Roman" w:eastAsia="宋体" w:cs="Times New Roman"/>
          <w:color w:val="auto"/>
          <w:highlight w:val="none"/>
        </w:rPr>
        <w:t>注：</w:t>
      </w:r>
      <w:r>
        <w:rPr>
          <w:rFonts w:ascii="Times New Roman" w:hAnsi="Times New Roman" w:eastAsia="宋体" w:cs="Times New Roman"/>
          <w:color w:val="auto"/>
          <w:highlight w:val="none"/>
        </w:rPr>
        <w:fldChar w:fldCharType="begin"/>
      </w:r>
      <w:r>
        <w:rPr>
          <w:rFonts w:ascii="Times New Roman" w:hAnsi="Times New Roman" w:eastAsia="宋体" w:cs="Times New Roman"/>
          <w:color w:val="auto"/>
          <w:highlight w:val="none"/>
        </w:rPr>
        <w:instrText xml:space="preserve"> = 6 \* GB3 \* MERGEFORMAT </w:instrText>
      </w:r>
      <w:r>
        <w:rPr>
          <w:rFonts w:ascii="Times New Roman" w:hAnsi="Times New Roman" w:eastAsia="宋体" w:cs="Times New Roman"/>
          <w:color w:val="auto"/>
          <w:highlight w:val="none"/>
        </w:rPr>
        <w:fldChar w:fldCharType="separate"/>
      </w:r>
      <w:r>
        <w:rPr>
          <w:rFonts w:ascii="Times New Roman" w:hAnsi="Times New Roman" w:eastAsia="宋体" w:cs="Times New Roman"/>
          <w:color w:val="auto"/>
          <w:highlight w:val="none"/>
        </w:rPr>
        <w:t>⑥</w:t>
      </w:r>
      <w:r>
        <w:rPr>
          <w:rFonts w:ascii="Times New Roman" w:hAnsi="Times New Roman" w:eastAsia="宋体" w:cs="Times New Roman"/>
          <w:color w:val="auto"/>
          <w:highlight w:val="none"/>
        </w:rPr>
        <w:fldChar w:fldCharType="end"/>
      </w:r>
      <w:r>
        <w:rPr>
          <w:rFonts w:ascii="Times New Roman" w:hAnsi="Times New Roman" w:eastAsia="宋体" w:cs="Times New Roman"/>
          <w:color w:val="auto"/>
          <w:highlight w:val="none"/>
        </w:rPr>
        <w:t>=</w:t>
      </w:r>
      <w:r>
        <w:rPr>
          <w:rFonts w:ascii="Times New Roman" w:hAnsi="Times New Roman" w:eastAsia="宋体" w:cs="Times New Roman"/>
          <w:color w:val="auto"/>
          <w:highlight w:val="none"/>
        </w:rPr>
        <w:fldChar w:fldCharType="begin"/>
      </w:r>
      <w:r>
        <w:rPr>
          <w:rFonts w:ascii="Times New Roman" w:hAnsi="Times New Roman" w:eastAsia="宋体" w:cs="Times New Roman"/>
          <w:color w:val="auto"/>
          <w:highlight w:val="none"/>
        </w:rPr>
        <w:instrText xml:space="preserve"> = 1 \* GB3 \* MERGEFORMAT </w:instrText>
      </w:r>
      <w:r>
        <w:rPr>
          <w:rFonts w:ascii="Times New Roman" w:hAnsi="Times New Roman" w:eastAsia="宋体" w:cs="Times New Roman"/>
          <w:color w:val="auto"/>
          <w:highlight w:val="none"/>
        </w:rPr>
        <w:fldChar w:fldCharType="separate"/>
      </w:r>
      <w:r>
        <w:rPr>
          <w:rFonts w:ascii="Times New Roman" w:hAnsi="Times New Roman" w:eastAsia="宋体" w:cs="Times New Roman"/>
          <w:color w:val="auto"/>
          <w:highlight w:val="none"/>
        </w:rPr>
        <w:t>①</w:t>
      </w:r>
      <w:r>
        <w:rPr>
          <w:rFonts w:ascii="Times New Roman" w:hAnsi="Times New Roman" w:eastAsia="宋体" w:cs="Times New Roman"/>
          <w:color w:val="auto"/>
          <w:highlight w:val="none"/>
        </w:rPr>
        <w:fldChar w:fldCharType="end"/>
      </w:r>
      <w:r>
        <w:rPr>
          <w:rFonts w:ascii="Times New Roman" w:hAnsi="Times New Roman" w:eastAsia="宋体" w:cs="Times New Roman"/>
          <w:color w:val="auto"/>
          <w:highlight w:val="none"/>
        </w:rPr>
        <w:t>+</w:t>
      </w:r>
      <w:r>
        <w:rPr>
          <w:rFonts w:ascii="Times New Roman" w:hAnsi="Times New Roman" w:eastAsia="宋体" w:cs="Times New Roman"/>
          <w:color w:val="auto"/>
          <w:highlight w:val="none"/>
        </w:rPr>
        <w:fldChar w:fldCharType="begin"/>
      </w:r>
      <w:r>
        <w:rPr>
          <w:rFonts w:ascii="Times New Roman" w:hAnsi="Times New Roman" w:eastAsia="宋体" w:cs="Times New Roman"/>
          <w:color w:val="auto"/>
          <w:highlight w:val="none"/>
        </w:rPr>
        <w:instrText xml:space="preserve"> = 3 \* GB3 \* MERGEFORMAT </w:instrText>
      </w:r>
      <w:r>
        <w:rPr>
          <w:rFonts w:ascii="Times New Roman" w:hAnsi="Times New Roman" w:eastAsia="宋体" w:cs="Times New Roman"/>
          <w:color w:val="auto"/>
          <w:highlight w:val="none"/>
        </w:rPr>
        <w:fldChar w:fldCharType="separate"/>
      </w:r>
      <w:r>
        <w:rPr>
          <w:rFonts w:ascii="Times New Roman" w:hAnsi="Times New Roman" w:eastAsia="宋体" w:cs="Times New Roman"/>
          <w:color w:val="auto"/>
          <w:highlight w:val="none"/>
        </w:rPr>
        <w:t>③</w:t>
      </w:r>
      <w:r>
        <w:rPr>
          <w:rFonts w:ascii="Times New Roman" w:hAnsi="Times New Roman" w:eastAsia="宋体" w:cs="Times New Roman"/>
          <w:color w:val="auto"/>
          <w:highlight w:val="none"/>
        </w:rPr>
        <w:fldChar w:fldCharType="end"/>
      </w:r>
      <w:r>
        <w:rPr>
          <w:rFonts w:ascii="Times New Roman" w:hAnsi="Times New Roman" w:eastAsia="宋体" w:cs="Times New Roman"/>
          <w:color w:val="auto"/>
          <w:highlight w:val="none"/>
        </w:rPr>
        <w:t>+</w:t>
      </w:r>
      <w:r>
        <w:rPr>
          <w:rFonts w:ascii="Times New Roman" w:hAnsi="Times New Roman" w:eastAsia="宋体" w:cs="Times New Roman"/>
          <w:color w:val="auto"/>
          <w:highlight w:val="none"/>
        </w:rPr>
        <w:fldChar w:fldCharType="begin"/>
      </w:r>
      <w:r>
        <w:rPr>
          <w:rFonts w:ascii="Times New Roman" w:hAnsi="Times New Roman" w:eastAsia="宋体" w:cs="Times New Roman"/>
          <w:color w:val="auto"/>
          <w:highlight w:val="none"/>
        </w:rPr>
        <w:instrText xml:space="preserve"> = 4 \* GB3 \* MERGEFORMAT </w:instrText>
      </w:r>
      <w:r>
        <w:rPr>
          <w:rFonts w:ascii="Times New Roman" w:hAnsi="Times New Roman" w:eastAsia="宋体" w:cs="Times New Roman"/>
          <w:color w:val="auto"/>
          <w:highlight w:val="none"/>
        </w:rPr>
        <w:fldChar w:fldCharType="separate"/>
      </w:r>
      <w:r>
        <w:rPr>
          <w:rFonts w:ascii="Times New Roman" w:hAnsi="Times New Roman" w:eastAsia="宋体" w:cs="Times New Roman"/>
          <w:color w:val="auto"/>
          <w:highlight w:val="none"/>
        </w:rPr>
        <w:t>④</w:t>
      </w:r>
      <w:r>
        <w:rPr>
          <w:rFonts w:ascii="Times New Roman" w:hAnsi="Times New Roman" w:eastAsia="宋体" w:cs="Times New Roman"/>
          <w:color w:val="auto"/>
          <w:highlight w:val="none"/>
        </w:rPr>
        <w:fldChar w:fldCharType="end"/>
      </w:r>
      <w:r>
        <w:rPr>
          <w:rFonts w:ascii="Times New Roman" w:hAnsi="Times New Roman" w:eastAsia="宋体" w:cs="Times New Roman"/>
          <w:color w:val="auto"/>
          <w:highlight w:val="none"/>
        </w:rPr>
        <w:t>-</w:t>
      </w:r>
      <w:r>
        <w:rPr>
          <w:rFonts w:ascii="Times New Roman" w:hAnsi="Times New Roman" w:eastAsia="宋体" w:cs="Times New Roman"/>
          <w:color w:val="auto"/>
          <w:highlight w:val="none"/>
        </w:rPr>
        <w:fldChar w:fldCharType="begin"/>
      </w:r>
      <w:r>
        <w:rPr>
          <w:rFonts w:ascii="Times New Roman" w:hAnsi="Times New Roman" w:eastAsia="宋体" w:cs="Times New Roman"/>
          <w:color w:val="auto"/>
          <w:highlight w:val="none"/>
        </w:rPr>
        <w:instrText xml:space="preserve"> = 5 \* GB3 \* MERGEFORMAT </w:instrText>
      </w:r>
      <w:r>
        <w:rPr>
          <w:rFonts w:ascii="Times New Roman" w:hAnsi="Times New Roman" w:eastAsia="宋体" w:cs="Times New Roman"/>
          <w:color w:val="auto"/>
          <w:highlight w:val="none"/>
        </w:rPr>
        <w:fldChar w:fldCharType="separate"/>
      </w:r>
      <w:r>
        <w:rPr>
          <w:rFonts w:ascii="Times New Roman" w:hAnsi="Times New Roman" w:eastAsia="宋体" w:cs="Times New Roman"/>
          <w:color w:val="auto"/>
          <w:highlight w:val="none"/>
        </w:rPr>
        <w:t>⑤</w:t>
      </w:r>
      <w:r>
        <w:rPr>
          <w:rFonts w:ascii="Times New Roman" w:hAnsi="Times New Roman" w:eastAsia="宋体" w:cs="Times New Roman"/>
          <w:color w:val="auto"/>
          <w:highlight w:val="none"/>
        </w:rPr>
        <w:fldChar w:fldCharType="end"/>
      </w:r>
      <w:r>
        <w:rPr>
          <w:rFonts w:ascii="Times New Roman" w:hAnsi="Times New Roman" w:eastAsia="宋体" w:cs="Times New Roman"/>
          <w:color w:val="auto"/>
          <w:highlight w:val="none"/>
        </w:rPr>
        <w:t>；</w:t>
      </w:r>
      <w:r>
        <w:rPr>
          <w:rFonts w:ascii="Times New Roman" w:hAnsi="Times New Roman" w:eastAsia="宋体" w:cs="Times New Roman"/>
          <w:color w:val="auto"/>
          <w:highlight w:val="none"/>
        </w:rPr>
        <w:fldChar w:fldCharType="begin"/>
      </w:r>
      <w:r>
        <w:rPr>
          <w:rFonts w:ascii="Times New Roman" w:hAnsi="Times New Roman" w:eastAsia="宋体" w:cs="Times New Roman"/>
          <w:color w:val="auto"/>
          <w:highlight w:val="none"/>
        </w:rPr>
        <w:instrText xml:space="preserve"> = 7 \* GB3 \* MERGEFORMAT </w:instrText>
      </w:r>
      <w:r>
        <w:rPr>
          <w:rFonts w:ascii="Times New Roman" w:hAnsi="Times New Roman" w:eastAsia="宋体" w:cs="Times New Roman"/>
          <w:color w:val="auto"/>
          <w:highlight w:val="none"/>
        </w:rPr>
        <w:fldChar w:fldCharType="separate"/>
      </w:r>
      <w:r>
        <w:rPr>
          <w:rFonts w:ascii="Times New Roman" w:hAnsi="Times New Roman" w:eastAsia="宋体" w:cs="Times New Roman"/>
          <w:color w:val="auto"/>
          <w:highlight w:val="none"/>
        </w:rPr>
        <w:t>⑦</w:t>
      </w:r>
      <w:r>
        <w:rPr>
          <w:rFonts w:ascii="Times New Roman" w:hAnsi="Times New Roman" w:eastAsia="宋体" w:cs="Times New Roman"/>
          <w:color w:val="auto"/>
          <w:highlight w:val="none"/>
        </w:rPr>
        <w:fldChar w:fldCharType="end"/>
      </w:r>
      <w:r>
        <w:rPr>
          <w:rFonts w:ascii="Times New Roman" w:hAnsi="Times New Roman" w:eastAsia="宋体" w:cs="Times New Roman"/>
          <w:color w:val="auto"/>
          <w:highlight w:val="none"/>
        </w:rPr>
        <w:t>=</w:t>
      </w:r>
      <w:r>
        <w:rPr>
          <w:rFonts w:ascii="Times New Roman" w:hAnsi="Times New Roman" w:eastAsia="宋体" w:cs="Times New Roman"/>
          <w:color w:val="auto"/>
          <w:highlight w:val="none"/>
        </w:rPr>
        <w:fldChar w:fldCharType="begin"/>
      </w:r>
      <w:r>
        <w:rPr>
          <w:rFonts w:ascii="Times New Roman" w:hAnsi="Times New Roman" w:eastAsia="宋体" w:cs="Times New Roman"/>
          <w:color w:val="auto"/>
          <w:highlight w:val="none"/>
        </w:rPr>
        <w:instrText xml:space="preserve"> = 6 \* GB3 \* MERGEFORMAT </w:instrText>
      </w:r>
      <w:r>
        <w:rPr>
          <w:rFonts w:ascii="Times New Roman" w:hAnsi="Times New Roman" w:eastAsia="宋体" w:cs="Times New Roman"/>
          <w:color w:val="auto"/>
          <w:highlight w:val="none"/>
        </w:rPr>
        <w:fldChar w:fldCharType="separate"/>
      </w:r>
      <w:r>
        <w:rPr>
          <w:rFonts w:ascii="Times New Roman" w:hAnsi="Times New Roman" w:eastAsia="宋体" w:cs="Times New Roman"/>
          <w:color w:val="auto"/>
          <w:highlight w:val="none"/>
        </w:rPr>
        <w:t>⑥</w:t>
      </w:r>
      <w:r>
        <w:rPr>
          <w:rFonts w:ascii="Times New Roman" w:hAnsi="Times New Roman" w:eastAsia="宋体" w:cs="Times New Roman"/>
          <w:color w:val="auto"/>
          <w:highlight w:val="none"/>
        </w:rPr>
        <w:fldChar w:fldCharType="end"/>
      </w:r>
      <w:r>
        <w:rPr>
          <w:rFonts w:ascii="Times New Roman" w:hAnsi="Times New Roman" w:eastAsia="宋体" w:cs="Times New Roman"/>
          <w:color w:val="auto"/>
          <w:highlight w:val="none"/>
        </w:rPr>
        <w:t>-</w:t>
      </w:r>
      <w:r>
        <w:rPr>
          <w:rFonts w:ascii="Times New Roman" w:hAnsi="Times New Roman" w:eastAsia="宋体" w:cs="Times New Roman"/>
          <w:color w:val="auto"/>
          <w:highlight w:val="none"/>
        </w:rPr>
        <w:fldChar w:fldCharType="begin"/>
      </w:r>
      <w:r>
        <w:rPr>
          <w:rFonts w:ascii="Times New Roman" w:hAnsi="Times New Roman" w:eastAsia="宋体" w:cs="Times New Roman"/>
          <w:color w:val="auto"/>
          <w:highlight w:val="none"/>
        </w:rPr>
        <w:instrText xml:space="preserve"> = 1 \* GB3 \* MERGEFORMAT </w:instrText>
      </w:r>
      <w:r>
        <w:rPr>
          <w:rFonts w:ascii="Times New Roman" w:hAnsi="Times New Roman" w:eastAsia="宋体" w:cs="Times New Roman"/>
          <w:color w:val="auto"/>
          <w:highlight w:val="none"/>
        </w:rPr>
        <w:fldChar w:fldCharType="separate"/>
      </w:r>
      <w:r>
        <w:rPr>
          <w:rFonts w:ascii="Times New Roman" w:hAnsi="Times New Roman" w:eastAsia="宋体" w:cs="Times New Roman"/>
          <w:color w:val="auto"/>
          <w:highlight w:val="none"/>
        </w:rPr>
        <w:t>①</w:t>
      </w:r>
      <w:r>
        <w:rPr>
          <w:rFonts w:ascii="Times New Roman" w:hAnsi="Times New Roman" w:eastAsia="宋体" w:cs="Times New Roman"/>
          <w:color w:val="auto"/>
          <w:highlight w:val="none"/>
        </w:rPr>
        <w:fldChar w:fldCharType="end"/>
      </w:r>
      <w:r>
        <w:rPr>
          <w:rFonts w:hint="eastAsia" w:ascii="Times New Roman" w:hAnsi="Times New Roman" w:eastAsia="宋体" w:cs="Times New Roman"/>
          <w:color w:val="auto"/>
          <w:highlight w:val="none"/>
          <w:lang w:eastAsia="zh-CN"/>
        </w:rPr>
        <w:t>；</w:t>
      </w:r>
    </w:p>
    <w:sectPr>
      <w:pgSz w:w="16838" w:h="11906" w:orient="landscape"/>
      <w:pgMar w:top="1417" w:right="1134" w:bottom="1134" w:left="1417" w:header="851" w:footer="992" w:gutter="0"/>
      <w:pgBorders>
        <w:top w:val="none" w:sz="0" w:space="0"/>
        <w:left w:val="none" w:sz="0" w:space="0"/>
        <w:bottom w:val="none" w:sz="0" w:space="0"/>
        <w:right w:val="none" w:sz="0" w:space="0"/>
      </w:pgBorders>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F5B679BA-AE08-468A-97D5-8CA31C402C99}"/>
  </w:font>
  <w:font w:name="黑体">
    <w:panose1 w:val="02010609060101010101"/>
    <w:charset w:val="86"/>
    <w:family w:val="auto"/>
    <w:pitch w:val="default"/>
    <w:sig w:usb0="800002BF" w:usb1="38CF7CFA" w:usb2="00000016" w:usb3="00000000" w:csb0="00040001" w:csb1="00000000"/>
    <w:embedRegular r:id="rId2" w:fontKey="{3DB441DF-B7A3-4142-B4F5-7CAC000C4A89}"/>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宋体u.砸.葷.">
    <w:altName w:val="宋体"/>
    <w:panose1 w:val="00000000000000000000"/>
    <w:charset w:val="86"/>
    <w:family w:val="roman"/>
    <w:pitch w:val="default"/>
    <w:sig w:usb0="00000000" w:usb1="00000000" w:usb2="00000010" w:usb3="00000000" w:csb0="00040000" w:csb1="00000000"/>
  </w:font>
  <w:font w:name="楷体_GB2312">
    <w:panose1 w:val="02010609030101010101"/>
    <w:charset w:val="86"/>
    <w:family w:val="modern"/>
    <w:pitch w:val="default"/>
    <w:sig w:usb0="00000001" w:usb1="080E0000" w:usb2="00000000" w:usb3="00000000" w:csb0="00040000" w:csb1="00000000"/>
    <w:embedRegular r:id="rId3" w:fontKey="{77A5FF22-5FA8-4857-9BAC-FEFFBD23B4CC}"/>
  </w:font>
  <w:font w:name="仿宋_GB2312">
    <w:panose1 w:val="02010609030101010101"/>
    <w:charset w:val="86"/>
    <w:family w:val="modern"/>
    <w:pitch w:val="default"/>
    <w:sig w:usb0="00000001" w:usb1="080E0000" w:usb2="00000000" w:usb3="00000000" w:csb0="00040000" w:csb1="00000000"/>
    <w:embedRegular r:id="rId4" w:fontKey="{5869DF59-630B-47C7-A095-426C67102455}"/>
  </w:font>
  <w:font w:name="方正小标宋_GBK">
    <w:panose1 w:val="02000000000000000000"/>
    <w:charset w:val="86"/>
    <w:family w:val="script"/>
    <w:pitch w:val="default"/>
    <w:sig w:usb0="A00002BF" w:usb1="38CF7CFA" w:usb2="00082016" w:usb3="00000000" w:csb0="00040001" w:csb1="00000000"/>
    <w:embedRegular r:id="rId5" w:fontKey="{88DE3477-A41A-4AD2-8CB2-3F0A52A9AAA2}"/>
  </w:font>
  <w:font w:name="等线">
    <w:altName w:val="Arial Unicode MS"/>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embedRegular r:id="rId6" w:fontKey="{398354A4-DAC6-4CD4-A1EB-185ECCF2F6CD}"/>
  </w:font>
  <w:font w:name="Wingdings 2">
    <w:panose1 w:val="05020102010507070707"/>
    <w:charset w:val="02"/>
    <w:family w:val="auto"/>
    <w:pitch w:val="default"/>
    <w:sig w:usb0="00000000" w:usb1="00000000" w:usb2="00000000" w:usb3="00000000" w:csb0="80000000" w:csb1="00000000"/>
    <w:embedRegular r:id="rId7" w:fontKey="{E360E8C8-FFF1-4DF0-B28A-8A700D04AD35}"/>
  </w:font>
  <w:font w:name="Cambria Math">
    <w:panose1 w:val="02040503050406030204"/>
    <w:charset w:val="00"/>
    <w:family w:val="auto"/>
    <w:pitch w:val="default"/>
    <w:sig w:usb0="E00002FF" w:usb1="420024FF" w:usb2="00000000" w:usb3="00000000" w:csb0="2000019F" w:csb1="00000000"/>
    <w:embedRegular r:id="rId8" w:fontKey="{0AC811DD-2481-4A21-A289-9E29EC1ACEFB}"/>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B98905">
    <w:pPr>
      <w:pStyle w:val="17"/>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36A097">
    <w:pPr>
      <w:pStyle w:val="17"/>
      <w:framePr w:wrap="around" w:vAnchor="text" w:hAnchor="margin" w:xAlign="center" w:y="1"/>
      <w:ind w:firstLine="360"/>
      <w:rPr>
        <w:rStyle w:val="31"/>
      </w:rPr>
    </w:pPr>
    <w:r>
      <w:fldChar w:fldCharType="begin"/>
    </w:r>
    <w:r>
      <w:rPr>
        <w:rStyle w:val="31"/>
      </w:rPr>
      <w:instrText xml:space="preserve">PAGE  </w:instrText>
    </w:r>
    <w:r>
      <w:fldChar w:fldCharType="end"/>
    </w:r>
  </w:p>
  <w:p w14:paraId="143D1B2B">
    <w:pPr>
      <w:pStyle w:val="17"/>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F2D8BB">
    <w:pPr>
      <w:pStyle w:val="1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9BF9C3">
    <w:pPr>
      <w:pStyle w:val="17"/>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171A21">
    <w:pPr>
      <w:pStyle w:val="17"/>
      <w:ind w:firstLine="360"/>
      <w:jc w:val="center"/>
    </w:pPr>
    <w:r>
      <w:fldChar w:fldCharType="begin"/>
    </w:r>
    <w:r>
      <w:instrText xml:space="preserve">PAGE   \* MERGEFORMAT</w:instrText>
    </w:r>
    <w:r>
      <w:fldChar w:fldCharType="separate"/>
    </w:r>
    <w:r>
      <w:t>87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225E35">
    <w:pPr>
      <w:pStyle w:val="18"/>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F7A953">
    <w:pPr>
      <w:pStyle w:val="1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BFFDB2">
    <w:pPr>
      <w:pStyle w:val="1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6DBA6B"/>
    <w:multiLevelType w:val="singleLevel"/>
    <w:tmpl w:val="8A6DBA6B"/>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UxYzNmYjU3ODJiYzFlZDA5OWU3OGM1NmYxOTcxYWEifQ=="/>
  </w:docVars>
  <w:rsids>
    <w:rsidRoot w:val="00A14947"/>
    <w:rsid w:val="000060B3"/>
    <w:rsid w:val="000070BE"/>
    <w:rsid w:val="00013DB6"/>
    <w:rsid w:val="0003518F"/>
    <w:rsid w:val="00041B57"/>
    <w:rsid w:val="0004364B"/>
    <w:rsid w:val="000454E2"/>
    <w:rsid w:val="000459E2"/>
    <w:rsid w:val="000566B6"/>
    <w:rsid w:val="00061B1F"/>
    <w:rsid w:val="000733C4"/>
    <w:rsid w:val="00074783"/>
    <w:rsid w:val="00077BD5"/>
    <w:rsid w:val="0008070B"/>
    <w:rsid w:val="000810AC"/>
    <w:rsid w:val="00081A02"/>
    <w:rsid w:val="00082231"/>
    <w:rsid w:val="00086F7F"/>
    <w:rsid w:val="00092D38"/>
    <w:rsid w:val="0009377B"/>
    <w:rsid w:val="000975BB"/>
    <w:rsid w:val="000A20C9"/>
    <w:rsid w:val="000A712D"/>
    <w:rsid w:val="000B058F"/>
    <w:rsid w:val="000B4467"/>
    <w:rsid w:val="000B4DB9"/>
    <w:rsid w:val="000C09AC"/>
    <w:rsid w:val="000C119D"/>
    <w:rsid w:val="000C767F"/>
    <w:rsid w:val="000D03D3"/>
    <w:rsid w:val="000D5A44"/>
    <w:rsid w:val="000E3ED2"/>
    <w:rsid w:val="000E408D"/>
    <w:rsid w:val="000F376B"/>
    <w:rsid w:val="001005DC"/>
    <w:rsid w:val="00100FD2"/>
    <w:rsid w:val="00101F42"/>
    <w:rsid w:val="001074DE"/>
    <w:rsid w:val="001209B4"/>
    <w:rsid w:val="001260FF"/>
    <w:rsid w:val="00131F42"/>
    <w:rsid w:val="00132AF4"/>
    <w:rsid w:val="001357F1"/>
    <w:rsid w:val="00140FA8"/>
    <w:rsid w:val="001418CB"/>
    <w:rsid w:val="00142FEB"/>
    <w:rsid w:val="00143A2D"/>
    <w:rsid w:val="00144AD8"/>
    <w:rsid w:val="00145A41"/>
    <w:rsid w:val="00151675"/>
    <w:rsid w:val="00157435"/>
    <w:rsid w:val="0017504D"/>
    <w:rsid w:val="0017671A"/>
    <w:rsid w:val="00177422"/>
    <w:rsid w:val="00182E99"/>
    <w:rsid w:val="00184590"/>
    <w:rsid w:val="001870D1"/>
    <w:rsid w:val="0018781E"/>
    <w:rsid w:val="0019262D"/>
    <w:rsid w:val="001968F8"/>
    <w:rsid w:val="001A1944"/>
    <w:rsid w:val="001A1B35"/>
    <w:rsid w:val="001A48A2"/>
    <w:rsid w:val="001A6F61"/>
    <w:rsid w:val="001A7399"/>
    <w:rsid w:val="001B72B8"/>
    <w:rsid w:val="001C2D59"/>
    <w:rsid w:val="001C69B3"/>
    <w:rsid w:val="001D5595"/>
    <w:rsid w:val="001D59B0"/>
    <w:rsid w:val="001D7874"/>
    <w:rsid w:val="001D7F22"/>
    <w:rsid w:val="001F0F17"/>
    <w:rsid w:val="001F3347"/>
    <w:rsid w:val="001F69E4"/>
    <w:rsid w:val="00204AD2"/>
    <w:rsid w:val="002125B4"/>
    <w:rsid w:val="002155B8"/>
    <w:rsid w:val="00224839"/>
    <w:rsid w:val="002249B2"/>
    <w:rsid w:val="00226574"/>
    <w:rsid w:val="002278EC"/>
    <w:rsid w:val="0023280E"/>
    <w:rsid w:val="002377D1"/>
    <w:rsid w:val="002406E5"/>
    <w:rsid w:val="00242CE2"/>
    <w:rsid w:val="00245FC4"/>
    <w:rsid w:val="002506BC"/>
    <w:rsid w:val="00254345"/>
    <w:rsid w:val="00264557"/>
    <w:rsid w:val="002663F6"/>
    <w:rsid w:val="00266525"/>
    <w:rsid w:val="002805AB"/>
    <w:rsid w:val="00280786"/>
    <w:rsid w:val="00284204"/>
    <w:rsid w:val="00291773"/>
    <w:rsid w:val="002A168C"/>
    <w:rsid w:val="002A199D"/>
    <w:rsid w:val="002A3DC7"/>
    <w:rsid w:val="002B4159"/>
    <w:rsid w:val="002B49E2"/>
    <w:rsid w:val="002B7B00"/>
    <w:rsid w:val="002B7C44"/>
    <w:rsid w:val="002C2B17"/>
    <w:rsid w:val="002C2D6B"/>
    <w:rsid w:val="002C486B"/>
    <w:rsid w:val="002D36C8"/>
    <w:rsid w:val="002D3DD0"/>
    <w:rsid w:val="002E1F3A"/>
    <w:rsid w:val="002E298A"/>
    <w:rsid w:val="002F677F"/>
    <w:rsid w:val="002F6A84"/>
    <w:rsid w:val="00301978"/>
    <w:rsid w:val="0030332C"/>
    <w:rsid w:val="003051C2"/>
    <w:rsid w:val="003105DA"/>
    <w:rsid w:val="00312296"/>
    <w:rsid w:val="00314F0E"/>
    <w:rsid w:val="003200F4"/>
    <w:rsid w:val="00321D8E"/>
    <w:rsid w:val="00325928"/>
    <w:rsid w:val="003268CB"/>
    <w:rsid w:val="00330A98"/>
    <w:rsid w:val="00332863"/>
    <w:rsid w:val="0033684D"/>
    <w:rsid w:val="00337B42"/>
    <w:rsid w:val="00341B42"/>
    <w:rsid w:val="0034348F"/>
    <w:rsid w:val="00347493"/>
    <w:rsid w:val="003524E7"/>
    <w:rsid w:val="003535AF"/>
    <w:rsid w:val="00354BF1"/>
    <w:rsid w:val="00356653"/>
    <w:rsid w:val="0035743F"/>
    <w:rsid w:val="00357BE2"/>
    <w:rsid w:val="0036170C"/>
    <w:rsid w:val="00366E0F"/>
    <w:rsid w:val="0037286A"/>
    <w:rsid w:val="00381A72"/>
    <w:rsid w:val="00384676"/>
    <w:rsid w:val="00390857"/>
    <w:rsid w:val="003954FA"/>
    <w:rsid w:val="003A4BF3"/>
    <w:rsid w:val="003B420D"/>
    <w:rsid w:val="003B46BE"/>
    <w:rsid w:val="003C6C16"/>
    <w:rsid w:val="003C6E78"/>
    <w:rsid w:val="003D11D9"/>
    <w:rsid w:val="003D203C"/>
    <w:rsid w:val="003D476F"/>
    <w:rsid w:val="003D794D"/>
    <w:rsid w:val="003E3058"/>
    <w:rsid w:val="003E76A9"/>
    <w:rsid w:val="003F0809"/>
    <w:rsid w:val="003F196A"/>
    <w:rsid w:val="003F6A8C"/>
    <w:rsid w:val="003F755C"/>
    <w:rsid w:val="00406F01"/>
    <w:rsid w:val="0041430D"/>
    <w:rsid w:val="004163AF"/>
    <w:rsid w:val="00416D50"/>
    <w:rsid w:val="00416FD5"/>
    <w:rsid w:val="00417772"/>
    <w:rsid w:val="00420E6A"/>
    <w:rsid w:val="0042231F"/>
    <w:rsid w:val="00425A9E"/>
    <w:rsid w:val="00426D6B"/>
    <w:rsid w:val="00427737"/>
    <w:rsid w:val="00431E6C"/>
    <w:rsid w:val="00433CE7"/>
    <w:rsid w:val="0043454B"/>
    <w:rsid w:val="00452738"/>
    <w:rsid w:val="0045494B"/>
    <w:rsid w:val="00456091"/>
    <w:rsid w:val="0045696A"/>
    <w:rsid w:val="00466321"/>
    <w:rsid w:val="0047684F"/>
    <w:rsid w:val="00482B55"/>
    <w:rsid w:val="00484B9B"/>
    <w:rsid w:val="004855F6"/>
    <w:rsid w:val="00485CEE"/>
    <w:rsid w:val="0048661E"/>
    <w:rsid w:val="0049347D"/>
    <w:rsid w:val="00494670"/>
    <w:rsid w:val="004A22C0"/>
    <w:rsid w:val="004A3823"/>
    <w:rsid w:val="004C3097"/>
    <w:rsid w:val="004C63FE"/>
    <w:rsid w:val="004C64D9"/>
    <w:rsid w:val="004D6C8C"/>
    <w:rsid w:val="004E6946"/>
    <w:rsid w:val="004F1AD8"/>
    <w:rsid w:val="005039CB"/>
    <w:rsid w:val="0050558F"/>
    <w:rsid w:val="00506286"/>
    <w:rsid w:val="00510813"/>
    <w:rsid w:val="00511990"/>
    <w:rsid w:val="00511DE0"/>
    <w:rsid w:val="00514870"/>
    <w:rsid w:val="00514B9B"/>
    <w:rsid w:val="005166DA"/>
    <w:rsid w:val="00517F02"/>
    <w:rsid w:val="00523E89"/>
    <w:rsid w:val="00524303"/>
    <w:rsid w:val="005258A2"/>
    <w:rsid w:val="00530161"/>
    <w:rsid w:val="005401AE"/>
    <w:rsid w:val="00542E07"/>
    <w:rsid w:val="00544E42"/>
    <w:rsid w:val="00545424"/>
    <w:rsid w:val="00554A7B"/>
    <w:rsid w:val="00554A98"/>
    <w:rsid w:val="0055572C"/>
    <w:rsid w:val="0056106A"/>
    <w:rsid w:val="005720AE"/>
    <w:rsid w:val="00583A0B"/>
    <w:rsid w:val="00593C6F"/>
    <w:rsid w:val="00594D77"/>
    <w:rsid w:val="005969E4"/>
    <w:rsid w:val="005A01E9"/>
    <w:rsid w:val="005A06B7"/>
    <w:rsid w:val="005A1759"/>
    <w:rsid w:val="005A68A7"/>
    <w:rsid w:val="005A6972"/>
    <w:rsid w:val="005B0A16"/>
    <w:rsid w:val="005B7547"/>
    <w:rsid w:val="005D36AB"/>
    <w:rsid w:val="005E0E91"/>
    <w:rsid w:val="005E5417"/>
    <w:rsid w:val="005F03C3"/>
    <w:rsid w:val="006015C8"/>
    <w:rsid w:val="00610F20"/>
    <w:rsid w:val="00617CC3"/>
    <w:rsid w:val="0062177D"/>
    <w:rsid w:val="0062205F"/>
    <w:rsid w:val="006241B4"/>
    <w:rsid w:val="006309E7"/>
    <w:rsid w:val="00630EAA"/>
    <w:rsid w:val="006377A6"/>
    <w:rsid w:val="00637A3D"/>
    <w:rsid w:val="00637D9C"/>
    <w:rsid w:val="006411EF"/>
    <w:rsid w:val="006568A9"/>
    <w:rsid w:val="006572DD"/>
    <w:rsid w:val="006748B8"/>
    <w:rsid w:val="006775C3"/>
    <w:rsid w:val="00677885"/>
    <w:rsid w:val="006861A9"/>
    <w:rsid w:val="0069075D"/>
    <w:rsid w:val="0069290A"/>
    <w:rsid w:val="00692B71"/>
    <w:rsid w:val="0069775A"/>
    <w:rsid w:val="00697813"/>
    <w:rsid w:val="006A05C5"/>
    <w:rsid w:val="006A3EE8"/>
    <w:rsid w:val="006A6A7D"/>
    <w:rsid w:val="006A6A99"/>
    <w:rsid w:val="006A72BF"/>
    <w:rsid w:val="006B03F2"/>
    <w:rsid w:val="006B37DC"/>
    <w:rsid w:val="006B4F68"/>
    <w:rsid w:val="006B50B3"/>
    <w:rsid w:val="006C0592"/>
    <w:rsid w:val="006C1B06"/>
    <w:rsid w:val="006C272E"/>
    <w:rsid w:val="006C2DF8"/>
    <w:rsid w:val="006C3D18"/>
    <w:rsid w:val="006C52BF"/>
    <w:rsid w:val="006C5479"/>
    <w:rsid w:val="006D13B5"/>
    <w:rsid w:val="006E12FF"/>
    <w:rsid w:val="006E5DC9"/>
    <w:rsid w:val="006E607E"/>
    <w:rsid w:val="0070450C"/>
    <w:rsid w:val="00706C5D"/>
    <w:rsid w:val="00713A0F"/>
    <w:rsid w:val="00715E44"/>
    <w:rsid w:val="00732204"/>
    <w:rsid w:val="00732922"/>
    <w:rsid w:val="00741807"/>
    <w:rsid w:val="0075162E"/>
    <w:rsid w:val="00754034"/>
    <w:rsid w:val="007555CF"/>
    <w:rsid w:val="00756556"/>
    <w:rsid w:val="007618C4"/>
    <w:rsid w:val="007662BD"/>
    <w:rsid w:val="00767980"/>
    <w:rsid w:val="00767C54"/>
    <w:rsid w:val="00770B19"/>
    <w:rsid w:val="00771437"/>
    <w:rsid w:val="0077463F"/>
    <w:rsid w:val="00781478"/>
    <w:rsid w:val="007836EA"/>
    <w:rsid w:val="00784CDA"/>
    <w:rsid w:val="007906C4"/>
    <w:rsid w:val="007940EA"/>
    <w:rsid w:val="007967E8"/>
    <w:rsid w:val="00796F67"/>
    <w:rsid w:val="007A2170"/>
    <w:rsid w:val="007A22BF"/>
    <w:rsid w:val="007A3323"/>
    <w:rsid w:val="007A6399"/>
    <w:rsid w:val="007B4B49"/>
    <w:rsid w:val="007B506A"/>
    <w:rsid w:val="007B68AF"/>
    <w:rsid w:val="007B72B8"/>
    <w:rsid w:val="007B7A58"/>
    <w:rsid w:val="007C107B"/>
    <w:rsid w:val="007C21B5"/>
    <w:rsid w:val="007C21CE"/>
    <w:rsid w:val="007C453B"/>
    <w:rsid w:val="007C6D1A"/>
    <w:rsid w:val="007E4BD2"/>
    <w:rsid w:val="007E5A7E"/>
    <w:rsid w:val="007F1B1B"/>
    <w:rsid w:val="007F3472"/>
    <w:rsid w:val="007F3B02"/>
    <w:rsid w:val="00801393"/>
    <w:rsid w:val="00802F88"/>
    <w:rsid w:val="00803A79"/>
    <w:rsid w:val="008109AB"/>
    <w:rsid w:val="008114D0"/>
    <w:rsid w:val="0081293E"/>
    <w:rsid w:val="00815465"/>
    <w:rsid w:val="00816122"/>
    <w:rsid w:val="00817E9A"/>
    <w:rsid w:val="00820F8F"/>
    <w:rsid w:val="008306BD"/>
    <w:rsid w:val="00831A80"/>
    <w:rsid w:val="00833743"/>
    <w:rsid w:val="008340A4"/>
    <w:rsid w:val="00837E78"/>
    <w:rsid w:val="00840E1D"/>
    <w:rsid w:val="00844376"/>
    <w:rsid w:val="00847DE1"/>
    <w:rsid w:val="0086140A"/>
    <w:rsid w:val="00861DAB"/>
    <w:rsid w:val="00863ED5"/>
    <w:rsid w:val="0087135F"/>
    <w:rsid w:val="00872D94"/>
    <w:rsid w:val="00880364"/>
    <w:rsid w:val="008815CB"/>
    <w:rsid w:val="00883579"/>
    <w:rsid w:val="00885337"/>
    <w:rsid w:val="00885689"/>
    <w:rsid w:val="00887A3C"/>
    <w:rsid w:val="00891592"/>
    <w:rsid w:val="00891E9E"/>
    <w:rsid w:val="008937BD"/>
    <w:rsid w:val="00893D06"/>
    <w:rsid w:val="008A2F68"/>
    <w:rsid w:val="008A474B"/>
    <w:rsid w:val="008B17A5"/>
    <w:rsid w:val="008B4FA6"/>
    <w:rsid w:val="008B5282"/>
    <w:rsid w:val="008B6924"/>
    <w:rsid w:val="008B7C17"/>
    <w:rsid w:val="008C2D01"/>
    <w:rsid w:val="008C40E6"/>
    <w:rsid w:val="008D0F7A"/>
    <w:rsid w:val="008D1EB4"/>
    <w:rsid w:val="008D68E4"/>
    <w:rsid w:val="008E0506"/>
    <w:rsid w:val="008E0CFF"/>
    <w:rsid w:val="008E5D6B"/>
    <w:rsid w:val="008E76F0"/>
    <w:rsid w:val="008F15FE"/>
    <w:rsid w:val="008F2D29"/>
    <w:rsid w:val="008F5187"/>
    <w:rsid w:val="008F60D8"/>
    <w:rsid w:val="00902727"/>
    <w:rsid w:val="0090312B"/>
    <w:rsid w:val="009038E8"/>
    <w:rsid w:val="009110C4"/>
    <w:rsid w:val="0091736D"/>
    <w:rsid w:val="0093026B"/>
    <w:rsid w:val="0093037A"/>
    <w:rsid w:val="00931EEF"/>
    <w:rsid w:val="00933B88"/>
    <w:rsid w:val="0094154D"/>
    <w:rsid w:val="00946ED7"/>
    <w:rsid w:val="0095155F"/>
    <w:rsid w:val="0095320F"/>
    <w:rsid w:val="00954429"/>
    <w:rsid w:val="009547D0"/>
    <w:rsid w:val="009563CE"/>
    <w:rsid w:val="00963589"/>
    <w:rsid w:val="00976328"/>
    <w:rsid w:val="0097680D"/>
    <w:rsid w:val="00982438"/>
    <w:rsid w:val="0098404C"/>
    <w:rsid w:val="00985283"/>
    <w:rsid w:val="00993935"/>
    <w:rsid w:val="00995992"/>
    <w:rsid w:val="0099731D"/>
    <w:rsid w:val="00997D30"/>
    <w:rsid w:val="009A03E5"/>
    <w:rsid w:val="009A0F3B"/>
    <w:rsid w:val="009A1BB4"/>
    <w:rsid w:val="009A2628"/>
    <w:rsid w:val="009A3200"/>
    <w:rsid w:val="009B0897"/>
    <w:rsid w:val="009B7BD9"/>
    <w:rsid w:val="009C00FD"/>
    <w:rsid w:val="009C1626"/>
    <w:rsid w:val="009C7DD5"/>
    <w:rsid w:val="009D0FEE"/>
    <w:rsid w:val="009E227D"/>
    <w:rsid w:val="009E5019"/>
    <w:rsid w:val="009E5253"/>
    <w:rsid w:val="009F58F9"/>
    <w:rsid w:val="00A01AC5"/>
    <w:rsid w:val="00A04F1B"/>
    <w:rsid w:val="00A0501B"/>
    <w:rsid w:val="00A10306"/>
    <w:rsid w:val="00A14947"/>
    <w:rsid w:val="00A2703B"/>
    <w:rsid w:val="00A32A83"/>
    <w:rsid w:val="00A3572D"/>
    <w:rsid w:val="00A368DB"/>
    <w:rsid w:val="00A41EB4"/>
    <w:rsid w:val="00A423AA"/>
    <w:rsid w:val="00A444A9"/>
    <w:rsid w:val="00A447B1"/>
    <w:rsid w:val="00A53EC6"/>
    <w:rsid w:val="00A54E5B"/>
    <w:rsid w:val="00A55349"/>
    <w:rsid w:val="00A55C0F"/>
    <w:rsid w:val="00A56967"/>
    <w:rsid w:val="00A576C9"/>
    <w:rsid w:val="00A61FB3"/>
    <w:rsid w:val="00A8386F"/>
    <w:rsid w:val="00A8713F"/>
    <w:rsid w:val="00A90BA1"/>
    <w:rsid w:val="00A949F3"/>
    <w:rsid w:val="00A94C74"/>
    <w:rsid w:val="00A97848"/>
    <w:rsid w:val="00A97A9A"/>
    <w:rsid w:val="00AA0671"/>
    <w:rsid w:val="00AA2531"/>
    <w:rsid w:val="00AA751B"/>
    <w:rsid w:val="00AB1E09"/>
    <w:rsid w:val="00AB5330"/>
    <w:rsid w:val="00AB7747"/>
    <w:rsid w:val="00AC14CE"/>
    <w:rsid w:val="00AC2A56"/>
    <w:rsid w:val="00AC31B6"/>
    <w:rsid w:val="00AC4FE8"/>
    <w:rsid w:val="00AC55B1"/>
    <w:rsid w:val="00AD055E"/>
    <w:rsid w:val="00AD1C34"/>
    <w:rsid w:val="00AD2054"/>
    <w:rsid w:val="00AD47A7"/>
    <w:rsid w:val="00AD575B"/>
    <w:rsid w:val="00AF003F"/>
    <w:rsid w:val="00AF0CBF"/>
    <w:rsid w:val="00AF1CE5"/>
    <w:rsid w:val="00AF257F"/>
    <w:rsid w:val="00AF33CF"/>
    <w:rsid w:val="00AF4D50"/>
    <w:rsid w:val="00AF6179"/>
    <w:rsid w:val="00B12080"/>
    <w:rsid w:val="00B128DD"/>
    <w:rsid w:val="00B1295A"/>
    <w:rsid w:val="00B130C4"/>
    <w:rsid w:val="00B17FB0"/>
    <w:rsid w:val="00B20A45"/>
    <w:rsid w:val="00B22C5C"/>
    <w:rsid w:val="00B24F30"/>
    <w:rsid w:val="00B31ABF"/>
    <w:rsid w:val="00B33BE3"/>
    <w:rsid w:val="00B4648B"/>
    <w:rsid w:val="00B46918"/>
    <w:rsid w:val="00B53B5D"/>
    <w:rsid w:val="00B57FDE"/>
    <w:rsid w:val="00B6055E"/>
    <w:rsid w:val="00B6317D"/>
    <w:rsid w:val="00B66B9F"/>
    <w:rsid w:val="00B7723F"/>
    <w:rsid w:val="00B775C1"/>
    <w:rsid w:val="00B80534"/>
    <w:rsid w:val="00B8433C"/>
    <w:rsid w:val="00B87491"/>
    <w:rsid w:val="00B903DB"/>
    <w:rsid w:val="00BA29E9"/>
    <w:rsid w:val="00BA7142"/>
    <w:rsid w:val="00BB1443"/>
    <w:rsid w:val="00BB237C"/>
    <w:rsid w:val="00BB41A3"/>
    <w:rsid w:val="00BC32DC"/>
    <w:rsid w:val="00BC35B6"/>
    <w:rsid w:val="00BD1B51"/>
    <w:rsid w:val="00BD1BE0"/>
    <w:rsid w:val="00BD4596"/>
    <w:rsid w:val="00BD5081"/>
    <w:rsid w:val="00BD5F15"/>
    <w:rsid w:val="00BE1405"/>
    <w:rsid w:val="00BE312D"/>
    <w:rsid w:val="00BF1C20"/>
    <w:rsid w:val="00BF2F39"/>
    <w:rsid w:val="00C10578"/>
    <w:rsid w:val="00C135BC"/>
    <w:rsid w:val="00C13670"/>
    <w:rsid w:val="00C1496A"/>
    <w:rsid w:val="00C15C95"/>
    <w:rsid w:val="00C15F37"/>
    <w:rsid w:val="00C2596A"/>
    <w:rsid w:val="00C27537"/>
    <w:rsid w:val="00C328FE"/>
    <w:rsid w:val="00C33507"/>
    <w:rsid w:val="00C33DFB"/>
    <w:rsid w:val="00C4023C"/>
    <w:rsid w:val="00C4409D"/>
    <w:rsid w:val="00C44E72"/>
    <w:rsid w:val="00C45A06"/>
    <w:rsid w:val="00C47E5B"/>
    <w:rsid w:val="00C52DD6"/>
    <w:rsid w:val="00C61E4B"/>
    <w:rsid w:val="00C64BFF"/>
    <w:rsid w:val="00C65D27"/>
    <w:rsid w:val="00C67C87"/>
    <w:rsid w:val="00C704E9"/>
    <w:rsid w:val="00C73254"/>
    <w:rsid w:val="00C763C9"/>
    <w:rsid w:val="00C80057"/>
    <w:rsid w:val="00C82232"/>
    <w:rsid w:val="00C82913"/>
    <w:rsid w:val="00C97171"/>
    <w:rsid w:val="00C972B1"/>
    <w:rsid w:val="00C978A8"/>
    <w:rsid w:val="00CA2CCE"/>
    <w:rsid w:val="00CA43FD"/>
    <w:rsid w:val="00CA74EC"/>
    <w:rsid w:val="00CA7EF8"/>
    <w:rsid w:val="00CB5002"/>
    <w:rsid w:val="00CB5A10"/>
    <w:rsid w:val="00CC3D1A"/>
    <w:rsid w:val="00CC489B"/>
    <w:rsid w:val="00CC5D62"/>
    <w:rsid w:val="00CD2A33"/>
    <w:rsid w:val="00CD2BCD"/>
    <w:rsid w:val="00CD3A4C"/>
    <w:rsid w:val="00CE10E9"/>
    <w:rsid w:val="00CE2910"/>
    <w:rsid w:val="00CE5393"/>
    <w:rsid w:val="00CE6CD5"/>
    <w:rsid w:val="00CE7177"/>
    <w:rsid w:val="00CF36BE"/>
    <w:rsid w:val="00CF6000"/>
    <w:rsid w:val="00D003F3"/>
    <w:rsid w:val="00D0364F"/>
    <w:rsid w:val="00D06834"/>
    <w:rsid w:val="00D06920"/>
    <w:rsid w:val="00D13FED"/>
    <w:rsid w:val="00D15112"/>
    <w:rsid w:val="00D234B3"/>
    <w:rsid w:val="00D308ED"/>
    <w:rsid w:val="00D31571"/>
    <w:rsid w:val="00D36D86"/>
    <w:rsid w:val="00D428AA"/>
    <w:rsid w:val="00D50A34"/>
    <w:rsid w:val="00D53EFA"/>
    <w:rsid w:val="00D8338E"/>
    <w:rsid w:val="00D94A7C"/>
    <w:rsid w:val="00D95896"/>
    <w:rsid w:val="00DB032D"/>
    <w:rsid w:val="00DB2983"/>
    <w:rsid w:val="00DB3425"/>
    <w:rsid w:val="00DC1257"/>
    <w:rsid w:val="00DC3DC0"/>
    <w:rsid w:val="00DC5B2B"/>
    <w:rsid w:val="00DD318D"/>
    <w:rsid w:val="00DF217B"/>
    <w:rsid w:val="00DF2E12"/>
    <w:rsid w:val="00DF514A"/>
    <w:rsid w:val="00DF6690"/>
    <w:rsid w:val="00DF6804"/>
    <w:rsid w:val="00E01990"/>
    <w:rsid w:val="00E02630"/>
    <w:rsid w:val="00E0358D"/>
    <w:rsid w:val="00E04323"/>
    <w:rsid w:val="00E070A2"/>
    <w:rsid w:val="00E1648E"/>
    <w:rsid w:val="00E2656A"/>
    <w:rsid w:val="00E267C4"/>
    <w:rsid w:val="00E2752D"/>
    <w:rsid w:val="00E366D6"/>
    <w:rsid w:val="00E412D0"/>
    <w:rsid w:val="00E56322"/>
    <w:rsid w:val="00E60982"/>
    <w:rsid w:val="00E61CFA"/>
    <w:rsid w:val="00E62C62"/>
    <w:rsid w:val="00E654C1"/>
    <w:rsid w:val="00E65D97"/>
    <w:rsid w:val="00E72A5A"/>
    <w:rsid w:val="00E72A8C"/>
    <w:rsid w:val="00E73141"/>
    <w:rsid w:val="00E73354"/>
    <w:rsid w:val="00E7523A"/>
    <w:rsid w:val="00E8028F"/>
    <w:rsid w:val="00E9242D"/>
    <w:rsid w:val="00E96BDF"/>
    <w:rsid w:val="00EA6E24"/>
    <w:rsid w:val="00EB5255"/>
    <w:rsid w:val="00EB5C47"/>
    <w:rsid w:val="00EC266F"/>
    <w:rsid w:val="00EC332E"/>
    <w:rsid w:val="00EC4111"/>
    <w:rsid w:val="00ED0639"/>
    <w:rsid w:val="00EE3F60"/>
    <w:rsid w:val="00EF4755"/>
    <w:rsid w:val="00EF7135"/>
    <w:rsid w:val="00F027DB"/>
    <w:rsid w:val="00F05A47"/>
    <w:rsid w:val="00F14A7A"/>
    <w:rsid w:val="00F16279"/>
    <w:rsid w:val="00F22985"/>
    <w:rsid w:val="00F32FF8"/>
    <w:rsid w:val="00F3383E"/>
    <w:rsid w:val="00F465A7"/>
    <w:rsid w:val="00F50B7C"/>
    <w:rsid w:val="00F51ED4"/>
    <w:rsid w:val="00F53303"/>
    <w:rsid w:val="00F550E6"/>
    <w:rsid w:val="00F70BC6"/>
    <w:rsid w:val="00F74345"/>
    <w:rsid w:val="00F755E6"/>
    <w:rsid w:val="00F80A0A"/>
    <w:rsid w:val="00F82B19"/>
    <w:rsid w:val="00F9212D"/>
    <w:rsid w:val="00F965DA"/>
    <w:rsid w:val="00F96819"/>
    <w:rsid w:val="00FA0290"/>
    <w:rsid w:val="00FA406A"/>
    <w:rsid w:val="00FB503A"/>
    <w:rsid w:val="00FB516C"/>
    <w:rsid w:val="00FB5F7E"/>
    <w:rsid w:val="00FC61D7"/>
    <w:rsid w:val="00FD0236"/>
    <w:rsid w:val="00FD18F4"/>
    <w:rsid w:val="00FD2445"/>
    <w:rsid w:val="00FD54DB"/>
    <w:rsid w:val="00FD619F"/>
    <w:rsid w:val="00FE532C"/>
    <w:rsid w:val="00FF5B8C"/>
    <w:rsid w:val="01055032"/>
    <w:rsid w:val="0110752A"/>
    <w:rsid w:val="01113C08"/>
    <w:rsid w:val="01232ED2"/>
    <w:rsid w:val="01290F7E"/>
    <w:rsid w:val="012A6BDB"/>
    <w:rsid w:val="01322B5A"/>
    <w:rsid w:val="01395BF5"/>
    <w:rsid w:val="013B173C"/>
    <w:rsid w:val="01420B24"/>
    <w:rsid w:val="01454397"/>
    <w:rsid w:val="01457382"/>
    <w:rsid w:val="014A4B8B"/>
    <w:rsid w:val="014A7C57"/>
    <w:rsid w:val="0154654A"/>
    <w:rsid w:val="015754F6"/>
    <w:rsid w:val="015C45B1"/>
    <w:rsid w:val="015D1E09"/>
    <w:rsid w:val="015D27F1"/>
    <w:rsid w:val="016D588F"/>
    <w:rsid w:val="018253E9"/>
    <w:rsid w:val="01925AB4"/>
    <w:rsid w:val="019B660C"/>
    <w:rsid w:val="019F309C"/>
    <w:rsid w:val="01A53138"/>
    <w:rsid w:val="01AB7368"/>
    <w:rsid w:val="01C04569"/>
    <w:rsid w:val="01CE7148"/>
    <w:rsid w:val="01D8168A"/>
    <w:rsid w:val="01D8482B"/>
    <w:rsid w:val="01E03A9B"/>
    <w:rsid w:val="01E56799"/>
    <w:rsid w:val="01E97D5C"/>
    <w:rsid w:val="01FC3F31"/>
    <w:rsid w:val="020572EB"/>
    <w:rsid w:val="0219419F"/>
    <w:rsid w:val="021C29C7"/>
    <w:rsid w:val="02276BB2"/>
    <w:rsid w:val="022E6257"/>
    <w:rsid w:val="022E6A2C"/>
    <w:rsid w:val="02303E2C"/>
    <w:rsid w:val="0237032B"/>
    <w:rsid w:val="023756CA"/>
    <w:rsid w:val="023A4BFB"/>
    <w:rsid w:val="02405F8A"/>
    <w:rsid w:val="02543863"/>
    <w:rsid w:val="02697903"/>
    <w:rsid w:val="0270329C"/>
    <w:rsid w:val="028041EA"/>
    <w:rsid w:val="0284231A"/>
    <w:rsid w:val="02913B65"/>
    <w:rsid w:val="02923124"/>
    <w:rsid w:val="029F7302"/>
    <w:rsid w:val="02A87241"/>
    <w:rsid w:val="02B32378"/>
    <w:rsid w:val="02B502FF"/>
    <w:rsid w:val="02B961CD"/>
    <w:rsid w:val="02BB6F86"/>
    <w:rsid w:val="02BE3A7E"/>
    <w:rsid w:val="02C26B15"/>
    <w:rsid w:val="02C3371F"/>
    <w:rsid w:val="02C557A9"/>
    <w:rsid w:val="02CB54D3"/>
    <w:rsid w:val="02D36788"/>
    <w:rsid w:val="02D45050"/>
    <w:rsid w:val="02D72D0B"/>
    <w:rsid w:val="02D8779D"/>
    <w:rsid w:val="02DE0B9A"/>
    <w:rsid w:val="02DF21EF"/>
    <w:rsid w:val="02ED5A8E"/>
    <w:rsid w:val="02F25333"/>
    <w:rsid w:val="02F327FE"/>
    <w:rsid w:val="02F96569"/>
    <w:rsid w:val="030318A1"/>
    <w:rsid w:val="030719D9"/>
    <w:rsid w:val="03095004"/>
    <w:rsid w:val="030B183D"/>
    <w:rsid w:val="030F42DA"/>
    <w:rsid w:val="03113C9B"/>
    <w:rsid w:val="03325BBB"/>
    <w:rsid w:val="03372A2E"/>
    <w:rsid w:val="03384D0D"/>
    <w:rsid w:val="033879A6"/>
    <w:rsid w:val="03432075"/>
    <w:rsid w:val="034551DE"/>
    <w:rsid w:val="035241C7"/>
    <w:rsid w:val="035B7FC2"/>
    <w:rsid w:val="03622455"/>
    <w:rsid w:val="03675EC4"/>
    <w:rsid w:val="037800D1"/>
    <w:rsid w:val="037936EC"/>
    <w:rsid w:val="037F58E9"/>
    <w:rsid w:val="0382266C"/>
    <w:rsid w:val="03871047"/>
    <w:rsid w:val="03892A60"/>
    <w:rsid w:val="038B0753"/>
    <w:rsid w:val="038C6368"/>
    <w:rsid w:val="039156A6"/>
    <w:rsid w:val="039447DF"/>
    <w:rsid w:val="03A365B9"/>
    <w:rsid w:val="03B427AD"/>
    <w:rsid w:val="03B509EE"/>
    <w:rsid w:val="03C85160"/>
    <w:rsid w:val="03CB2647"/>
    <w:rsid w:val="03CC2C52"/>
    <w:rsid w:val="03CC6866"/>
    <w:rsid w:val="03CD4DBE"/>
    <w:rsid w:val="03CD62AA"/>
    <w:rsid w:val="03D16ADB"/>
    <w:rsid w:val="03E00F4D"/>
    <w:rsid w:val="03E3290B"/>
    <w:rsid w:val="03E85264"/>
    <w:rsid w:val="03EA7B21"/>
    <w:rsid w:val="03F04E05"/>
    <w:rsid w:val="04101DB7"/>
    <w:rsid w:val="04155920"/>
    <w:rsid w:val="04163446"/>
    <w:rsid w:val="042A47D4"/>
    <w:rsid w:val="04305D56"/>
    <w:rsid w:val="043D4F04"/>
    <w:rsid w:val="04417611"/>
    <w:rsid w:val="0445187F"/>
    <w:rsid w:val="04536561"/>
    <w:rsid w:val="04620439"/>
    <w:rsid w:val="046643CE"/>
    <w:rsid w:val="04667659"/>
    <w:rsid w:val="046F510C"/>
    <w:rsid w:val="04874344"/>
    <w:rsid w:val="048B47BE"/>
    <w:rsid w:val="048F2C94"/>
    <w:rsid w:val="0493352D"/>
    <w:rsid w:val="04954AC7"/>
    <w:rsid w:val="04A24703"/>
    <w:rsid w:val="04AE6738"/>
    <w:rsid w:val="04B30C95"/>
    <w:rsid w:val="04BF7C35"/>
    <w:rsid w:val="04C3017D"/>
    <w:rsid w:val="04D87772"/>
    <w:rsid w:val="04EC54CB"/>
    <w:rsid w:val="04F73278"/>
    <w:rsid w:val="05026FE8"/>
    <w:rsid w:val="05031314"/>
    <w:rsid w:val="05080FE1"/>
    <w:rsid w:val="05111DAD"/>
    <w:rsid w:val="05127FA6"/>
    <w:rsid w:val="05162AAF"/>
    <w:rsid w:val="051A51B8"/>
    <w:rsid w:val="052D4EEB"/>
    <w:rsid w:val="05383F82"/>
    <w:rsid w:val="05413C9D"/>
    <w:rsid w:val="054B290B"/>
    <w:rsid w:val="0550438A"/>
    <w:rsid w:val="05571F68"/>
    <w:rsid w:val="05590104"/>
    <w:rsid w:val="05630ECA"/>
    <w:rsid w:val="0566574C"/>
    <w:rsid w:val="056D52E8"/>
    <w:rsid w:val="05712027"/>
    <w:rsid w:val="05795346"/>
    <w:rsid w:val="057A5434"/>
    <w:rsid w:val="057D6F2B"/>
    <w:rsid w:val="05836E34"/>
    <w:rsid w:val="05882122"/>
    <w:rsid w:val="05972095"/>
    <w:rsid w:val="05997E8B"/>
    <w:rsid w:val="059E3096"/>
    <w:rsid w:val="05B04863"/>
    <w:rsid w:val="05B15CA4"/>
    <w:rsid w:val="05B253F0"/>
    <w:rsid w:val="05B802CD"/>
    <w:rsid w:val="05C40C36"/>
    <w:rsid w:val="05C70E9C"/>
    <w:rsid w:val="05CC20C2"/>
    <w:rsid w:val="05CF3229"/>
    <w:rsid w:val="05D4191D"/>
    <w:rsid w:val="05DC036A"/>
    <w:rsid w:val="05DE4A38"/>
    <w:rsid w:val="05E201FF"/>
    <w:rsid w:val="05F504EE"/>
    <w:rsid w:val="05F83EAE"/>
    <w:rsid w:val="05F91A40"/>
    <w:rsid w:val="05FB1C49"/>
    <w:rsid w:val="060A0D89"/>
    <w:rsid w:val="061A046F"/>
    <w:rsid w:val="061B2F96"/>
    <w:rsid w:val="061C0B7C"/>
    <w:rsid w:val="061C626A"/>
    <w:rsid w:val="0620235A"/>
    <w:rsid w:val="0621272B"/>
    <w:rsid w:val="06242E8D"/>
    <w:rsid w:val="062E1755"/>
    <w:rsid w:val="06316B92"/>
    <w:rsid w:val="06377434"/>
    <w:rsid w:val="06386F02"/>
    <w:rsid w:val="063E7D85"/>
    <w:rsid w:val="06471FDD"/>
    <w:rsid w:val="0651540A"/>
    <w:rsid w:val="06532893"/>
    <w:rsid w:val="0663023B"/>
    <w:rsid w:val="06656AEA"/>
    <w:rsid w:val="066C559F"/>
    <w:rsid w:val="06787267"/>
    <w:rsid w:val="067D362E"/>
    <w:rsid w:val="067D79AD"/>
    <w:rsid w:val="068D43A1"/>
    <w:rsid w:val="068F2218"/>
    <w:rsid w:val="069E34B0"/>
    <w:rsid w:val="06A00E08"/>
    <w:rsid w:val="06A23A2F"/>
    <w:rsid w:val="06B14707"/>
    <w:rsid w:val="06B87447"/>
    <w:rsid w:val="06BD2196"/>
    <w:rsid w:val="06BF09F6"/>
    <w:rsid w:val="06C47634"/>
    <w:rsid w:val="06C51B71"/>
    <w:rsid w:val="06D575E9"/>
    <w:rsid w:val="06DE3933"/>
    <w:rsid w:val="06DF5A5E"/>
    <w:rsid w:val="06E66BCE"/>
    <w:rsid w:val="06ED31A1"/>
    <w:rsid w:val="06FD15E5"/>
    <w:rsid w:val="06FD269B"/>
    <w:rsid w:val="070D0A8B"/>
    <w:rsid w:val="070F76C7"/>
    <w:rsid w:val="07174722"/>
    <w:rsid w:val="071C34B5"/>
    <w:rsid w:val="072440CC"/>
    <w:rsid w:val="07293586"/>
    <w:rsid w:val="07295285"/>
    <w:rsid w:val="072E58CA"/>
    <w:rsid w:val="07496F61"/>
    <w:rsid w:val="07506023"/>
    <w:rsid w:val="07580448"/>
    <w:rsid w:val="07614AC6"/>
    <w:rsid w:val="076170CE"/>
    <w:rsid w:val="07636392"/>
    <w:rsid w:val="07667FF2"/>
    <w:rsid w:val="07723089"/>
    <w:rsid w:val="07770C56"/>
    <w:rsid w:val="077F7DAE"/>
    <w:rsid w:val="07807BA2"/>
    <w:rsid w:val="078A2181"/>
    <w:rsid w:val="07994871"/>
    <w:rsid w:val="079B1F05"/>
    <w:rsid w:val="07A33243"/>
    <w:rsid w:val="07A62EC4"/>
    <w:rsid w:val="07A82607"/>
    <w:rsid w:val="07A94E12"/>
    <w:rsid w:val="07C5622B"/>
    <w:rsid w:val="07C97778"/>
    <w:rsid w:val="07CD3513"/>
    <w:rsid w:val="07EB6E82"/>
    <w:rsid w:val="07F615C4"/>
    <w:rsid w:val="07F95559"/>
    <w:rsid w:val="080261BB"/>
    <w:rsid w:val="0808754A"/>
    <w:rsid w:val="080C3401"/>
    <w:rsid w:val="08115B83"/>
    <w:rsid w:val="08153F91"/>
    <w:rsid w:val="08162B07"/>
    <w:rsid w:val="081906D7"/>
    <w:rsid w:val="08226174"/>
    <w:rsid w:val="082D0FA0"/>
    <w:rsid w:val="08313490"/>
    <w:rsid w:val="083D40C6"/>
    <w:rsid w:val="084126B6"/>
    <w:rsid w:val="08446018"/>
    <w:rsid w:val="08485973"/>
    <w:rsid w:val="084C38DA"/>
    <w:rsid w:val="08544830"/>
    <w:rsid w:val="0856729F"/>
    <w:rsid w:val="089264C8"/>
    <w:rsid w:val="08935065"/>
    <w:rsid w:val="089E3E17"/>
    <w:rsid w:val="08A6123D"/>
    <w:rsid w:val="08A87F74"/>
    <w:rsid w:val="08A92545"/>
    <w:rsid w:val="08AF4627"/>
    <w:rsid w:val="08C472E0"/>
    <w:rsid w:val="08C56A9F"/>
    <w:rsid w:val="08D31953"/>
    <w:rsid w:val="08D32307"/>
    <w:rsid w:val="08D35DAA"/>
    <w:rsid w:val="08E04371"/>
    <w:rsid w:val="08E753B1"/>
    <w:rsid w:val="08F065A2"/>
    <w:rsid w:val="08F31A48"/>
    <w:rsid w:val="090B7262"/>
    <w:rsid w:val="090B72F2"/>
    <w:rsid w:val="092217DD"/>
    <w:rsid w:val="09271EEA"/>
    <w:rsid w:val="09297778"/>
    <w:rsid w:val="092A4C4E"/>
    <w:rsid w:val="092B1716"/>
    <w:rsid w:val="092F1E39"/>
    <w:rsid w:val="09350B44"/>
    <w:rsid w:val="093720BD"/>
    <w:rsid w:val="093A7294"/>
    <w:rsid w:val="093F343F"/>
    <w:rsid w:val="09434CDD"/>
    <w:rsid w:val="094576C5"/>
    <w:rsid w:val="09482291"/>
    <w:rsid w:val="094840A2"/>
    <w:rsid w:val="094B1DE4"/>
    <w:rsid w:val="0950340E"/>
    <w:rsid w:val="09557ABF"/>
    <w:rsid w:val="09581E0B"/>
    <w:rsid w:val="09594501"/>
    <w:rsid w:val="095C7D71"/>
    <w:rsid w:val="095E417C"/>
    <w:rsid w:val="095F57C8"/>
    <w:rsid w:val="09670272"/>
    <w:rsid w:val="096E1734"/>
    <w:rsid w:val="097334AC"/>
    <w:rsid w:val="097A4477"/>
    <w:rsid w:val="097A7FD3"/>
    <w:rsid w:val="0983157E"/>
    <w:rsid w:val="09831EA8"/>
    <w:rsid w:val="098C5B36"/>
    <w:rsid w:val="098D7D07"/>
    <w:rsid w:val="099A6A6F"/>
    <w:rsid w:val="09A13D71"/>
    <w:rsid w:val="09AA04A0"/>
    <w:rsid w:val="09B73475"/>
    <w:rsid w:val="09C7121B"/>
    <w:rsid w:val="09D32E1B"/>
    <w:rsid w:val="09D40957"/>
    <w:rsid w:val="09D70D46"/>
    <w:rsid w:val="09DB1C23"/>
    <w:rsid w:val="09E33A8C"/>
    <w:rsid w:val="09EB2C7F"/>
    <w:rsid w:val="09EC55C5"/>
    <w:rsid w:val="09EF451D"/>
    <w:rsid w:val="09F61297"/>
    <w:rsid w:val="09F61D50"/>
    <w:rsid w:val="09F711B8"/>
    <w:rsid w:val="09F9539C"/>
    <w:rsid w:val="09FC4E8C"/>
    <w:rsid w:val="0A00497C"/>
    <w:rsid w:val="0A02196F"/>
    <w:rsid w:val="0A08213D"/>
    <w:rsid w:val="0A12582B"/>
    <w:rsid w:val="0A13335B"/>
    <w:rsid w:val="0A165F4E"/>
    <w:rsid w:val="0A18780C"/>
    <w:rsid w:val="0A263993"/>
    <w:rsid w:val="0A2A7852"/>
    <w:rsid w:val="0A2D3AC2"/>
    <w:rsid w:val="0A394012"/>
    <w:rsid w:val="0A3D472E"/>
    <w:rsid w:val="0A3F3469"/>
    <w:rsid w:val="0A410AF1"/>
    <w:rsid w:val="0A4434F3"/>
    <w:rsid w:val="0A456833"/>
    <w:rsid w:val="0A4A7952"/>
    <w:rsid w:val="0A5107C0"/>
    <w:rsid w:val="0A5371A2"/>
    <w:rsid w:val="0A696C30"/>
    <w:rsid w:val="0A743443"/>
    <w:rsid w:val="0A753BA2"/>
    <w:rsid w:val="0A8A487F"/>
    <w:rsid w:val="0A8B31A5"/>
    <w:rsid w:val="0A906F7E"/>
    <w:rsid w:val="0A982E07"/>
    <w:rsid w:val="0AA068F7"/>
    <w:rsid w:val="0AA7304A"/>
    <w:rsid w:val="0AA755DF"/>
    <w:rsid w:val="0AAC0660"/>
    <w:rsid w:val="0AB757BE"/>
    <w:rsid w:val="0ABC6A61"/>
    <w:rsid w:val="0ABD0F04"/>
    <w:rsid w:val="0AD5106B"/>
    <w:rsid w:val="0AD74272"/>
    <w:rsid w:val="0AE2480E"/>
    <w:rsid w:val="0AE46B3C"/>
    <w:rsid w:val="0AE50D8B"/>
    <w:rsid w:val="0AE75B3C"/>
    <w:rsid w:val="0AF70E5C"/>
    <w:rsid w:val="0AFB466B"/>
    <w:rsid w:val="0B0455F3"/>
    <w:rsid w:val="0B120D44"/>
    <w:rsid w:val="0B161F7E"/>
    <w:rsid w:val="0B196234"/>
    <w:rsid w:val="0B1A1A6E"/>
    <w:rsid w:val="0B1A454A"/>
    <w:rsid w:val="0B1C3A38"/>
    <w:rsid w:val="0B1F0074"/>
    <w:rsid w:val="0B1F7B1F"/>
    <w:rsid w:val="0B2C36F1"/>
    <w:rsid w:val="0B2E3315"/>
    <w:rsid w:val="0B3E75E6"/>
    <w:rsid w:val="0B417345"/>
    <w:rsid w:val="0B423B9F"/>
    <w:rsid w:val="0B4D1E43"/>
    <w:rsid w:val="0B4D3BF1"/>
    <w:rsid w:val="0B510D02"/>
    <w:rsid w:val="0B513541"/>
    <w:rsid w:val="0B53227B"/>
    <w:rsid w:val="0B5D1B3B"/>
    <w:rsid w:val="0B602E61"/>
    <w:rsid w:val="0B626F71"/>
    <w:rsid w:val="0B652A83"/>
    <w:rsid w:val="0B6D4294"/>
    <w:rsid w:val="0B8E5D35"/>
    <w:rsid w:val="0B923F4E"/>
    <w:rsid w:val="0B971310"/>
    <w:rsid w:val="0B9E1294"/>
    <w:rsid w:val="0BA0659B"/>
    <w:rsid w:val="0BAF3C5A"/>
    <w:rsid w:val="0BBB4168"/>
    <w:rsid w:val="0BC26F6A"/>
    <w:rsid w:val="0BC55E7E"/>
    <w:rsid w:val="0BCD6AE0"/>
    <w:rsid w:val="0BD27BF6"/>
    <w:rsid w:val="0BD63095"/>
    <w:rsid w:val="0BD643AC"/>
    <w:rsid w:val="0BDC2EAF"/>
    <w:rsid w:val="0BDC5E22"/>
    <w:rsid w:val="0BE333E9"/>
    <w:rsid w:val="0BE502CE"/>
    <w:rsid w:val="0BEA0031"/>
    <w:rsid w:val="0BEA65EB"/>
    <w:rsid w:val="0BF12E40"/>
    <w:rsid w:val="0BFC1173"/>
    <w:rsid w:val="0BFE1B0E"/>
    <w:rsid w:val="0C0A0A79"/>
    <w:rsid w:val="0C0B13B7"/>
    <w:rsid w:val="0C0B644C"/>
    <w:rsid w:val="0C140339"/>
    <w:rsid w:val="0C261C3F"/>
    <w:rsid w:val="0C2A5CE1"/>
    <w:rsid w:val="0C2D57D1"/>
    <w:rsid w:val="0C3015BD"/>
    <w:rsid w:val="0C357EF3"/>
    <w:rsid w:val="0C3B3C7D"/>
    <w:rsid w:val="0C3F0DB3"/>
    <w:rsid w:val="0C3F14E5"/>
    <w:rsid w:val="0C485774"/>
    <w:rsid w:val="0C4C6224"/>
    <w:rsid w:val="0C4D7C21"/>
    <w:rsid w:val="0C512465"/>
    <w:rsid w:val="0C5821E5"/>
    <w:rsid w:val="0C5B0590"/>
    <w:rsid w:val="0C5E0CE0"/>
    <w:rsid w:val="0C602E8E"/>
    <w:rsid w:val="0C67573A"/>
    <w:rsid w:val="0C6A02C5"/>
    <w:rsid w:val="0C822728"/>
    <w:rsid w:val="0C903D00"/>
    <w:rsid w:val="0C9078FD"/>
    <w:rsid w:val="0C923886"/>
    <w:rsid w:val="0CA62759"/>
    <w:rsid w:val="0CA75583"/>
    <w:rsid w:val="0CAA5073"/>
    <w:rsid w:val="0CAB2EAE"/>
    <w:rsid w:val="0CB4643F"/>
    <w:rsid w:val="0CB86602"/>
    <w:rsid w:val="0CC04897"/>
    <w:rsid w:val="0CC2416B"/>
    <w:rsid w:val="0CC312A6"/>
    <w:rsid w:val="0CC818C6"/>
    <w:rsid w:val="0CD329F2"/>
    <w:rsid w:val="0CDF4D1D"/>
    <w:rsid w:val="0CED2886"/>
    <w:rsid w:val="0CF12BD9"/>
    <w:rsid w:val="0CFB50B8"/>
    <w:rsid w:val="0D04104B"/>
    <w:rsid w:val="0D042A38"/>
    <w:rsid w:val="0D044784"/>
    <w:rsid w:val="0D080D27"/>
    <w:rsid w:val="0D1C3CD3"/>
    <w:rsid w:val="0D1C4BE6"/>
    <w:rsid w:val="0D2431CC"/>
    <w:rsid w:val="0D2E4FF1"/>
    <w:rsid w:val="0D2F0B75"/>
    <w:rsid w:val="0D395874"/>
    <w:rsid w:val="0D3A33DE"/>
    <w:rsid w:val="0D3F4664"/>
    <w:rsid w:val="0D4373BF"/>
    <w:rsid w:val="0D476841"/>
    <w:rsid w:val="0D4E0B74"/>
    <w:rsid w:val="0D4E6AD0"/>
    <w:rsid w:val="0D51729D"/>
    <w:rsid w:val="0D5437E3"/>
    <w:rsid w:val="0D55381E"/>
    <w:rsid w:val="0D621C7D"/>
    <w:rsid w:val="0D6B7290"/>
    <w:rsid w:val="0D731909"/>
    <w:rsid w:val="0D7C5465"/>
    <w:rsid w:val="0D7D4F11"/>
    <w:rsid w:val="0D804980"/>
    <w:rsid w:val="0D8060B9"/>
    <w:rsid w:val="0D814B2B"/>
    <w:rsid w:val="0D884641"/>
    <w:rsid w:val="0D8D29CB"/>
    <w:rsid w:val="0D914EAB"/>
    <w:rsid w:val="0D9708B7"/>
    <w:rsid w:val="0D9773A6"/>
    <w:rsid w:val="0D9A583E"/>
    <w:rsid w:val="0DCC5D06"/>
    <w:rsid w:val="0DD31838"/>
    <w:rsid w:val="0DDB093B"/>
    <w:rsid w:val="0DF43AC6"/>
    <w:rsid w:val="0DF5231E"/>
    <w:rsid w:val="0E08610B"/>
    <w:rsid w:val="0E0B37BA"/>
    <w:rsid w:val="0E0B56A6"/>
    <w:rsid w:val="0E0C69F8"/>
    <w:rsid w:val="0E1647BE"/>
    <w:rsid w:val="0E1704E7"/>
    <w:rsid w:val="0E1A4B16"/>
    <w:rsid w:val="0E1C1286"/>
    <w:rsid w:val="0E233E16"/>
    <w:rsid w:val="0E264AD7"/>
    <w:rsid w:val="0E2D4DDA"/>
    <w:rsid w:val="0E317065"/>
    <w:rsid w:val="0E3A233F"/>
    <w:rsid w:val="0E3B7C2C"/>
    <w:rsid w:val="0E3F3599"/>
    <w:rsid w:val="0E403D95"/>
    <w:rsid w:val="0E432465"/>
    <w:rsid w:val="0E455B16"/>
    <w:rsid w:val="0E501446"/>
    <w:rsid w:val="0E5338DB"/>
    <w:rsid w:val="0E576B35"/>
    <w:rsid w:val="0E5A44C6"/>
    <w:rsid w:val="0E5D2789"/>
    <w:rsid w:val="0E63372C"/>
    <w:rsid w:val="0E73034D"/>
    <w:rsid w:val="0E75128A"/>
    <w:rsid w:val="0E77676A"/>
    <w:rsid w:val="0E7D1AF3"/>
    <w:rsid w:val="0E802B47"/>
    <w:rsid w:val="0E8C5D73"/>
    <w:rsid w:val="0E916475"/>
    <w:rsid w:val="0E9953A0"/>
    <w:rsid w:val="0E9D4E90"/>
    <w:rsid w:val="0EA919BB"/>
    <w:rsid w:val="0EB23931"/>
    <w:rsid w:val="0EBC4BEA"/>
    <w:rsid w:val="0EBE0962"/>
    <w:rsid w:val="0EC73CBB"/>
    <w:rsid w:val="0ECD333B"/>
    <w:rsid w:val="0ED6529C"/>
    <w:rsid w:val="0EDC19AC"/>
    <w:rsid w:val="0EE24651"/>
    <w:rsid w:val="0EF2177B"/>
    <w:rsid w:val="0EF45C83"/>
    <w:rsid w:val="0EF820C6"/>
    <w:rsid w:val="0EF82834"/>
    <w:rsid w:val="0F0A5C76"/>
    <w:rsid w:val="0F0D1568"/>
    <w:rsid w:val="0F114F36"/>
    <w:rsid w:val="0F13775A"/>
    <w:rsid w:val="0F1E7653"/>
    <w:rsid w:val="0F226417"/>
    <w:rsid w:val="0F244851"/>
    <w:rsid w:val="0F2F5B7D"/>
    <w:rsid w:val="0F331350"/>
    <w:rsid w:val="0F370A03"/>
    <w:rsid w:val="0F397201"/>
    <w:rsid w:val="0F3A26DF"/>
    <w:rsid w:val="0F3F67AD"/>
    <w:rsid w:val="0F44011E"/>
    <w:rsid w:val="0F44355D"/>
    <w:rsid w:val="0F4B3300"/>
    <w:rsid w:val="0F4E0349"/>
    <w:rsid w:val="0F5F30F9"/>
    <w:rsid w:val="0F5F45FE"/>
    <w:rsid w:val="0F701672"/>
    <w:rsid w:val="0F824086"/>
    <w:rsid w:val="0F8E2A2A"/>
    <w:rsid w:val="0F905A11"/>
    <w:rsid w:val="0F917E25"/>
    <w:rsid w:val="0F9A112B"/>
    <w:rsid w:val="0FA24F51"/>
    <w:rsid w:val="0FA316FB"/>
    <w:rsid w:val="0FAF5A67"/>
    <w:rsid w:val="0FB15AF2"/>
    <w:rsid w:val="0FC57BC1"/>
    <w:rsid w:val="0FC91429"/>
    <w:rsid w:val="0FD14473"/>
    <w:rsid w:val="0FD52407"/>
    <w:rsid w:val="0FD6042B"/>
    <w:rsid w:val="0FD75BE1"/>
    <w:rsid w:val="0FD839D7"/>
    <w:rsid w:val="0FE37845"/>
    <w:rsid w:val="0FE443F8"/>
    <w:rsid w:val="0FF112E6"/>
    <w:rsid w:val="0FFC202D"/>
    <w:rsid w:val="10042CED"/>
    <w:rsid w:val="10127F12"/>
    <w:rsid w:val="101637E3"/>
    <w:rsid w:val="101C207C"/>
    <w:rsid w:val="10234F21"/>
    <w:rsid w:val="10246EEB"/>
    <w:rsid w:val="10253997"/>
    <w:rsid w:val="1025513D"/>
    <w:rsid w:val="10304BDC"/>
    <w:rsid w:val="103212D6"/>
    <w:rsid w:val="10373296"/>
    <w:rsid w:val="103A04BC"/>
    <w:rsid w:val="103D01E7"/>
    <w:rsid w:val="104F7859"/>
    <w:rsid w:val="1053332C"/>
    <w:rsid w:val="1054157E"/>
    <w:rsid w:val="105B6408"/>
    <w:rsid w:val="105C4A36"/>
    <w:rsid w:val="105C6685"/>
    <w:rsid w:val="105E064F"/>
    <w:rsid w:val="10602090"/>
    <w:rsid w:val="1063645C"/>
    <w:rsid w:val="10660ED0"/>
    <w:rsid w:val="106624F5"/>
    <w:rsid w:val="106D2B6E"/>
    <w:rsid w:val="106D2F64"/>
    <w:rsid w:val="10757A53"/>
    <w:rsid w:val="107D3D12"/>
    <w:rsid w:val="107F2A45"/>
    <w:rsid w:val="107F79D4"/>
    <w:rsid w:val="10805CFF"/>
    <w:rsid w:val="1081177B"/>
    <w:rsid w:val="10861954"/>
    <w:rsid w:val="10890B53"/>
    <w:rsid w:val="108B0D18"/>
    <w:rsid w:val="1090553E"/>
    <w:rsid w:val="109221F0"/>
    <w:rsid w:val="10993435"/>
    <w:rsid w:val="10A43CE3"/>
    <w:rsid w:val="10A66261"/>
    <w:rsid w:val="10A976B6"/>
    <w:rsid w:val="10AA3894"/>
    <w:rsid w:val="10AD1C6B"/>
    <w:rsid w:val="10B63710"/>
    <w:rsid w:val="10B85FB1"/>
    <w:rsid w:val="10CE7E35"/>
    <w:rsid w:val="10D77ADC"/>
    <w:rsid w:val="10DA5C86"/>
    <w:rsid w:val="10EB73E2"/>
    <w:rsid w:val="10EF63C9"/>
    <w:rsid w:val="10F0334D"/>
    <w:rsid w:val="10F070CC"/>
    <w:rsid w:val="10F10820"/>
    <w:rsid w:val="11056D1C"/>
    <w:rsid w:val="1107004B"/>
    <w:rsid w:val="110805BA"/>
    <w:rsid w:val="110A2074"/>
    <w:rsid w:val="11160F29"/>
    <w:rsid w:val="11196E08"/>
    <w:rsid w:val="111B7950"/>
    <w:rsid w:val="111C2F7A"/>
    <w:rsid w:val="112278CE"/>
    <w:rsid w:val="112D098E"/>
    <w:rsid w:val="11367DC2"/>
    <w:rsid w:val="113972EC"/>
    <w:rsid w:val="113D2E58"/>
    <w:rsid w:val="11420077"/>
    <w:rsid w:val="11427629"/>
    <w:rsid w:val="11442367"/>
    <w:rsid w:val="11477335"/>
    <w:rsid w:val="115B409D"/>
    <w:rsid w:val="11636B89"/>
    <w:rsid w:val="116577BB"/>
    <w:rsid w:val="11665CA1"/>
    <w:rsid w:val="116D027E"/>
    <w:rsid w:val="116E48C1"/>
    <w:rsid w:val="11704476"/>
    <w:rsid w:val="11716160"/>
    <w:rsid w:val="11717F0E"/>
    <w:rsid w:val="11733C86"/>
    <w:rsid w:val="117702AA"/>
    <w:rsid w:val="11772560"/>
    <w:rsid w:val="117B2B3A"/>
    <w:rsid w:val="117C4140"/>
    <w:rsid w:val="117D3A12"/>
    <w:rsid w:val="117D498E"/>
    <w:rsid w:val="118B5473"/>
    <w:rsid w:val="11991213"/>
    <w:rsid w:val="11B031DE"/>
    <w:rsid w:val="11BA16B2"/>
    <w:rsid w:val="11C54766"/>
    <w:rsid w:val="11D263DB"/>
    <w:rsid w:val="11FC6D2B"/>
    <w:rsid w:val="11FE347A"/>
    <w:rsid w:val="120140F9"/>
    <w:rsid w:val="120312BA"/>
    <w:rsid w:val="1211524D"/>
    <w:rsid w:val="1217032A"/>
    <w:rsid w:val="12174B5B"/>
    <w:rsid w:val="121E3073"/>
    <w:rsid w:val="12281213"/>
    <w:rsid w:val="122B4561"/>
    <w:rsid w:val="122D2087"/>
    <w:rsid w:val="122F22A3"/>
    <w:rsid w:val="12311994"/>
    <w:rsid w:val="1238478B"/>
    <w:rsid w:val="12390792"/>
    <w:rsid w:val="123D6042"/>
    <w:rsid w:val="12465EF7"/>
    <w:rsid w:val="124E7455"/>
    <w:rsid w:val="12504999"/>
    <w:rsid w:val="125B755A"/>
    <w:rsid w:val="12647A72"/>
    <w:rsid w:val="12655CC4"/>
    <w:rsid w:val="126850EC"/>
    <w:rsid w:val="126B6379"/>
    <w:rsid w:val="126E03C3"/>
    <w:rsid w:val="1277056A"/>
    <w:rsid w:val="127D750A"/>
    <w:rsid w:val="12816876"/>
    <w:rsid w:val="1283436C"/>
    <w:rsid w:val="1283439D"/>
    <w:rsid w:val="12844F0A"/>
    <w:rsid w:val="129548B6"/>
    <w:rsid w:val="12977E48"/>
    <w:rsid w:val="129C720C"/>
    <w:rsid w:val="12A7303C"/>
    <w:rsid w:val="12B409FA"/>
    <w:rsid w:val="12BF64C2"/>
    <w:rsid w:val="12CF6D35"/>
    <w:rsid w:val="12D65128"/>
    <w:rsid w:val="12E56E05"/>
    <w:rsid w:val="12E666D9"/>
    <w:rsid w:val="12EE6E5C"/>
    <w:rsid w:val="12FD248B"/>
    <w:rsid w:val="130628D8"/>
    <w:rsid w:val="130638C9"/>
    <w:rsid w:val="130759B1"/>
    <w:rsid w:val="13091A27"/>
    <w:rsid w:val="130C6140"/>
    <w:rsid w:val="13203999"/>
    <w:rsid w:val="133550B1"/>
    <w:rsid w:val="13407A72"/>
    <w:rsid w:val="134551AA"/>
    <w:rsid w:val="134A4EBA"/>
    <w:rsid w:val="134D0507"/>
    <w:rsid w:val="134E048A"/>
    <w:rsid w:val="135235B1"/>
    <w:rsid w:val="13525B1D"/>
    <w:rsid w:val="13530945"/>
    <w:rsid w:val="135875D7"/>
    <w:rsid w:val="135E7EDE"/>
    <w:rsid w:val="13632FD0"/>
    <w:rsid w:val="136D2959"/>
    <w:rsid w:val="1370147F"/>
    <w:rsid w:val="13797D99"/>
    <w:rsid w:val="137B7D51"/>
    <w:rsid w:val="13875358"/>
    <w:rsid w:val="13935AB5"/>
    <w:rsid w:val="1394392D"/>
    <w:rsid w:val="13951726"/>
    <w:rsid w:val="13957A37"/>
    <w:rsid w:val="139A439A"/>
    <w:rsid w:val="139E304F"/>
    <w:rsid w:val="13A7230D"/>
    <w:rsid w:val="13B222C3"/>
    <w:rsid w:val="13BA63FA"/>
    <w:rsid w:val="13BB7B66"/>
    <w:rsid w:val="13C06723"/>
    <w:rsid w:val="13CF183A"/>
    <w:rsid w:val="13E4673A"/>
    <w:rsid w:val="13E72483"/>
    <w:rsid w:val="13E77819"/>
    <w:rsid w:val="13E86A02"/>
    <w:rsid w:val="13F10F2A"/>
    <w:rsid w:val="13FF3EF7"/>
    <w:rsid w:val="13FF49F4"/>
    <w:rsid w:val="141B298B"/>
    <w:rsid w:val="14294A19"/>
    <w:rsid w:val="14294B5C"/>
    <w:rsid w:val="143503AF"/>
    <w:rsid w:val="14396509"/>
    <w:rsid w:val="144D5224"/>
    <w:rsid w:val="14527A05"/>
    <w:rsid w:val="14531B4D"/>
    <w:rsid w:val="145E4DF3"/>
    <w:rsid w:val="14692EA7"/>
    <w:rsid w:val="146F0898"/>
    <w:rsid w:val="147C10A3"/>
    <w:rsid w:val="147D4A07"/>
    <w:rsid w:val="149038C9"/>
    <w:rsid w:val="14946802"/>
    <w:rsid w:val="14A02886"/>
    <w:rsid w:val="14A130E7"/>
    <w:rsid w:val="14A267A2"/>
    <w:rsid w:val="14A44572"/>
    <w:rsid w:val="14AC691B"/>
    <w:rsid w:val="14B61946"/>
    <w:rsid w:val="14C660FE"/>
    <w:rsid w:val="14C91703"/>
    <w:rsid w:val="14CD40FE"/>
    <w:rsid w:val="14D42AA7"/>
    <w:rsid w:val="14DB04C0"/>
    <w:rsid w:val="14DD2C3C"/>
    <w:rsid w:val="14DF5A0D"/>
    <w:rsid w:val="14F015B1"/>
    <w:rsid w:val="1514752E"/>
    <w:rsid w:val="151928EE"/>
    <w:rsid w:val="151C17D3"/>
    <w:rsid w:val="151D13FC"/>
    <w:rsid w:val="151F02B8"/>
    <w:rsid w:val="15245BFD"/>
    <w:rsid w:val="152A6D51"/>
    <w:rsid w:val="15306441"/>
    <w:rsid w:val="15325C06"/>
    <w:rsid w:val="15337BD3"/>
    <w:rsid w:val="15353F92"/>
    <w:rsid w:val="153D0016"/>
    <w:rsid w:val="15406095"/>
    <w:rsid w:val="154D0C92"/>
    <w:rsid w:val="155A6BB7"/>
    <w:rsid w:val="155D7762"/>
    <w:rsid w:val="1561077E"/>
    <w:rsid w:val="156644BC"/>
    <w:rsid w:val="157849EB"/>
    <w:rsid w:val="15793445"/>
    <w:rsid w:val="15825CA2"/>
    <w:rsid w:val="15834B5D"/>
    <w:rsid w:val="159E09E1"/>
    <w:rsid w:val="15A738B8"/>
    <w:rsid w:val="15C2342E"/>
    <w:rsid w:val="15CA4620"/>
    <w:rsid w:val="15D05B4B"/>
    <w:rsid w:val="15D4540B"/>
    <w:rsid w:val="15D5552B"/>
    <w:rsid w:val="15D748F3"/>
    <w:rsid w:val="15E213DA"/>
    <w:rsid w:val="15E8011F"/>
    <w:rsid w:val="15E92769"/>
    <w:rsid w:val="15ED7C1A"/>
    <w:rsid w:val="15FB142D"/>
    <w:rsid w:val="16076972"/>
    <w:rsid w:val="16087E1D"/>
    <w:rsid w:val="160C2AF1"/>
    <w:rsid w:val="160C6457"/>
    <w:rsid w:val="16147CFF"/>
    <w:rsid w:val="161D0664"/>
    <w:rsid w:val="16236B8C"/>
    <w:rsid w:val="16240461"/>
    <w:rsid w:val="16282F80"/>
    <w:rsid w:val="16317A11"/>
    <w:rsid w:val="163F34B3"/>
    <w:rsid w:val="16467BBB"/>
    <w:rsid w:val="16477D89"/>
    <w:rsid w:val="164C3300"/>
    <w:rsid w:val="164D719B"/>
    <w:rsid w:val="165507FC"/>
    <w:rsid w:val="165F6ECF"/>
    <w:rsid w:val="1667601C"/>
    <w:rsid w:val="16774218"/>
    <w:rsid w:val="167B0283"/>
    <w:rsid w:val="167F30CD"/>
    <w:rsid w:val="16824B96"/>
    <w:rsid w:val="16851CD0"/>
    <w:rsid w:val="16857503"/>
    <w:rsid w:val="16905AA1"/>
    <w:rsid w:val="16935838"/>
    <w:rsid w:val="16940FBF"/>
    <w:rsid w:val="16943AA7"/>
    <w:rsid w:val="16995DF6"/>
    <w:rsid w:val="16A469D8"/>
    <w:rsid w:val="16A80D4A"/>
    <w:rsid w:val="16A8493F"/>
    <w:rsid w:val="16B971D8"/>
    <w:rsid w:val="16BC7326"/>
    <w:rsid w:val="16BF796D"/>
    <w:rsid w:val="16CA07EC"/>
    <w:rsid w:val="16CB6312"/>
    <w:rsid w:val="16CD4552"/>
    <w:rsid w:val="16D30781"/>
    <w:rsid w:val="16D42290"/>
    <w:rsid w:val="16F77107"/>
    <w:rsid w:val="16FC68BB"/>
    <w:rsid w:val="16FE44DA"/>
    <w:rsid w:val="16FF7D6A"/>
    <w:rsid w:val="170008B5"/>
    <w:rsid w:val="1703785A"/>
    <w:rsid w:val="171014EC"/>
    <w:rsid w:val="17141CB3"/>
    <w:rsid w:val="17172807"/>
    <w:rsid w:val="171F0B4E"/>
    <w:rsid w:val="17205F01"/>
    <w:rsid w:val="172634B4"/>
    <w:rsid w:val="17265757"/>
    <w:rsid w:val="17321EED"/>
    <w:rsid w:val="173506A7"/>
    <w:rsid w:val="174943BB"/>
    <w:rsid w:val="174C1201"/>
    <w:rsid w:val="17530D90"/>
    <w:rsid w:val="1756640B"/>
    <w:rsid w:val="175F3295"/>
    <w:rsid w:val="17621C1E"/>
    <w:rsid w:val="176B795D"/>
    <w:rsid w:val="176D0329"/>
    <w:rsid w:val="17701D14"/>
    <w:rsid w:val="17735226"/>
    <w:rsid w:val="177558E0"/>
    <w:rsid w:val="177B7D38"/>
    <w:rsid w:val="177C7BD7"/>
    <w:rsid w:val="177E15D6"/>
    <w:rsid w:val="178269DF"/>
    <w:rsid w:val="17854713"/>
    <w:rsid w:val="17954F7B"/>
    <w:rsid w:val="1797736D"/>
    <w:rsid w:val="17982698"/>
    <w:rsid w:val="179A6980"/>
    <w:rsid w:val="17A252C5"/>
    <w:rsid w:val="17AF37EC"/>
    <w:rsid w:val="17B12B52"/>
    <w:rsid w:val="17B22315"/>
    <w:rsid w:val="17CC6F98"/>
    <w:rsid w:val="17D47448"/>
    <w:rsid w:val="17D64F6F"/>
    <w:rsid w:val="17DB29DD"/>
    <w:rsid w:val="17DF23C2"/>
    <w:rsid w:val="17E23913"/>
    <w:rsid w:val="17E70F2A"/>
    <w:rsid w:val="17E83011"/>
    <w:rsid w:val="17F217FD"/>
    <w:rsid w:val="17F22105"/>
    <w:rsid w:val="17F6044A"/>
    <w:rsid w:val="17FD17A2"/>
    <w:rsid w:val="17FE661E"/>
    <w:rsid w:val="18034101"/>
    <w:rsid w:val="18047D2E"/>
    <w:rsid w:val="180C0990"/>
    <w:rsid w:val="180D30CD"/>
    <w:rsid w:val="181A30AD"/>
    <w:rsid w:val="18200EA6"/>
    <w:rsid w:val="18266844"/>
    <w:rsid w:val="18283784"/>
    <w:rsid w:val="18345DBB"/>
    <w:rsid w:val="18354804"/>
    <w:rsid w:val="1854746C"/>
    <w:rsid w:val="185A4886"/>
    <w:rsid w:val="186B60FA"/>
    <w:rsid w:val="187D188E"/>
    <w:rsid w:val="187F73B4"/>
    <w:rsid w:val="188649C8"/>
    <w:rsid w:val="18951CDE"/>
    <w:rsid w:val="18982224"/>
    <w:rsid w:val="189C42D4"/>
    <w:rsid w:val="189E050F"/>
    <w:rsid w:val="189F2BE9"/>
    <w:rsid w:val="189F5628"/>
    <w:rsid w:val="189F624C"/>
    <w:rsid w:val="18AB6EA5"/>
    <w:rsid w:val="18AD3F21"/>
    <w:rsid w:val="18AD4E2C"/>
    <w:rsid w:val="18AE7C99"/>
    <w:rsid w:val="18B23DCD"/>
    <w:rsid w:val="18B518AA"/>
    <w:rsid w:val="18B87A12"/>
    <w:rsid w:val="18B917D9"/>
    <w:rsid w:val="18BB43D1"/>
    <w:rsid w:val="18C14848"/>
    <w:rsid w:val="18C33745"/>
    <w:rsid w:val="18CB084B"/>
    <w:rsid w:val="18D314AE"/>
    <w:rsid w:val="18E82E10"/>
    <w:rsid w:val="18EA59CA"/>
    <w:rsid w:val="18EE59BE"/>
    <w:rsid w:val="18FA5D0B"/>
    <w:rsid w:val="190938C6"/>
    <w:rsid w:val="19154EBE"/>
    <w:rsid w:val="19197809"/>
    <w:rsid w:val="19206D88"/>
    <w:rsid w:val="192A4ED5"/>
    <w:rsid w:val="19385242"/>
    <w:rsid w:val="193876BA"/>
    <w:rsid w:val="193D1A67"/>
    <w:rsid w:val="19560718"/>
    <w:rsid w:val="195E033A"/>
    <w:rsid w:val="19626E0C"/>
    <w:rsid w:val="196374B8"/>
    <w:rsid w:val="19722E71"/>
    <w:rsid w:val="19747E21"/>
    <w:rsid w:val="1977160D"/>
    <w:rsid w:val="19844622"/>
    <w:rsid w:val="198F1879"/>
    <w:rsid w:val="19A50196"/>
    <w:rsid w:val="19A70069"/>
    <w:rsid w:val="19BD7EE7"/>
    <w:rsid w:val="19C02579"/>
    <w:rsid w:val="19C81D4F"/>
    <w:rsid w:val="19CC03D7"/>
    <w:rsid w:val="19D811FD"/>
    <w:rsid w:val="19D9067E"/>
    <w:rsid w:val="19DA449B"/>
    <w:rsid w:val="19DB2208"/>
    <w:rsid w:val="19DB321C"/>
    <w:rsid w:val="19DE5E98"/>
    <w:rsid w:val="19E67114"/>
    <w:rsid w:val="19E74BB9"/>
    <w:rsid w:val="19EC2827"/>
    <w:rsid w:val="19F361F6"/>
    <w:rsid w:val="19F510CE"/>
    <w:rsid w:val="1A11625E"/>
    <w:rsid w:val="1A1B4EBB"/>
    <w:rsid w:val="1A1C66C0"/>
    <w:rsid w:val="1A277D03"/>
    <w:rsid w:val="1A2C356C"/>
    <w:rsid w:val="1A3537A8"/>
    <w:rsid w:val="1A3C0202"/>
    <w:rsid w:val="1A3D2D94"/>
    <w:rsid w:val="1A3F504D"/>
    <w:rsid w:val="1A404DEA"/>
    <w:rsid w:val="1A42393B"/>
    <w:rsid w:val="1A47372A"/>
    <w:rsid w:val="1A4E4612"/>
    <w:rsid w:val="1A501008"/>
    <w:rsid w:val="1A5605E9"/>
    <w:rsid w:val="1A584361"/>
    <w:rsid w:val="1A58610F"/>
    <w:rsid w:val="1A6A0F57"/>
    <w:rsid w:val="1A6A7ADF"/>
    <w:rsid w:val="1A701673"/>
    <w:rsid w:val="1A723FB0"/>
    <w:rsid w:val="1A7F5382"/>
    <w:rsid w:val="1A842130"/>
    <w:rsid w:val="1A8707A2"/>
    <w:rsid w:val="1A875291"/>
    <w:rsid w:val="1A8B1033"/>
    <w:rsid w:val="1A8C7B66"/>
    <w:rsid w:val="1AA350E9"/>
    <w:rsid w:val="1AAC1FB7"/>
    <w:rsid w:val="1AAD45DE"/>
    <w:rsid w:val="1ABC76B4"/>
    <w:rsid w:val="1ABD7436"/>
    <w:rsid w:val="1ABF2F84"/>
    <w:rsid w:val="1AC86483"/>
    <w:rsid w:val="1AD20157"/>
    <w:rsid w:val="1AD2177C"/>
    <w:rsid w:val="1AD559B1"/>
    <w:rsid w:val="1AD8269C"/>
    <w:rsid w:val="1ADB6959"/>
    <w:rsid w:val="1AEB4D0D"/>
    <w:rsid w:val="1AEC20FD"/>
    <w:rsid w:val="1AED534D"/>
    <w:rsid w:val="1AFC331B"/>
    <w:rsid w:val="1AFD5A52"/>
    <w:rsid w:val="1B0005E6"/>
    <w:rsid w:val="1B046F80"/>
    <w:rsid w:val="1B223BBD"/>
    <w:rsid w:val="1B2B0E96"/>
    <w:rsid w:val="1B3267B5"/>
    <w:rsid w:val="1B3F1986"/>
    <w:rsid w:val="1B40161D"/>
    <w:rsid w:val="1B4346C9"/>
    <w:rsid w:val="1B441859"/>
    <w:rsid w:val="1B445528"/>
    <w:rsid w:val="1B537EA8"/>
    <w:rsid w:val="1B5C03C7"/>
    <w:rsid w:val="1B627F83"/>
    <w:rsid w:val="1B6606B1"/>
    <w:rsid w:val="1B693A6A"/>
    <w:rsid w:val="1B6D57DA"/>
    <w:rsid w:val="1B6E5135"/>
    <w:rsid w:val="1B7623CA"/>
    <w:rsid w:val="1B8875AF"/>
    <w:rsid w:val="1B8C007E"/>
    <w:rsid w:val="1B90229E"/>
    <w:rsid w:val="1B940450"/>
    <w:rsid w:val="1B961E93"/>
    <w:rsid w:val="1B965141"/>
    <w:rsid w:val="1B9D52F5"/>
    <w:rsid w:val="1BAA0FEA"/>
    <w:rsid w:val="1BAF532C"/>
    <w:rsid w:val="1BB83320"/>
    <w:rsid w:val="1BB83D63"/>
    <w:rsid w:val="1BC31CAE"/>
    <w:rsid w:val="1BD01CD5"/>
    <w:rsid w:val="1BDB39AC"/>
    <w:rsid w:val="1BDF4813"/>
    <w:rsid w:val="1BE217CF"/>
    <w:rsid w:val="1BE278D1"/>
    <w:rsid w:val="1BEC092D"/>
    <w:rsid w:val="1BEF424D"/>
    <w:rsid w:val="1BF50AC5"/>
    <w:rsid w:val="1BF921D0"/>
    <w:rsid w:val="1C047A3E"/>
    <w:rsid w:val="1C054074"/>
    <w:rsid w:val="1C055C23"/>
    <w:rsid w:val="1C14750A"/>
    <w:rsid w:val="1C346BD0"/>
    <w:rsid w:val="1C3926AD"/>
    <w:rsid w:val="1C3B5CE8"/>
    <w:rsid w:val="1C3B73BC"/>
    <w:rsid w:val="1C470054"/>
    <w:rsid w:val="1C4A0503"/>
    <w:rsid w:val="1C4E1577"/>
    <w:rsid w:val="1C4F3541"/>
    <w:rsid w:val="1C4F54EA"/>
    <w:rsid w:val="1C542D1B"/>
    <w:rsid w:val="1C5D444C"/>
    <w:rsid w:val="1C5E7925"/>
    <w:rsid w:val="1C66093B"/>
    <w:rsid w:val="1C712C07"/>
    <w:rsid w:val="1C725757"/>
    <w:rsid w:val="1C791A8B"/>
    <w:rsid w:val="1C7B4C46"/>
    <w:rsid w:val="1C8256C5"/>
    <w:rsid w:val="1C893E9E"/>
    <w:rsid w:val="1C99742C"/>
    <w:rsid w:val="1CB02232"/>
    <w:rsid w:val="1CB3587E"/>
    <w:rsid w:val="1CB97944"/>
    <w:rsid w:val="1CC01D49"/>
    <w:rsid w:val="1CC21DD9"/>
    <w:rsid w:val="1CC61800"/>
    <w:rsid w:val="1CC61A56"/>
    <w:rsid w:val="1CCB1018"/>
    <w:rsid w:val="1CDF502D"/>
    <w:rsid w:val="1CE04199"/>
    <w:rsid w:val="1CE123EB"/>
    <w:rsid w:val="1CE42735"/>
    <w:rsid w:val="1CEB4E1C"/>
    <w:rsid w:val="1CED0B4A"/>
    <w:rsid w:val="1CF60774"/>
    <w:rsid w:val="1CF92FCE"/>
    <w:rsid w:val="1CF9709D"/>
    <w:rsid w:val="1CFD070F"/>
    <w:rsid w:val="1CFD2408"/>
    <w:rsid w:val="1D006A40"/>
    <w:rsid w:val="1D024F04"/>
    <w:rsid w:val="1D0406B0"/>
    <w:rsid w:val="1D081E29"/>
    <w:rsid w:val="1D0D1432"/>
    <w:rsid w:val="1D100F23"/>
    <w:rsid w:val="1D1A7DA5"/>
    <w:rsid w:val="1D1B6E43"/>
    <w:rsid w:val="1D227CE5"/>
    <w:rsid w:val="1D28138B"/>
    <w:rsid w:val="1D2B6050"/>
    <w:rsid w:val="1D306ECF"/>
    <w:rsid w:val="1D370902"/>
    <w:rsid w:val="1D3B17B9"/>
    <w:rsid w:val="1D3F0DCA"/>
    <w:rsid w:val="1D4B0507"/>
    <w:rsid w:val="1D507571"/>
    <w:rsid w:val="1D5B1A68"/>
    <w:rsid w:val="1D5E1804"/>
    <w:rsid w:val="1D5F6196"/>
    <w:rsid w:val="1D6132A5"/>
    <w:rsid w:val="1D632E00"/>
    <w:rsid w:val="1D6A6749"/>
    <w:rsid w:val="1D711EA4"/>
    <w:rsid w:val="1D8D2E82"/>
    <w:rsid w:val="1D8E56D5"/>
    <w:rsid w:val="1D936883"/>
    <w:rsid w:val="1D9624ED"/>
    <w:rsid w:val="1DAA11A8"/>
    <w:rsid w:val="1DB377EF"/>
    <w:rsid w:val="1DBB3E80"/>
    <w:rsid w:val="1DC21EB6"/>
    <w:rsid w:val="1DC35E4C"/>
    <w:rsid w:val="1DCC0276"/>
    <w:rsid w:val="1DDF0543"/>
    <w:rsid w:val="1DE52A8D"/>
    <w:rsid w:val="1DEA038E"/>
    <w:rsid w:val="1DEA64AB"/>
    <w:rsid w:val="1DEB588C"/>
    <w:rsid w:val="1DEC587F"/>
    <w:rsid w:val="1DF0665E"/>
    <w:rsid w:val="1DF34DCE"/>
    <w:rsid w:val="1DF95513"/>
    <w:rsid w:val="1DFD14A7"/>
    <w:rsid w:val="1E024F95"/>
    <w:rsid w:val="1E036392"/>
    <w:rsid w:val="1E0D6572"/>
    <w:rsid w:val="1E1C3BAB"/>
    <w:rsid w:val="1E1E11FC"/>
    <w:rsid w:val="1E1E31CB"/>
    <w:rsid w:val="1E2A40E0"/>
    <w:rsid w:val="1E326C0D"/>
    <w:rsid w:val="1E3B13B1"/>
    <w:rsid w:val="1E4622A4"/>
    <w:rsid w:val="1E48649A"/>
    <w:rsid w:val="1E4C45B8"/>
    <w:rsid w:val="1E4E3E8A"/>
    <w:rsid w:val="1E51274F"/>
    <w:rsid w:val="1E5F5CBE"/>
    <w:rsid w:val="1E6037E4"/>
    <w:rsid w:val="1E646B28"/>
    <w:rsid w:val="1E6813C8"/>
    <w:rsid w:val="1E7100DE"/>
    <w:rsid w:val="1E79724B"/>
    <w:rsid w:val="1E7A43DA"/>
    <w:rsid w:val="1E7C22A5"/>
    <w:rsid w:val="1E810F3A"/>
    <w:rsid w:val="1E833BAF"/>
    <w:rsid w:val="1E837E0D"/>
    <w:rsid w:val="1EA77665"/>
    <w:rsid w:val="1EAA73FC"/>
    <w:rsid w:val="1EAC4C7B"/>
    <w:rsid w:val="1EAF5DDD"/>
    <w:rsid w:val="1EBB6FC9"/>
    <w:rsid w:val="1EBC0674"/>
    <w:rsid w:val="1EBE6599"/>
    <w:rsid w:val="1EC2624D"/>
    <w:rsid w:val="1ED16490"/>
    <w:rsid w:val="1EDD1822"/>
    <w:rsid w:val="1EDD1BA5"/>
    <w:rsid w:val="1EDF50FD"/>
    <w:rsid w:val="1EE95587"/>
    <w:rsid w:val="1EEE0D32"/>
    <w:rsid w:val="1EFA76E6"/>
    <w:rsid w:val="1EFD1033"/>
    <w:rsid w:val="1F0776F5"/>
    <w:rsid w:val="1F086FE1"/>
    <w:rsid w:val="1F0D30A9"/>
    <w:rsid w:val="1F18000E"/>
    <w:rsid w:val="1F234F3D"/>
    <w:rsid w:val="1F264A2D"/>
    <w:rsid w:val="1F2E3621"/>
    <w:rsid w:val="1F325180"/>
    <w:rsid w:val="1F364180"/>
    <w:rsid w:val="1F4F2073"/>
    <w:rsid w:val="1F502D2F"/>
    <w:rsid w:val="1F5C044F"/>
    <w:rsid w:val="1F5C3FAB"/>
    <w:rsid w:val="1F5D4C45"/>
    <w:rsid w:val="1F5D59E1"/>
    <w:rsid w:val="1F69532E"/>
    <w:rsid w:val="1F707818"/>
    <w:rsid w:val="1F744F6B"/>
    <w:rsid w:val="1F775289"/>
    <w:rsid w:val="1F841754"/>
    <w:rsid w:val="1F861028"/>
    <w:rsid w:val="1F971487"/>
    <w:rsid w:val="1F9E45C4"/>
    <w:rsid w:val="1FA45FBA"/>
    <w:rsid w:val="1FB23765"/>
    <w:rsid w:val="1FB537E8"/>
    <w:rsid w:val="1FC13108"/>
    <w:rsid w:val="1FD55FF6"/>
    <w:rsid w:val="1FE3647B"/>
    <w:rsid w:val="1FE43F4A"/>
    <w:rsid w:val="1FE67B25"/>
    <w:rsid w:val="1FE7539E"/>
    <w:rsid w:val="1FF22B62"/>
    <w:rsid w:val="20057523"/>
    <w:rsid w:val="2010655D"/>
    <w:rsid w:val="20124E89"/>
    <w:rsid w:val="20127DFC"/>
    <w:rsid w:val="201C3916"/>
    <w:rsid w:val="20221C64"/>
    <w:rsid w:val="20241274"/>
    <w:rsid w:val="203F15A8"/>
    <w:rsid w:val="2043260B"/>
    <w:rsid w:val="20502542"/>
    <w:rsid w:val="20563DCA"/>
    <w:rsid w:val="20570DB0"/>
    <w:rsid w:val="205729C5"/>
    <w:rsid w:val="20621A95"/>
    <w:rsid w:val="20650980"/>
    <w:rsid w:val="20671BE0"/>
    <w:rsid w:val="20673947"/>
    <w:rsid w:val="206C46C2"/>
    <w:rsid w:val="20755DFC"/>
    <w:rsid w:val="207924E1"/>
    <w:rsid w:val="207B498E"/>
    <w:rsid w:val="207E2F12"/>
    <w:rsid w:val="207E45D9"/>
    <w:rsid w:val="20880DD0"/>
    <w:rsid w:val="208B3AD2"/>
    <w:rsid w:val="2090680E"/>
    <w:rsid w:val="20963CB8"/>
    <w:rsid w:val="20972A26"/>
    <w:rsid w:val="209C26E3"/>
    <w:rsid w:val="20A65B06"/>
    <w:rsid w:val="20A72CA4"/>
    <w:rsid w:val="20A81A1B"/>
    <w:rsid w:val="20B07FB6"/>
    <w:rsid w:val="20B237F2"/>
    <w:rsid w:val="20B57B58"/>
    <w:rsid w:val="20B646FB"/>
    <w:rsid w:val="20B754CC"/>
    <w:rsid w:val="20B9542D"/>
    <w:rsid w:val="20CB1745"/>
    <w:rsid w:val="20CC6A8D"/>
    <w:rsid w:val="20D64231"/>
    <w:rsid w:val="20DF64AF"/>
    <w:rsid w:val="20E0610C"/>
    <w:rsid w:val="20E57FD0"/>
    <w:rsid w:val="20F326ED"/>
    <w:rsid w:val="20F42FCA"/>
    <w:rsid w:val="20F93B48"/>
    <w:rsid w:val="21051C71"/>
    <w:rsid w:val="21057E7F"/>
    <w:rsid w:val="21077674"/>
    <w:rsid w:val="210C37AF"/>
    <w:rsid w:val="210E6C1E"/>
    <w:rsid w:val="2116462E"/>
    <w:rsid w:val="211B57FD"/>
    <w:rsid w:val="211E41C1"/>
    <w:rsid w:val="21211BF8"/>
    <w:rsid w:val="21252652"/>
    <w:rsid w:val="212A1E87"/>
    <w:rsid w:val="212C2B03"/>
    <w:rsid w:val="21331AEE"/>
    <w:rsid w:val="213B74B1"/>
    <w:rsid w:val="214928EE"/>
    <w:rsid w:val="214B2529"/>
    <w:rsid w:val="215A2310"/>
    <w:rsid w:val="216211FF"/>
    <w:rsid w:val="218912A4"/>
    <w:rsid w:val="21902632"/>
    <w:rsid w:val="21A57883"/>
    <w:rsid w:val="21A62929"/>
    <w:rsid w:val="21AA6514"/>
    <w:rsid w:val="21AD0AEE"/>
    <w:rsid w:val="21AE4FA9"/>
    <w:rsid w:val="21D02A2F"/>
    <w:rsid w:val="21D95D87"/>
    <w:rsid w:val="21DE318A"/>
    <w:rsid w:val="21E3011B"/>
    <w:rsid w:val="21ED538F"/>
    <w:rsid w:val="21EF5B80"/>
    <w:rsid w:val="21F20BF7"/>
    <w:rsid w:val="21F44DAC"/>
    <w:rsid w:val="21FA5603"/>
    <w:rsid w:val="21FE134A"/>
    <w:rsid w:val="21FF50C2"/>
    <w:rsid w:val="22022EA1"/>
    <w:rsid w:val="2208666C"/>
    <w:rsid w:val="221B0459"/>
    <w:rsid w:val="221D6DEE"/>
    <w:rsid w:val="2221772E"/>
    <w:rsid w:val="222C1F93"/>
    <w:rsid w:val="222D1A7B"/>
    <w:rsid w:val="22382B76"/>
    <w:rsid w:val="22393715"/>
    <w:rsid w:val="22453220"/>
    <w:rsid w:val="22462793"/>
    <w:rsid w:val="224D407F"/>
    <w:rsid w:val="2252470C"/>
    <w:rsid w:val="22576990"/>
    <w:rsid w:val="22611010"/>
    <w:rsid w:val="226118D9"/>
    <w:rsid w:val="226338A3"/>
    <w:rsid w:val="22711B4B"/>
    <w:rsid w:val="22711D00"/>
    <w:rsid w:val="22715FC0"/>
    <w:rsid w:val="228040B3"/>
    <w:rsid w:val="22883434"/>
    <w:rsid w:val="228D76FC"/>
    <w:rsid w:val="2294396B"/>
    <w:rsid w:val="229C246A"/>
    <w:rsid w:val="229F1555"/>
    <w:rsid w:val="22A068A5"/>
    <w:rsid w:val="22A7378F"/>
    <w:rsid w:val="22AB1BF2"/>
    <w:rsid w:val="22AB1C1C"/>
    <w:rsid w:val="22AB44F2"/>
    <w:rsid w:val="22AF19D5"/>
    <w:rsid w:val="22B4351C"/>
    <w:rsid w:val="22BC5FE7"/>
    <w:rsid w:val="22CB1654"/>
    <w:rsid w:val="22E471B1"/>
    <w:rsid w:val="22F47480"/>
    <w:rsid w:val="22FC7F13"/>
    <w:rsid w:val="23065D3B"/>
    <w:rsid w:val="230C7842"/>
    <w:rsid w:val="23104980"/>
    <w:rsid w:val="231B4A22"/>
    <w:rsid w:val="231D58D9"/>
    <w:rsid w:val="232036A2"/>
    <w:rsid w:val="2322550C"/>
    <w:rsid w:val="232E5C5F"/>
    <w:rsid w:val="232F503C"/>
    <w:rsid w:val="23363B0B"/>
    <w:rsid w:val="23441F80"/>
    <w:rsid w:val="235651B5"/>
    <w:rsid w:val="235B27CC"/>
    <w:rsid w:val="236E0820"/>
    <w:rsid w:val="237B37B0"/>
    <w:rsid w:val="23823C9E"/>
    <w:rsid w:val="238F63ED"/>
    <w:rsid w:val="23966F75"/>
    <w:rsid w:val="239E2DA5"/>
    <w:rsid w:val="23D10F61"/>
    <w:rsid w:val="23DE1C48"/>
    <w:rsid w:val="23E20D41"/>
    <w:rsid w:val="23EA4E97"/>
    <w:rsid w:val="23FF1005"/>
    <w:rsid w:val="240210CD"/>
    <w:rsid w:val="2406106C"/>
    <w:rsid w:val="240C1F4D"/>
    <w:rsid w:val="240D6D3D"/>
    <w:rsid w:val="24101F8A"/>
    <w:rsid w:val="24134E54"/>
    <w:rsid w:val="24156E1F"/>
    <w:rsid w:val="241C1F5B"/>
    <w:rsid w:val="241E5A1E"/>
    <w:rsid w:val="24204D70"/>
    <w:rsid w:val="24213A15"/>
    <w:rsid w:val="242157C3"/>
    <w:rsid w:val="24275AAE"/>
    <w:rsid w:val="242E28E2"/>
    <w:rsid w:val="24305A06"/>
    <w:rsid w:val="24314846"/>
    <w:rsid w:val="243E2436"/>
    <w:rsid w:val="24442251"/>
    <w:rsid w:val="244A35AA"/>
    <w:rsid w:val="244D0D42"/>
    <w:rsid w:val="24535786"/>
    <w:rsid w:val="2456015B"/>
    <w:rsid w:val="245E1034"/>
    <w:rsid w:val="247161BB"/>
    <w:rsid w:val="247C0775"/>
    <w:rsid w:val="24855D52"/>
    <w:rsid w:val="24880C35"/>
    <w:rsid w:val="24895B7F"/>
    <w:rsid w:val="248F3633"/>
    <w:rsid w:val="24956EC9"/>
    <w:rsid w:val="24976CC9"/>
    <w:rsid w:val="249C309C"/>
    <w:rsid w:val="24A93807"/>
    <w:rsid w:val="24B30B11"/>
    <w:rsid w:val="24B61DA0"/>
    <w:rsid w:val="24B93C4E"/>
    <w:rsid w:val="24BF09F7"/>
    <w:rsid w:val="24CA4DE9"/>
    <w:rsid w:val="24CC3981"/>
    <w:rsid w:val="24D3426C"/>
    <w:rsid w:val="24D42836"/>
    <w:rsid w:val="24DC5213"/>
    <w:rsid w:val="24DF6C29"/>
    <w:rsid w:val="24E32A79"/>
    <w:rsid w:val="24E40586"/>
    <w:rsid w:val="24EF35A7"/>
    <w:rsid w:val="24F164AA"/>
    <w:rsid w:val="24F87059"/>
    <w:rsid w:val="24F9645C"/>
    <w:rsid w:val="24FB156B"/>
    <w:rsid w:val="24FB4266"/>
    <w:rsid w:val="24FD7EA4"/>
    <w:rsid w:val="25056E93"/>
    <w:rsid w:val="2508745C"/>
    <w:rsid w:val="250C0222"/>
    <w:rsid w:val="25123C68"/>
    <w:rsid w:val="25205A7B"/>
    <w:rsid w:val="25210113"/>
    <w:rsid w:val="25294591"/>
    <w:rsid w:val="252C04AC"/>
    <w:rsid w:val="252D53FE"/>
    <w:rsid w:val="253D03DB"/>
    <w:rsid w:val="253F4153"/>
    <w:rsid w:val="25413CA5"/>
    <w:rsid w:val="25423CBE"/>
    <w:rsid w:val="25427359"/>
    <w:rsid w:val="25427421"/>
    <w:rsid w:val="2556149D"/>
    <w:rsid w:val="256E27DC"/>
    <w:rsid w:val="25711F5E"/>
    <w:rsid w:val="25870A29"/>
    <w:rsid w:val="25904D91"/>
    <w:rsid w:val="25A45DD1"/>
    <w:rsid w:val="25BF206A"/>
    <w:rsid w:val="25C74A32"/>
    <w:rsid w:val="25CA6327"/>
    <w:rsid w:val="25CC1E99"/>
    <w:rsid w:val="25D6438C"/>
    <w:rsid w:val="25DD6D2C"/>
    <w:rsid w:val="25E371D4"/>
    <w:rsid w:val="25EC2D81"/>
    <w:rsid w:val="25ED78CC"/>
    <w:rsid w:val="25F96F16"/>
    <w:rsid w:val="25FC3382"/>
    <w:rsid w:val="26043737"/>
    <w:rsid w:val="261842E4"/>
    <w:rsid w:val="261C26E6"/>
    <w:rsid w:val="261C5817"/>
    <w:rsid w:val="262338CE"/>
    <w:rsid w:val="262B052D"/>
    <w:rsid w:val="262B46D7"/>
    <w:rsid w:val="262C672A"/>
    <w:rsid w:val="262E1CE6"/>
    <w:rsid w:val="26315261"/>
    <w:rsid w:val="26395046"/>
    <w:rsid w:val="26397B47"/>
    <w:rsid w:val="26494A86"/>
    <w:rsid w:val="264A7253"/>
    <w:rsid w:val="265765E3"/>
    <w:rsid w:val="26592A7C"/>
    <w:rsid w:val="265952A7"/>
    <w:rsid w:val="265B291F"/>
    <w:rsid w:val="265D6277"/>
    <w:rsid w:val="266068F6"/>
    <w:rsid w:val="266D6A9E"/>
    <w:rsid w:val="267E7C3C"/>
    <w:rsid w:val="26850176"/>
    <w:rsid w:val="26864004"/>
    <w:rsid w:val="268E39D0"/>
    <w:rsid w:val="269D37B1"/>
    <w:rsid w:val="26A336EE"/>
    <w:rsid w:val="26AA63C4"/>
    <w:rsid w:val="26B07FD0"/>
    <w:rsid w:val="26BE554B"/>
    <w:rsid w:val="26C2164D"/>
    <w:rsid w:val="26C47FF0"/>
    <w:rsid w:val="26C60BCD"/>
    <w:rsid w:val="26CF3B03"/>
    <w:rsid w:val="26D0702D"/>
    <w:rsid w:val="26D263B7"/>
    <w:rsid w:val="26D57D33"/>
    <w:rsid w:val="26D607D1"/>
    <w:rsid w:val="26D703BB"/>
    <w:rsid w:val="26D7520B"/>
    <w:rsid w:val="26E20CF5"/>
    <w:rsid w:val="26F86CAF"/>
    <w:rsid w:val="26FC7A15"/>
    <w:rsid w:val="271138CD"/>
    <w:rsid w:val="27131007"/>
    <w:rsid w:val="27226A3D"/>
    <w:rsid w:val="27245377"/>
    <w:rsid w:val="27315D1D"/>
    <w:rsid w:val="2732214B"/>
    <w:rsid w:val="27374C7D"/>
    <w:rsid w:val="27466BCE"/>
    <w:rsid w:val="275B4D2E"/>
    <w:rsid w:val="275D4D35"/>
    <w:rsid w:val="27632F91"/>
    <w:rsid w:val="27677452"/>
    <w:rsid w:val="277057A2"/>
    <w:rsid w:val="2771325F"/>
    <w:rsid w:val="277B51EB"/>
    <w:rsid w:val="277D3FBB"/>
    <w:rsid w:val="27905D54"/>
    <w:rsid w:val="27910EB2"/>
    <w:rsid w:val="27932311"/>
    <w:rsid w:val="279369D8"/>
    <w:rsid w:val="27A02191"/>
    <w:rsid w:val="27A72BF3"/>
    <w:rsid w:val="27AB3D22"/>
    <w:rsid w:val="27B37E7B"/>
    <w:rsid w:val="27BB06D2"/>
    <w:rsid w:val="27BD1CA7"/>
    <w:rsid w:val="27BD5803"/>
    <w:rsid w:val="27BE26AA"/>
    <w:rsid w:val="27C1122A"/>
    <w:rsid w:val="27C13545"/>
    <w:rsid w:val="27C368BA"/>
    <w:rsid w:val="27CE3795"/>
    <w:rsid w:val="27CE66E9"/>
    <w:rsid w:val="27D00289"/>
    <w:rsid w:val="27D226CF"/>
    <w:rsid w:val="27D444EA"/>
    <w:rsid w:val="27D52B4D"/>
    <w:rsid w:val="27E17743"/>
    <w:rsid w:val="27E67E6F"/>
    <w:rsid w:val="27E90EC3"/>
    <w:rsid w:val="27EB411E"/>
    <w:rsid w:val="2807212A"/>
    <w:rsid w:val="280A2B5C"/>
    <w:rsid w:val="281F304E"/>
    <w:rsid w:val="282569DC"/>
    <w:rsid w:val="282E038C"/>
    <w:rsid w:val="28333D17"/>
    <w:rsid w:val="284353E7"/>
    <w:rsid w:val="28557849"/>
    <w:rsid w:val="28583209"/>
    <w:rsid w:val="28602A0B"/>
    <w:rsid w:val="286363AA"/>
    <w:rsid w:val="286F4AA1"/>
    <w:rsid w:val="286F4F4F"/>
    <w:rsid w:val="287E1436"/>
    <w:rsid w:val="28806E9F"/>
    <w:rsid w:val="28876BFB"/>
    <w:rsid w:val="288A7DDB"/>
    <w:rsid w:val="288F59EC"/>
    <w:rsid w:val="28924EE2"/>
    <w:rsid w:val="28932B31"/>
    <w:rsid w:val="28987C03"/>
    <w:rsid w:val="28A349F9"/>
    <w:rsid w:val="28A45B3B"/>
    <w:rsid w:val="28AB7D5A"/>
    <w:rsid w:val="28B9246E"/>
    <w:rsid w:val="28BD1CFA"/>
    <w:rsid w:val="28C10586"/>
    <w:rsid w:val="28CA01D8"/>
    <w:rsid w:val="28D04587"/>
    <w:rsid w:val="28DC615D"/>
    <w:rsid w:val="28EB3A40"/>
    <w:rsid w:val="28EF5E90"/>
    <w:rsid w:val="28FC05AD"/>
    <w:rsid w:val="28FE567B"/>
    <w:rsid w:val="290E0CC2"/>
    <w:rsid w:val="291458F7"/>
    <w:rsid w:val="29181128"/>
    <w:rsid w:val="29206EB8"/>
    <w:rsid w:val="29284CB9"/>
    <w:rsid w:val="292865D3"/>
    <w:rsid w:val="29292390"/>
    <w:rsid w:val="29333D94"/>
    <w:rsid w:val="29423FA6"/>
    <w:rsid w:val="294E0EBB"/>
    <w:rsid w:val="29530536"/>
    <w:rsid w:val="29543C0A"/>
    <w:rsid w:val="29595666"/>
    <w:rsid w:val="295D7224"/>
    <w:rsid w:val="296A19BB"/>
    <w:rsid w:val="297A75F8"/>
    <w:rsid w:val="297B7724"/>
    <w:rsid w:val="297E3B87"/>
    <w:rsid w:val="297F73C9"/>
    <w:rsid w:val="29874881"/>
    <w:rsid w:val="298E2505"/>
    <w:rsid w:val="2995461C"/>
    <w:rsid w:val="299C6CF1"/>
    <w:rsid w:val="299E0DA7"/>
    <w:rsid w:val="29A02F5F"/>
    <w:rsid w:val="29A053DC"/>
    <w:rsid w:val="29A529F3"/>
    <w:rsid w:val="29A53987"/>
    <w:rsid w:val="29A9603F"/>
    <w:rsid w:val="29B11398"/>
    <w:rsid w:val="29B6518B"/>
    <w:rsid w:val="29B65867"/>
    <w:rsid w:val="29B669AE"/>
    <w:rsid w:val="29CB06AB"/>
    <w:rsid w:val="29D15596"/>
    <w:rsid w:val="29D56A90"/>
    <w:rsid w:val="29E325E0"/>
    <w:rsid w:val="29E93374"/>
    <w:rsid w:val="29EB5E55"/>
    <w:rsid w:val="29F02AF8"/>
    <w:rsid w:val="2A044C46"/>
    <w:rsid w:val="2A054713"/>
    <w:rsid w:val="2A0911D4"/>
    <w:rsid w:val="2A1E3DA8"/>
    <w:rsid w:val="2A2140E0"/>
    <w:rsid w:val="2A231B40"/>
    <w:rsid w:val="2A2735EF"/>
    <w:rsid w:val="2A2C6C70"/>
    <w:rsid w:val="2A2E705E"/>
    <w:rsid w:val="2A314283"/>
    <w:rsid w:val="2A32274B"/>
    <w:rsid w:val="2A372BAA"/>
    <w:rsid w:val="2A420242"/>
    <w:rsid w:val="2A452503"/>
    <w:rsid w:val="2A4975C1"/>
    <w:rsid w:val="2A593414"/>
    <w:rsid w:val="2A64465C"/>
    <w:rsid w:val="2A6C5B10"/>
    <w:rsid w:val="2A6D12F8"/>
    <w:rsid w:val="2A6D3510"/>
    <w:rsid w:val="2A7368EC"/>
    <w:rsid w:val="2A740380"/>
    <w:rsid w:val="2A810289"/>
    <w:rsid w:val="2A83359C"/>
    <w:rsid w:val="2A8D5961"/>
    <w:rsid w:val="2A8E3487"/>
    <w:rsid w:val="2A9D02D8"/>
    <w:rsid w:val="2A9F5C29"/>
    <w:rsid w:val="2AA35E8D"/>
    <w:rsid w:val="2AA90950"/>
    <w:rsid w:val="2AC247F1"/>
    <w:rsid w:val="2AD36CB7"/>
    <w:rsid w:val="2AD41B3D"/>
    <w:rsid w:val="2AD51A4C"/>
    <w:rsid w:val="2AE47B0A"/>
    <w:rsid w:val="2AE57075"/>
    <w:rsid w:val="2AEE2FCE"/>
    <w:rsid w:val="2AF21C68"/>
    <w:rsid w:val="2B005BEA"/>
    <w:rsid w:val="2B046110"/>
    <w:rsid w:val="2B1842D0"/>
    <w:rsid w:val="2B197509"/>
    <w:rsid w:val="2B1D4DF6"/>
    <w:rsid w:val="2B2430FD"/>
    <w:rsid w:val="2B42601D"/>
    <w:rsid w:val="2B63365F"/>
    <w:rsid w:val="2B66181C"/>
    <w:rsid w:val="2B663AC1"/>
    <w:rsid w:val="2B674404"/>
    <w:rsid w:val="2B6E5792"/>
    <w:rsid w:val="2B724877"/>
    <w:rsid w:val="2B7669E8"/>
    <w:rsid w:val="2B7E174D"/>
    <w:rsid w:val="2B8116F2"/>
    <w:rsid w:val="2B83097A"/>
    <w:rsid w:val="2B8B3C89"/>
    <w:rsid w:val="2B9D2AF6"/>
    <w:rsid w:val="2BA02310"/>
    <w:rsid w:val="2BA452CB"/>
    <w:rsid w:val="2BA5123D"/>
    <w:rsid w:val="2BA936A8"/>
    <w:rsid w:val="2BA95E0A"/>
    <w:rsid w:val="2BB65650"/>
    <w:rsid w:val="2BB976CD"/>
    <w:rsid w:val="2BBE1B4A"/>
    <w:rsid w:val="2BC902B3"/>
    <w:rsid w:val="2BCA04EF"/>
    <w:rsid w:val="2BD05DA6"/>
    <w:rsid w:val="2BE52DB4"/>
    <w:rsid w:val="2BEB2671"/>
    <w:rsid w:val="2BEC2B5B"/>
    <w:rsid w:val="2BF02146"/>
    <w:rsid w:val="2BF10171"/>
    <w:rsid w:val="2BF13CCD"/>
    <w:rsid w:val="2BF35C97"/>
    <w:rsid w:val="2BFC320D"/>
    <w:rsid w:val="2BFF63EA"/>
    <w:rsid w:val="2C025EDA"/>
    <w:rsid w:val="2C0559CB"/>
    <w:rsid w:val="2C063C1D"/>
    <w:rsid w:val="2C12386E"/>
    <w:rsid w:val="2C1308E2"/>
    <w:rsid w:val="2C1443AA"/>
    <w:rsid w:val="2C152CB0"/>
    <w:rsid w:val="2C211517"/>
    <w:rsid w:val="2C251BC9"/>
    <w:rsid w:val="2C2C00BA"/>
    <w:rsid w:val="2C2D017D"/>
    <w:rsid w:val="2C2D1D71"/>
    <w:rsid w:val="2C2E0A7D"/>
    <w:rsid w:val="2C315A5A"/>
    <w:rsid w:val="2C3B46EC"/>
    <w:rsid w:val="2C4617FF"/>
    <w:rsid w:val="2C4B0E99"/>
    <w:rsid w:val="2C4B1C25"/>
    <w:rsid w:val="2C4B520B"/>
    <w:rsid w:val="2C570513"/>
    <w:rsid w:val="2C5A7AC4"/>
    <w:rsid w:val="2C5B55EB"/>
    <w:rsid w:val="2C5B7534"/>
    <w:rsid w:val="2C5C4AB0"/>
    <w:rsid w:val="2C6D3C9C"/>
    <w:rsid w:val="2C6E2FF3"/>
    <w:rsid w:val="2C6F12FD"/>
    <w:rsid w:val="2C6F5308"/>
    <w:rsid w:val="2C7A413A"/>
    <w:rsid w:val="2C7E2C26"/>
    <w:rsid w:val="2C875551"/>
    <w:rsid w:val="2C8E4C63"/>
    <w:rsid w:val="2CA14645"/>
    <w:rsid w:val="2CA227DE"/>
    <w:rsid w:val="2CA70915"/>
    <w:rsid w:val="2CB67FA0"/>
    <w:rsid w:val="2CC23A90"/>
    <w:rsid w:val="2CD4496E"/>
    <w:rsid w:val="2CD45E58"/>
    <w:rsid w:val="2CD61049"/>
    <w:rsid w:val="2CD72212"/>
    <w:rsid w:val="2CDE7B16"/>
    <w:rsid w:val="2CE11F94"/>
    <w:rsid w:val="2CE33F5E"/>
    <w:rsid w:val="2CE546B4"/>
    <w:rsid w:val="2CE81574"/>
    <w:rsid w:val="2CF41466"/>
    <w:rsid w:val="2CFD3A0F"/>
    <w:rsid w:val="2CFF241A"/>
    <w:rsid w:val="2D012C8F"/>
    <w:rsid w:val="2D151C3D"/>
    <w:rsid w:val="2D1903A8"/>
    <w:rsid w:val="2D306A77"/>
    <w:rsid w:val="2D311EE9"/>
    <w:rsid w:val="2D320A41"/>
    <w:rsid w:val="2D336E93"/>
    <w:rsid w:val="2D3809AB"/>
    <w:rsid w:val="2D3B78F6"/>
    <w:rsid w:val="2D3C5A1F"/>
    <w:rsid w:val="2D3D0C82"/>
    <w:rsid w:val="2D436FD4"/>
    <w:rsid w:val="2D465D58"/>
    <w:rsid w:val="2D4D0994"/>
    <w:rsid w:val="2D5269EE"/>
    <w:rsid w:val="2D550DDD"/>
    <w:rsid w:val="2D686211"/>
    <w:rsid w:val="2D6D3908"/>
    <w:rsid w:val="2D780E25"/>
    <w:rsid w:val="2D7B5F44"/>
    <w:rsid w:val="2D865FF5"/>
    <w:rsid w:val="2D880661"/>
    <w:rsid w:val="2D8868B3"/>
    <w:rsid w:val="2D9E56F5"/>
    <w:rsid w:val="2DA4664B"/>
    <w:rsid w:val="2DA8567E"/>
    <w:rsid w:val="2DAB4194"/>
    <w:rsid w:val="2DB33930"/>
    <w:rsid w:val="2DB65067"/>
    <w:rsid w:val="2DB66F7C"/>
    <w:rsid w:val="2DB9081B"/>
    <w:rsid w:val="2DC10423"/>
    <w:rsid w:val="2DC21DC5"/>
    <w:rsid w:val="2DCA0C7A"/>
    <w:rsid w:val="2DCB668C"/>
    <w:rsid w:val="2DCD3AA1"/>
    <w:rsid w:val="2DDD3E0B"/>
    <w:rsid w:val="2DE7182C"/>
    <w:rsid w:val="2DFE4332"/>
    <w:rsid w:val="2E0425E4"/>
    <w:rsid w:val="2E0F48DF"/>
    <w:rsid w:val="2E2D48D0"/>
    <w:rsid w:val="2E352597"/>
    <w:rsid w:val="2E36630F"/>
    <w:rsid w:val="2E3E0F1F"/>
    <w:rsid w:val="2E4C739F"/>
    <w:rsid w:val="2E556795"/>
    <w:rsid w:val="2E586286"/>
    <w:rsid w:val="2E667F96"/>
    <w:rsid w:val="2E6764C9"/>
    <w:rsid w:val="2E8226AB"/>
    <w:rsid w:val="2E82753A"/>
    <w:rsid w:val="2E8C23C9"/>
    <w:rsid w:val="2E8E6ACF"/>
    <w:rsid w:val="2E900C5D"/>
    <w:rsid w:val="2E960054"/>
    <w:rsid w:val="2E9F34C1"/>
    <w:rsid w:val="2EA25C4E"/>
    <w:rsid w:val="2EAC3D49"/>
    <w:rsid w:val="2EB909D8"/>
    <w:rsid w:val="2EBA06F2"/>
    <w:rsid w:val="2EC8340B"/>
    <w:rsid w:val="2ECD27D0"/>
    <w:rsid w:val="2ECE1F7F"/>
    <w:rsid w:val="2ED26038"/>
    <w:rsid w:val="2EDE1B52"/>
    <w:rsid w:val="2EE10029"/>
    <w:rsid w:val="2EE31FF3"/>
    <w:rsid w:val="2EE36BFF"/>
    <w:rsid w:val="2EE84298"/>
    <w:rsid w:val="2EF35FAE"/>
    <w:rsid w:val="2EF7419D"/>
    <w:rsid w:val="2F034443"/>
    <w:rsid w:val="2F047256"/>
    <w:rsid w:val="2F05640D"/>
    <w:rsid w:val="2F0B2BFE"/>
    <w:rsid w:val="2F154A8F"/>
    <w:rsid w:val="2F1C5505"/>
    <w:rsid w:val="2F1C5804"/>
    <w:rsid w:val="2F264214"/>
    <w:rsid w:val="2F2C271C"/>
    <w:rsid w:val="2F2F6DB5"/>
    <w:rsid w:val="2F35554E"/>
    <w:rsid w:val="2F57598F"/>
    <w:rsid w:val="2F66082F"/>
    <w:rsid w:val="2F7005BC"/>
    <w:rsid w:val="2F723FC3"/>
    <w:rsid w:val="2F7B30AE"/>
    <w:rsid w:val="2F844B71"/>
    <w:rsid w:val="2F86380B"/>
    <w:rsid w:val="2F925B34"/>
    <w:rsid w:val="2F971030"/>
    <w:rsid w:val="2F977F57"/>
    <w:rsid w:val="2F994DA8"/>
    <w:rsid w:val="2F9A2A9B"/>
    <w:rsid w:val="2F9B7F9E"/>
    <w:rsid w:val="2FD065E6"/>
    <w:rsid w:val="2FD162F0"/>
    <w:rsid w:val="2FD935ED"/>
    <w:rsid w:val="2FD967C5"/>
    <w:rsid w:val="2FD96870"/>
    <w:rsid w:val="2FDE67ED"/>
    <w:rsid w:val="2FE14059"/>
    <w:rsid w:val="2FE31E98"/>
    <w:rsid w:val="2FEA6FE6"/>
    <w:rsid w:val="2FF65D56"/>
    <w:rsid w:val="2FF71DAB"/>
    <w:rsid w:val="30113625"/>
    <w:rsid w:val="30196CD8"/>
    <w:rsid w:val="302613A0"/>
    <w:rsid w:val="30297EDA"/>
    <w:rsid w:val="303440A7"/>
    <w:rsid w:val="303B0C9C"/>
    <w:rsid w:val="304D11CE"/>
    <w:rsid w:val="30580BC9"/>
    <w:rsid w:val="306E1595"/>
    <w:rsid w:val="30716328"/>
    <w:rsid w:val="3078676B"/>
    <w:rsid w:val="307E3A96"/>
    <w:rsid w:val="3083084B"/>
    <w:rsid w:val="3086236F"/>
    <w:rsid w:val="308C6171"/>
    <w:rsid w:val="308E5014"/>
    <w:rsid w:val="309612E7"/>
    <w:rsid w:val="309C2EB0"/>
    <w:rsid w:val="309E4A91"/>
    <w:rsid w:val="309F1F4A"/>
    <w:rsid w:val="30A21A3A"/>
    <w:rsid w:val="30AB4799"/>
    <w:rsid w:val="30B64F45"/>
    <w:rsid w:val="30BA3228"/>
    <w:rsid w:val="30BD4F9B"/>
    <w:rsid w:val="30D27161"/>
    <w:rsid w:val="30D61DBC"/>
    <w:rsid w:val="30DC0DDE"/>
    <w:rsid w:val="30DF5420"/>
    <w:rsid w:val="30EA0F6A"/>
    <w:rsid w:val="30F21A0F"/>
    <w:rsid w:val="30F27389"/>
    <w:rsid w:val="30F535ED"/>
    <w:rsid w:val="31033099"/>
    <w:rsid w:val="310C2BAC"/>
    <w:rsid w:val="31103685"/>
    <w:rsid w:val="3116765F"/>
    <w:rsid w:val="31190EAF"/>
    <w:rsid w:val="311B65C9"/>
    <w:rsid w:val="311E2ED7"/>
    <w:rsid w:val="312B7C81"/>
    <w:rsid w:val="3137443C"/>
    <w:rsid w:val="313B087D"/>
    <w:rsid w:val="31411253"/>
    <w:rsid w:val="31560A4A"/>
    <w:rsid w:val="315619EE"/>
    <w:rsid w:val="315C449C"/>
    <w:rsid w:val="31635BE1"/>
    <w:rsid w:val="317867ED"/>
    <w:rsid w:val="31845C51"/>
    <w:rsid w:val="3192385D"/>
    <w:rsid w:val="3196159F"/>
    <w:rsid w:val="31992E3D"/>
    <w:rsid w:val="319E189A"/>
    <w:rsid w:val="319E48F7"/>
    <w:rsid w:val="31B23EFF"/>
    <w:rsid w:val="31B82709"/>
    <w:rsid w:val="31BC3137"/>
    <w:rsid w:val="31C11945"/>
    <w:rsid w:val="31CB7D10"/>
    <w:rsid w:val="31D05482"/>
    <w:rsid w:val="31E42322"/>
    <w:rsid w:val="31FB5930"/>
    <w:rsid w:val="320421C2"/>
    <w:rsid w:val="32051E42"/>
    <w:rsid w:val="320E3585"/>
    <w:rsid w:val="320F12BF"/>
    <w:rsid w:val="32140412"/>
    <w:rsid w:val="32171227"/>
    <w:rsid w:val="32210CD7"/>
    <w:rsid w:val="32230E6A"/>
    <w:rsid w:val="32235C91"/>
    <w:rsid w:val="32252923"/>
    <w:rsid w:val="32273586"/>
    <w:rsid w:val="322850C0"/>
    <w:rsid w:val="322C1F03"/>
    <w:rsid w:val="322E1D23"/>
    <w:rsid w:val="32340DB8"/>
    <w:rsid w:val="323451A9"/>
    <w:rsid w:val="32400B34"/>
    <w:rsid w:val="3242018E"/>
    <w:rsid w:val="324237B7"/>
    <w:rsid w:val="32674CE9"/>
    <w:rsid w:val="327E5810"/>
    <w:rsid w:val="32827D75"/>
    <w:rsid w:val="32836B91"/>
    <w:rsid w:val="3288092E"/>
    <w:rsid w:val="328C4750"/>
    <w:rsid w:val="328F52A3"/>
    <w:rsid w:val="32901F78"/>
    <w:rsid w:val="329276D7"/>
    <w:rsid w:val="32965CFD"/>
    <w:rsid w:val="329927A4"/>
    <w:rsid w:val="329E6876"/>
    <w:rsid w:val="32B048E2"/>
    <w:rsid w:val="32C50EEA"/>
    <w:rsid w:val="32CD3242"/>
    <w:rsid w:val="32CE4D7E"/>
    <w:rsid w:val="32D97063"/>
    <w:rsid w:val="32DA715F"/>
    <w:rsid w:val="32E225C2"/>
    <w:rsid w:val="32E5634F"/>
    <w:rsid w:val="32E67E0B"/>
    <w:rsid w:val="32EB3845"/>
    <w:rsid w:val="32F26CA9"/>
    <w:rsid w:val="32F80037"/>
    <w:rsid w:val="32F837A8"/>
    <w:rsid w:val="33030444"/>
    <w:rsid w:val="33056A02"/>
    <w:rsid w:val="33072028"/>
    <w:rsid w:val="330802A6"/>
    <w:rsid w:val="33093FF2"/>
    <w:rsid w:val="330E1609"/>
    <w:rsid w:val="33171D8D"/>
    <w:rsid w:val="331C1F78"/>
    <w:rsid w:val="331C5AD4"/>
    <w:rsid w:val="33260700"/>
    <w:rsid w:val="332655BD"/>
    <w:rsid w:val="332B21BB"/>
    <w:rsid w:val="333015F2"/>
    <w:rsid w:val="33310895"/>
    <w:rsid w:val="33331DAB"/>
    <w:rsid w:val="33334A45"/>
    <w:rsid w:val="33357FA2"/>
    <w:rsid w:val="333C0319"/>
    <w:rsid w:val="3342165C"/>
    <w:rsid w:val="33441EA7"/>
    <w:rsid w:val="3346402A"/>
    <w:rsid w:val="334B6320"/>
    <w:rsid w:val="334C7304"/>
    <w:rsid w:val="334E5EA9"/>
    <w:rsid w:val="33581402"/>
    <w:rsid w:val="335A2AA0"/>
    <w:rsid w:val="335E6B36"/>
    <w:rsid w:val="336234CD"/>
    <w:rsid w:val="33650053"/>
    <w:rsid w:val="336C3BFA"/>
    <w:rsid w:val="337103F3"/>
    <w:rsid w:val="337F3335"/>
    <w:rsid w:val="33857B1D"/>
    <w:rsid w:val="338673F1"/>
    <w:rsid w:val="338E62A6"/>
    <w:rsid w:val="3390201E"/>
    <w:rsid w:val="33AD0E22"/>
    <w:rsid w:val="33B26427"/>
    <w:rsid w:val="33B422A6"/>
    <w:rsid w:val="33B73A4E"/>
    <w:rsid w:val="33C417DA"/>
    <w:rsid w:val="33D5696C"/>
    <w:rsid w:val="33D934D4"/>
    <w:rsid w:val="33D939C5"/>
    <w:rsid w:val="33E424B9"/>
    <w:rsid w:val="33F508A6"/>
    <w:rsid w:val="33FB1F69"/>
    <w:rsid w:val="33FE2F6A"/>
    <w:rsid w:val="33FE3E84"/>
    <w:rsid w:val="340053F5"/>
    <w:rsid w:val="340B0678"/>
    <w:rsid w:val="340E07E5"/>
    <w:rsid w:val="34104026"/>
    <w:rsid w:val="34140EA1"/>
    <w:rsid w:val="34181F9A"/>
    <w:rsid w:val="341D5945"/>
    <w:rsid w:val="342015F4"/>
    <w:rsid w:val="3421611A"/>
    <w:rsid w:val="34235BF7"/>
    <w:rsid w:val="342A6B27"/>
    <w:rsid w:val="34340845"/>
    <w:rsid w:val="34364798"/>
    <w:rsid w:val="343766E7"/>
    <w:rsid w:val="344277BC"/>
    <w:rsid w:val="34453AED"/>
    <w:rsid w:val="344C23E9"/>
    <w:rsid w:val="345D45F6"/>
    <w:rsid w:val="34627E5E"/>
    <w:rsid w:val="34647113"/>
    <w:rsid w:val="3474193F"/>
    <w:rsid w:val="347A272D"/>
    <w:rsid w:val="347F4A94"/>
    <w:rsid w:val="34806536"/>
    <w:rsid w:val="3482493D"/>
    <w:rsid w:val="34832F99"/>
    <w:rsid w:val="34834546"/>
    <w:rsid w:val="34845EDA"/>
    <w:rsid w:val="34963664"/>
    <w:rsid w:val="34A464B7"/>
    <w:rsid w:val="34AD6777"/>
    <w:rsid w:val="34C118F5"/>
    <w:rsid w:val="34C20E1D"/>
    <w:rsid w:val="34C44675"/>
    <w:rsid w:val="34C50E05"/>
    <w:rsid w:val="34C53F49"/>
    <w:rsid w:val="34C71A6F"/>
    <w:rsid w:val="34C77705"/>
    <w:rsid w:val="34D04DC8"/>
    <w:rsid w:val="34D166EB"/>
    <w:rsid w:val="34D26565"/>
    <w:rsid w:val="34D57FF3"/>
    <w:rsid w:val="34DF5160"/>
    <w:rsid w:val="34E36FE8"/>
    <w:rsid w:val="34EA0618"/>
    <w:rsid w:val="34EC50F6"/>
    <w:rsid w:val="34F826AA"/>
    <w:rsid w:val="35154ED0"/>
    <w:rsid w:val="351D5B33"/>
    <w:rsid w:val="351E3332"/>
    <w:rsid w:val="3529091B"/>
    <w:rsid w:val="352A658F"/>
    <w:rsid w:val="352C7A87"/>
    <w:rsid w:val="35487054"/>
    <w:rsid w:val="354D1DB2"/>
    <w:rsid w:val="355754E9"/>
    <w:rsid w:val="356063A9"/>
    <w:rsid w:val="356D6C4D"/>
    <w:rsid w:val="356E68AE"/>
    <w:rsid w:val="3574140D"/>
    <w:rsid w:val="3579304E"/>
    <w:rsid w:val="357B4FDA"/>
    <w:rsid w:val="3580410C"/>
    <w:rsid w:val="358356E0"/>
    <w:rsid w:val="35884A8B"/>
    <w:rsid w:val="35887450"/>
    <w:rsid w:val="358C5FA8"/>
    <w:rsid w:val="358F3D6E"/>
    <w:rsid w:val="35935DF5"/>
    <w:rsid w:val="35A27111"/>
    <w:rsid w:val="35AA2B3A"/>
    <w:rsid w:val="35AB052E"/>
    <w:rsid w:val="35B65197"/>
    <w:rsid w:val="35C15DF1"/>
    <w:rsid w:val="35C30488"/>
    <w:rsid w:val="35CF1523"/>
    <w:rsid w:val="35D208A2"/>
    <w:rsid w:val="35D77444"/>
    <w:rsid w:val="35FB549E"/>
    <w:rsid w:val="36017203"/>
    <w:rsid w:val="36033316"/>
    <w:rsid w:val="3603734E"/>
    <w:rsid w:val="36074A7F"/>
    <w:rsid w:val="360C1CB6"/>
    <w:rsid w:val="36177C3A"/>
    <w:rsid w:val="361865BA"/>
    <w:rsid w:val="361C3CFF"/>
    <w:rsid w:val="36206B46"/>
    <w:rsid w:val="3622370B"/>
    <w:rsid w:val="36260A17"/>
    <w:rsid w:val="3632560E"/>
    <w:rsid w:val="3634389E"/>
    <w:rsid w:val="36351AD2"/>
    <w:rsid w:val="363E3490"/>
    <w:rsid w:val="36482669"/>
    <w:rsid w:val="364831FF"/>
    <w:rsid w:val="36496ADA"/>
    <w:rsid w:val="364C5FBF"/>
    <w:rsid w:val="36590DED"/>
    <w:rsid w:val="36591BA9"/>
    <w:rsid w:val="36623B7E"/>
    <w:rsid w:val="36655676"/>
    <w:rsid w:val="366E242B"/>
    <w:rsid w:val="36845B50"/>
    <w:rsid w:val="36852C50"/>
    <w:rsid w:val="36923549"/>
    <w:rsid w:val="36997ABD"/>
    <w:rsid w:val="369A6387"/>
    <w:rsid w:val="369C10E6"/>
    <w:rsid w:val="36A70EDC"/>
    <w:rsid w:val="36B65A93"/>
    <w:rsid w:val="36B75FBF"/>
    <w:rsid w:val="36BA777D"/>
    <w:rsid w:val="36BD0C45"/>
    <w:rsid w:val="36C02C1A"/>
    <w:rsid w:val="36D451CC"/>
    <w:rsid w:val="36E763F9"/>
    <w:rsid w:val="36EE7787"/>
    <w:rsid w:val="36F11025"/>
    <w:rsid w:val="36F34D9D"/>
    <w:rsid w:val="36F4364C"/>
    <w:rsid w:val="36F56D67"/>
    <w:rsid w:val="36F7729B"/>
    <w:rsid w:val="36F9749B"/>
    <w:rsid w:val="36FB1F52"/>
    <w:rsid w:val="37195DD0"/>
    <w:rsid w:val="3726539D"/>
    <w:rsid w:val="372B59F8"/>
    <w:rsid w:val="372F07D3"/>
    <w:rsid w:val="37384EA6"/>
    <w:rsid w:val="37424475"/>
    <w:rsid w:val="374A03F1"/>
    <w:rsid w:val="374D312E"/>
    <w:rsid w:val="375E2A17"/>
    <w:rsid w:val="37601133"/>
    <w:rsid w:val="37643EED"/>
    <w:rsid w:val="376C4B50"/>
    <w:rsid w:val="376D693C"/>
    <w:rsid w:val="377834F5"/>
    <w:rsid w:val="37814FE0"/>
    <w:rsid w:val="378D51F2"/>
    <w:rsid w:val="37924ED6"/>
    <w:rsid w:val="37977E1F"/>
    <w:rsid w:val="37983B97"/>
    <w:rsid w:val="379F5980"/>
    <w:rsid w:val="37A1383F"/>
    <w:rsid w:val="37A21138"/>
    <w:rsid w:val="37A65D5D"/>
    <w:rsid w:val="37A87D97"/>
    <w:rsid w:val="37B9407A"/>
    <w:rsid w:val="37BE0740"/>
    <w:rsid w:val="37C20399"/>
    <w:rsid w:val="37CA4CBA"/>
    <w:rsid w:val="37D26C4E"/>
    <w:rsid w:val="37D74D54"/>
    <w:rsid w:val="37DA39D0"/>
    <w:rsid w:val="37DA7834"/>
    <w:rsid w:val="37E00298"/>
    <w:rsid w:val="37E50D3D"/>
    <w:rsid w:val="37E64902"/>
    <w:rsid w:val="37E92B66"/>
    <w:rsid w:val="37F92167"/>
    <w:rsid w:val="37FE04C8"/>
    <w:rsid w:val="37FE7E9E"/>
    <w:rsid w:val="38194CD8"/>
    <w:rsid w:val="381E5E4A"/>
    <w:rsid w:val="38345C80"/>
    <w:rsid w:val="38393375"/>
    <w:rsid w:val="384B29B7"/>
    <w:rsid w:val="384D51DF"/>
    <w:rsid w:val="385265D9"/>
    <w:rsid w:val="3855693F"/>
    <w:rsid w:val="385C2035"/>
    <w:rsid w:val="38711D03"/>
    <w:rsid w:val="387C536A"/>
    <w:rsid w:val="38831B91"/>
    <w:rsid w:val="38836992"/>
    <w:rsid w:val="38855EC9"/>
    <w:rsid w:val="38937C5C"/>
    <w:rsid w:val="389B1F7E"/>
    <w:rsid w:val="38B302F9"/>
    <w:rsid w:val="38B30C88"/>
    <w:rsid w:val="38B3195E"/>
    <w:rsid w:val="38C83D60"/>
    <w:rsid w:val="38C878DF"/>
    <w:rsid w:val="38CC58A6"/>
    <w:rsid w:val="38D1110E"/>
    <w:rsid w:val="38D34E86"/>
    <w:rsid w:val="38D46E50"/>
    <w:rsid w:val="38D86941"/>
    <w:rsid w:val="38F10EAC"/>
    <w:rsid w:val="38F12CD3"/>
    <w:rsid w:val="38F21E7C"/>
    <w:rsid w:val="38F90665"/>
    <w:rsid w:val="38F94775"/>
    <w:rsid w:val="39016303"/>
    <w:rsid w:val="3905700A"/>
    <w:rsid w:val="39145A30"/>
    <w:rsid w:val="392971ED"/>
    <w:rsid w:val="392C29C6"/>
    <w:rsid w:val="393022D9"/>
    <w:rsid w:val="39325651"/>
    <w:rsid w:val="3935631D"/>
    <w:rsid w:val="393B3739"/>
    <w:rsid w:val="393C259C"/>
    <w:rsid w:val="3948754F"/>
    <w:rsid w:val="394915ED"/>
    <w:rsid w:val="39493F0C"/>
    <w:rsid w:val="39586D71"/>
    <w:rsid w:val="395F02EB"/>
    <w:rsid w:val="395F2A19"/>
    <w:rsid w:val="396265FD"/>
    <w:rsid w:val="397E7E0F"/>
    <w:rsid w:val="398B236F"/>
    <w:rsid w:val="399A3BF6"/>
    <w:rsid w:val="399E6467"/>
    <w:rsid w:val="39AA2330"/>
    <w:rsid w:val="39B266C0"/>
    <w:rsid w:val="39B8407C"/>
    <w:rsid w:val="39BC3B6C"/>
    <w:rsid w:val="39BD1B2B"/>
    <w:rsid w:val="39BE7D6D"/>
    <w:rsid w:val="39BF0DA5"/>
    <w:rsid w:val="39C17AF5"/>
    <w:rsid w:val="39C46EC5"/>
    <w:rsid w:val="39C80763"/>
    <w:rsid w:val="39C87D9D"/>
    <w:rsid w:val="39C922D2"/>
    <w:rsid w:val="39CC0D50"/>
    <w:rsid w:val="39CE684A"/>
    <w:rsid w:val="39CF1DCF"/>
    <w:rsid w:val="39CF549E"/>
    <w:rsid w:val="39D22C1B"/>
    <w:rsid w:val="39D879E9"/>
    <w:rsid w:val="39E66E3B"/>
    <w:rsid w:val="39EB4452"/>
    <w:rsid w:val="39FB069B"/>
    <w:rsid w:val="39FB13B6"/>
    <w:rsid w:val="39FC2F8B"/>
    <w:rsid w:val="39FD4FAD"/>
    <w:rsid w:val="39FE23D7"/>
    <w:rsid w:val="3A033932"/>
    <w:rsid w:val="3A081A7A"/>
    <w:rsid w:val="3A0A3CB0"/>
    <w:rsid w:val="3A102F98"/>
    <w:rsid w:val="3A137505"/>
    <w:rsid w:val="3A1E70B0"/>
    <w:rsid w:val="3A1F5EA9"/>
    <w:rsid w:val="3A242A4A"/>
    <w:rsid w:val="3A296D28"/>
    <w:rsid w:val="3A2B2B4A"/>
    <w:rsid w:val="3A3108D4"/>
    <w:rsid w:val="3A3268FE"/>
    <w:rsid w:val="3A3D46BA"/>
    <w:rsid w:val="3A3E46A5"/>
    <w:rsid w:val="3A443B62"/>
    <w:rsid w:val="3A461688"/>
    <w:rsid w:val="3A490CCE"/>
    <w:rsid w:val="3A53331A"/>
    <w:rsid w:val="3A541FF7"/>
    <w:rsid w:val="3A7C154E"/>
    <w:rsid w:val="3A86417A"/>
    <w:rsid w:val="3A872856"/>
    <w:rsid w:val="3A8728BB"/>
    <w:rsid w:val="3A8827B8"/>
    <w:rsid w:val="3A8A77C7"/>
    <w:rsid w:val="3A8B1791"/>
    <w:rsid w:val="3AA71D15"/>
    <w:rsid w:val="3AAD7959"/>
    <w:rsid w:val="3AB76D1A"/>
    <w:rsid w:val="3AC46FB7"/>
    <w:rsid w:val="3AD66EB0"/>
    <w:rsid w:val="3ADB000B"/>
    <w:rsid w:val="3ADB4506"/>
    <w:rsid w:val="3ADB6274"/>
    <w:rsid w:val="3AF244AC"/>
    <w:rsid w:val="3AF675FE"/>
    <w:rsid w:val="3AF77A81"/>
    <w:rsid w:val="3AFE4695"/>
    <w:rsid w:val="3B007A89"/>
    <w:rsid w:val="3B023089"/>
    <w:rsid w:val="3B051B7D"/>
    <w:rsid w:val="3B0C0D8E"/>
    <w:rsid w:val="3B0C2405"/>
    <w:rsid w:val="3B0E7B56"/>
    <w:rsid w:val="3B196D9D"/>
    <w:rsid w:val="3B1F149D"/>
    <w:rsid w:val="3B245435"/>
    <w:rsid w:val="3B295232"/>
    <w:rsid w:val="3B351E28"/>
    <w:rsid w:val="3B3763D1"/>
    <w:rsid w:val="3B3B4E7C"/>
    <w:rsid w:val="3B3F32BB"/>
    <w:rsid w:val="3B4F27BE"/>
    <w:rsid w:val="3B5F2DA3"/>
    <w:rsid w:val="3B6C3370"/>
    <w:rsid w:val="3B6D1E99"/>
    <w:rsid w:val="3B7168BA"/>
    <w:rsid w:val="3B7641EF"/>
    <w:rsid w:val="3B7827AE"/>
    <w:rsid w:val="3B7B3DB8"/>
    <w:rsid w:val="3B7F1C4D"/>
    <w:rsid w:val="3B891C99"/>
    <w:rsid w:val="3B892174"/>
    <w:rsid w:val="3B8948DC"/>
    <w:rsid w:val="3B8B7C9A"/>
    <w:rsid w:val="3B9D530C"/>
    <w:rsid w:val="3B9F61A6"/>
    <w:rsid w:val="3BA7084C"/>
    <w:rsid w:val="3BAC4E92"/>
    <w:rsid w:val="3BBF746E"/>
    <w:rsid w:val="3BD038FF"/>
    <w:rsid w:val="3BD84B5F"/>
    <w:rsid w:val="3BEA0F0F"/>
    <w:rsid w:val="3BF1014F"/>
    <w:rsid w:val="3C011D0B"/>
    <w:rsid w:val="3C0A36B8"/>
    <w:rsid w:val="3C0C50E3"/>
    <w:rsid w:val="3C1D12C8"/>
    <w:rsid w:val="3C2F6E1E"/>
    <w:rsid w:val="3C4255D5"/>
    <w:rsid w:val="3C4F64BA"/>
    <w:rsid w:val="3C517247"/>
    <w:rsid w:val="3C761FCB"/>
    <w:rsid w:val="3C776174"/>
    <w:rsid w:val="3C7F2444"/>
    <w:rsid w:val="3C906EB5"/>
    <w:rsid w:val="3C917532"/>
    <w:rsid w:val="3C9C1A33"/>
    <w:rsid w:val="3CA13A9A"/>
    <w:rsid w:val="3CA5676A"/>
    <w:rsid w:val="3CB36484"/>
    <w:rsid w:val="3CB61B48"/>
    <w:rsid w:val="3CBD37DB"/>
    <w:rsid w:val="3CBE3E6C"/>
    <w:rsid w:val="3CBE7614"/>
    <w:rsid w:val="3CD218F9"/>
    <w:rsid w:val="3CD62471"/>
    <w:rsid w:val="3CDA245A"/>
    <w:rsid w:val="3CDC4F0F"/>
    <w:rsid w:val="3CE21CB3"/>
    <w:rsid w:val="3CE86EAE"/>
    <w:rsid w:val="3CF278A5"/>
    <w:rsid w:val="3CFE26EE"/>
    <w:rsid w:val="3CFE4EAA"/>
    <w:rsid w:val="3D075D05"/>
    <w:rsid w:val="3D1C0BDC"/>
    <w:rsid w:val="3D1E06B7"/>
    <w:rsid w:val="3D1F64DB"/>
    <w:rsid w:val="3D2333F8"/>
    <w:rsid w:val="3D2E4CBD"/>
    <w:rsid w:val="3D475447"/>
    <w:rsid w:val="3D4F6AA6"/>
    <w:rsid w:val="3D5F318D"/>
    <w:rsid w:val="3D5F5A07"/>
    <w:rsid w:val="3D6709BE"/>
    <w:rsid w:val="3D681C69"/>
    <w:rsid w:val="3D6B4CD6"/>
    <w:rsid w:val="3D710095"/>
    <w:rsid w:val="3D944D91"/>
    <w:rsid w:val="3D9973C0"/>
    <w:rsid w:val="3DB66B25"/>
    <w:rsid w:val="3DBB771F"/>
    <w:rsid w:val="3DCB6A74"/>
    <w:rsid w:val="3DCC334C"/>
    <w:rsid w:val="3DE07723"/>
    <w:rsid w:val="3DE11DF4"/>
    <w:rsid w:val="3DE64C93"/>
    <w:rsid w:val="3DE82F77"/>
    <w:rsid w:val="3DEA3F0F"/>
    <w:rsid w:val="3DEE32CE"/>
    <w:rsid w:val="3DF5749D"/>
    <w:rsid w:val="3DF81D2A"/>
    <w:rsid w:val="3E077380"/>
    <w:rsid w:val="3E0B20DF"/>
    <w:rsid w:val="3E1321C9"/>
    <w:rsid w:val="3E1461B4"/>
    <w:rsid w:val="3E157CEF"/>
    <w:rsid w:val="3E1D4DF6"/>
    <w:rsid w:val="3E1E1057"/>
    <w:rsid w:val="3E217D9E"/>
    <w:rsid w:val="3E255E57"/>
    <w:rsid w:val="3E3331ED"/>
    <w:rsid w:val="3E344619"/>
    <w:rsid w:val="3E3F2FBE"/>
    <w:rsid w:val="3E417A71"/>
    <w:rsid w:val="3E43485C"/>
    <w:rsid w:val="3E444130"/>
    <w:rsid w:val="3E4F1283"/>
    <w:rsid w:val="3E5C2023"/>
    <w:rsid w:val="3E611D98"/>
    <w:rsid w:val="3E65398B"/>
    <w:rsid w:val="3E752DDF"/>
    <w:rsid w:val="3E782FA8"/>
    <w:rsid w:val="3E7C50B8"/>
    <w:rsid w:val="3E7D7438"/>
    <w:rsid w:val="3E7E5894"/>
    <w:rsid w:val="3E80785E"/>
    <w:rsid w:val="3E817133"/>
    <w:rsid w:val="3E86719B"/>
    <w:rsid w:val="3E8C06BB"/>
    <w:rsid w:val="3E9B5D89"/>
    <w:rsid w:val="3E9C3488"/>
    <w:rsid w:val="3E9E1934"/>
    <w:rsid w:val="3EA31BAE"/>
    <w:rsid w:val="3EA66BE2"/>
    <w:rsid w:val="3EB2553E"/>
    <w:rsid w:val="3ECF6BCE"/>
    <w:rsid w:val="3ED51E3D"/>
    <w:rsid w:val="3ED54B2F"/>
    <w:rsid w:val="3ED666C3"/>
    <w:rsid w:val="3EDA0523"/>
    <w:rsid w:val="3EDF4EE5"/>
    <w:rsid w:val="3EE000BD"/>
    <w:rsid w:val="3EF06066"/>
    <w:rsid w:val="3EF277CF"/>
    <w:rsid w:val="3EF5367D"/>
    <w:rsid w:val="3F0238AB"/>
    <w:rsid w:val="3F060986"/>
    <w:rsid w:val="3F101758"/>
    <w:rsid w:val="3F1A64DC"/>
    <w:rsid w:val="3F1E7077"/>
    <w:rsid w:val="3F230DEE"/>
    <w:rsid w:val="3F2830F9"/>
    <w:rsid w:val="3F31298C"/>
    <w:rsid w:val="3F342901"/>
    <w:rsid w:val="3F430624"/>
    <w:rsid w:val="3F45783C"/>
    <w:rsid w:val="3F492FED"/>
    <w:rsid w:val="3F4A1C1A"/>
    <w:rsid w:val="3F4D603A"/>
    <w:rsid w:val="3F516B05"/>
    <w:rsid w:val="3F5D194E"/>
    <w:rsid w:val="3F5D4A04"/>
    <w:rsid w:val="3F685200"/>
    <w:rsid w:val="3F8143A7"/>
    <w:rsid w:val="3F8812B9"/>
    <w:rsid w:val="3F974B05"/>
    <w:rsid w:val="3F982986"/>
    <w:rsid w:val="3F9F7B7F"/>
    <w:rsid w:val="3FA04B59"/>
    <w:rsid w:val="3FA44BD6"/>
    <w:rsid w:val="3FAE3F57"/>
    <w:rsid w:val="3FB3688B"/>
    <w:rsid w:val="3FBE7F13"/>
    <w:rsid w:val="3FC7326B"/>
    <w:rsid w:val="3FC950C5"/>
    <w:rsid w:val="3FCB654C"/>
    <w:rsid w:val="3FD914FF"/>
    <w:rsid w:val="3FE727C0"/>
    <w:rsid w:val="3FE84288"/>
    <w:rsid w:val="3FF027C2"/>
    <w:rsid w:val="3FF658FE"/>
    <w:rsid w:val="3FFB43AD"/>
    <w:rsid w:val="400C0C7E"/>
    <w:rsid w:val="400F0957"/>
    <w:rsid w:val="40161A04"/>
    <w:rsid w:val="40196F93"/>
    <w:rsid w:val="401A339B"/>
    <w:rsid w:val="401E041B"/>
    <w:rsid w:val="402B1A4C"/>
    <w:rsid w:val="402D32AA"/>
    <w:rsid w:val="402E6007"/>
    <w:rsid w:val="402F3D16"/>
    <w:rsid w:val="403C77B5"/>
    <w:rsid w:val="40453737"/>
    <w:rsid w:val="404A03E0"/>
    <w:rsid w:val="40582115"/>
    <w:rsid w:val="406F5781"/>
    <w:rsid w:val="4071233B"/>
    <w:rsid w:val="407A3EC1"/>
    <w:rsid w:val="407A6407"/>
    <w:rsid w:val="4081166C"/>
    <w:rsid w:val="40855FAC"/>
    <w:rsid w:val="40856FC5"/>
    <w:rsid w:val="4097048B"/>
    <w:rsid w:val="409F1AF2"/>
    <w:rsid w:val="40A275BA"/>
    <w:rsid w:val="40A614D2"/>
    <w:rsid w:val="40A85AE7"/>
    <w:rsid w:val="40B24F8D"/>
    <w:rsid w:val="40BB21A0"/>
    <w:rsid w:val="40C409BD"/>
    <w:rsid w:val="40D43E92"/>
    <w:rsid w:val="40D8548F"/>
    <w:rsid w:val="40DE2A28"/>
    <w:rsid w:val="40E1210B"/>
    <w:rsid w:val="40ED4F53"/>
    <w:rsid w:val="40F16B67"/>
    <w:rsid w:val="40FB4D50"/>
    <w:rsid w:val="40FC5196"/>
    <w:rsid w:val="41004C87"/>
    <w:rsid w:val="410659BB"/>
    <w:rsid w:val="410B117F"/>
    <w:rsid w:val="411306D9"/>
    <w:rsid w:val="411617A1"/>
    <w:rsid w:val="41173D7E"/>
    <w:rsid w:val="411918A4"/>
    <w:rsid w:val="411D6AAC"/>
    <w:rsid w:val="411E09D0"/>
    <w:rsid w:val="412D5350"/>
    <w:rsid w:val="412F3758"/>
    <w:rsid w:val="4132239B"/>
    <w:rsid w:val="41387B1A"/>
    <w:rsid w:val="413B6E60"/>
    <w:rsid w:val="414A1B98"/>
    <w:rsid w:val="414A7B75"/>
    <w:rsid w:val="414C7ECC"/>
    <w:rsid w:val="414F67C8"/>
    <w:rsid w:val="416845DA"/>
    <w:rsid w:val="418705C4"/>
    <w:rsid w:val="418751B6"/>
    <w:rsid w:val="41903E34"/>
    <w:rsid w:val="41926E18"/>
    <w:rsid w:val="4194717D"/>
    <w:rsid w:val="41954BA0"/>
    <w:rsid w:val="41A01FC6"/>
    <w:rsid w:val="41A53138"/>
    <w:rsid w:val="41AE46E3"/>
    <w:rsid w:val="41B121DF"/>
    <w:rsid w:val="41B61F00"/>
    <w:rsid w:val="41BA35D0"/>
    <w:rsid w:val="41C03342"/>
    <w:rsid w:val="41C66966"/>
    <w:rsid w:val="41E214C0"/>
    <w:rsid w:val="41E33F5C"/>
    <w:rsid w:val="41E95538"/>
    <w:rsid w:val="41F65938"/>
    <w:rsid w:val="41F83BB0"/>
    <w:rsid w:val="4200449D"/>
    <w:rsid w:val="4210071B"/>
    <w:rsid w:val="421755C1"/>
    <w:rsid w:val="421D53C4"/>
    <w:rsid w:val="42280D92"/>
    <w:rsid w:val="423A3BCC"/>
    <w:rsid w:val="423F533B"/>
    <w:rsid w:val="4242307D"/>
    <w:rsid w:val="42423714"/>
    <w:rsid w:val="424566C9"/>
    <w:rsid w:val="424741EF"/>
    <w:rsid w:val="424E57D2"/>
    <w:rsid w:val="4252548F"/>
    <w:rsid w:val="4252760F"/>
    <w:rsid w:val="42530DE6"/>
    <w:rsid w:val="42585174"/>
    <w:rsid w:val="4269685C"/>
    <w:rsid w:val="426B25D4"/>
    <w:rsid w:val="42730869"/>
    <w:rsid w:val="42736CB4"/>
    <w:rsid w:val="42846FB4"/>
    <w:rsid w:val="428C38C0"/>
    <w:rsid w:val="428D7B68"/>
    <w:rsid w:val="429813F9"/>
    <w:rsid w:val="429E35FF"/>
    <w:rsid w:val="42A25018"/>
    <w:rsid w:val="42AD52B2"/>
    <w:rsid w:val="42B20200"/>
    <w:rsid w:val="42B26C49"/>
    <w:rsid w:val="42B80EC5"/>
    <w:rsid w:val="42BB0811"/>
    <w:rsid w:val="42C04D8D"/>
    <w:rsid w:val="42C700D1"/>
    <w:rsid w:val="42D0327B"/>
    <w:rsid w:val="42D0576F"/>
    <w:rsid w:val="42DD74F3"/>
    <w:rsid w:val="42DD79EA"/>
    <w:rsid w:val="42DE0CD7"/>
    <w:rsid w:val="42F26851"/>
    <w:rsid w:val="42F32089"/>
    <w:rsid w:val="42F70401"/>
    <w:rsid w:val="42FC76D0"/>
    <w:rsid w:val="42FE2BA4"/>
    <w:rsid w:val="43097AB0"/>
    <w:rsid w:val="430E1A41"/>
    <w:rsid w:val="43141E8C"/>
    <w:rsid w:val="43176C07"/>
    <w:rsid w:val="431B4053"/>
    <w:rsid w:val="431B4163"/>
    <w:rsid w:val="43291B47"/>
    <w:rsid w:val="432A7D99"/>
    <w:rsid w:val="432B7216"/>
    <w:rsid w:val="43370708"/>
    <w:rsid w:val="433A6FE6"/>
    <w:rsid w:val="43402B23"/>
    <w:rsid w:val="43480868"/>
    <w:rsid w:val="4350713C"/>
    <w:rsid w:val="43566DE0"/>
    <w:rsid w:val="436037BB"/>
    <w:rsid w:val="436653E0"/>
    <w:rsid w:val="436F293C"/>
    <w:rsid w:val="437318B1"/>
    <w:rsid w:val="437B46D2"/>
    <w:rsid w:val="43832903"/>
    <w:rsid w:val="43855DF3"/>
    <w:rsid w:val="43882D11"/>
    <w:rsid w:val="438A7056"/>
    <w:rsid w:val="438B3405"/>
    <w:rsid w:val="4391739F"/>
    <w:rsid w:val="439E7EF0"/>
    <w:rsid w:val="43A37B4B"/>
    <w:rsid w:val="43B26206"/>
    <w:rsid w:val="43B818DF"/>
    <w:rsid w:val="43C01B77"/>
    <w:rsid w:val="43C4431A"/>
    <w:rsid w:val="43C6387D"/>
    <w:rsid w:val="43CD6AFF"/>
    <w:rsid w:val="43DA67B6"/>
    <w:rsid w:val="43E13B9D"/>
    <w:rsid w:val="43F263DD"/>
    <w:rsid w:val="43F54DA9"/>
    <w:rsid w:val="43F565F9"/>
    <w:rsid w:val="440055FD"/>
    <w:rsid w:val="44093E52"/>
    <w:rsid w:val="44184683"/>
    <w:rsid w:val="441B242B"/>
    <w:rsid w:val="4420263B"/>
    <w:rsid w:val="4434410B"/>
    <w:rsid w:val="44387433"/>
    <w:rsid w:val="443B7E95"/>
    <w:rsid w:val="443C2B2F"/>
    <w:rsid w:val="444404EC"/>
    <w:rsid w:val="444E56F2"/>
    <w:rsid w:val="4450382F"/>
    <w:rsid w:val="44507864"/>
    <w:rsid w:val="44515E32"/>
    <w:rsid w:val="445B2765"/>
    <w:rsid w:val="44616F25"/>
    <w:rsid w:val="44663053"/>
    <w:rsid w:val="446A45CF"/>
    <w:rsid w:val="4478161D"/>
    <w:rsid w:val="448654A3"/>
    <w:rsid w:val="448718D0"/>
    <w:rsid w:val="448C7A47"/>
    <w:rsid w:val="44A17E6D"/>
    <w:rsid w:val="44B951CC"/>
    <w:rsid w:val="44C002B6"/>
    <w:rsid w:val="44CB1108"/>
    <w:rsid w:val="44CC6046"/>
    <w:rsid w:val="44CD14E0"/>
    <w:rsid w:val="44CE5A6E"/>
    <w:rsid w:val="44DA759D"/>
    <w:rsid w:val="44E73A68"/>
    <w:rsid w:val="44F06DC0"/>
    <w:rsid w:val="44F20B0B"/>
    <w:rsid w:val="44F9613B"/>
    <w:rsid w:val="44FC551F"/>
    <w:rsid w:val="45004FE0"/>
    <w:rsid w:val="45010FB7"/>
    <w:rsid w:val="4508235C"/>
    <w:rsid w:val="451E56DB"/>
    <w:rsid w:val="4521341D"/>
    <w:rsid w:val="452151CC"/>
    <w:rsid w:val="45232EC1"/>
    <w:rsid w:val="452E5F4C"/>
    <w:rsid w:val="4530540F"/>
    <w:rsid w:val="45375AF0"/>
    <w:rsid w:val="45392515"/>
    <w:rsid w:val="45505E78"/>
    <w:rsid w:val="4551309A"/>
    <w:rsid w:val="45612018"/>
    <w:rsid w:val="45626034"/>
    <w:rsid w:val="456350D1"/>
    <w:rsid w:val="456A0186"/>
    <w:rsid w:val="456A747C"/>
    <w:rsid w:val="45702F25"/>
    <w:rsid w:val="45737BDF"/>
    <w:rsid w:val="457B4187"/>
    <w:rsid w:val="457C68A6"/>
    <w:rsid w:val="458946E9"/>
    <w:rsid w:val="458F482B"/>
    <w:rsid w:val="45A47C0E"/>
    <w:rsid w:val="45AD2F03"/>
    <w:rsid w:val="45B5108C"/>
    <w:rsid w:val="45B53306"/>
    <w:rsid w:val="45BE5A18"/>
    <w:rsid w:val="45C36283"/>
    <w:rsid w:val="45C67B21"/>
    <w:rsid w:val="45CD0EAF"/>
    <w:rsid w:val="45D2616E"/>
    <w:rsid w:val="45D64F0E"/>
    <w:rsid w:val="45E4410A"/>
    <w:rsid w:val="45ED50AE"/>
    <w:rsid w:val="45FB77CB"/>
    <w:rsid w:val="45FE550D"/>
    <w:rsid w:val="46050762"/>
    <w:rsid w:val="46081EE8"/>
    <w:rsid w:val="46405B25"/>
    <w:rsid w:val="46487FC8"/>
    <w:rsid w:val="464B69A4"/>
    <w:rsid w:val="46577FD6"/>
    <w:rsid w:val="46586568"/>
    <w:rsid w:val="465A0995"/>
    <w:rsid w:val="465A4F2F"/>
    <w:rsid w:val="465D4A44"/>
    <w:rsid w:val="466A5EE3"/>
    <w:rsid w:val="46717A8D"/>
    <w:rsid w:val="4678706D"/>
    <w:rsid w:val="467B0788"/>
    <w:rsid w:val="4690085B"/>
    <w:rsid w:val="469C329E"/>
    <w:rsid w:val="469D2F78"/>
    <w:rsid w:val="46AE2A8F"/>
    <w:rsid w:val="46BE16EB"/>
    <w:rsid w:val="46C344C2"/>
    <w:rsid w:val="46C44060"/>
    <w:rsid w:val="46C87FF5"/>
    <w:rsid w:val="46CE4EDF"/>
    <w:rsid w:val="46D155B4"/>
    <w:rsid w:val="46D36999"/>
    <w:rsid w:val="46D44E24"/>
    <w:rsid w:val="46D955A7"/>
    <w:rsid w:val="46DA0A83"/>
    <w:rsid w:val="46E67B6A"/>
    <w:rsid w:val="46E82445"/>
    <w:rsid w:val="46EB4F16"/>
    <w:rsid w:val="46F06F2E"/>
    <w:rsid w:val="46F25071"/>
    <w:rsid w:val="46F30DEA"/>
    <w:rsid w:val="47044F0A"/>
    <w:rsid w:val="471054F8"/>
    <w:rsid w:val="47133957"/>
    <w:rsid w:val="471C3E9C"/>
    <w:rsid w:val="4723347D"/>
    <w:rsid w:val="47263901"/>
    <w:rsid w:val="47275169"/>
    <w:rsid w:val="472865F9"/>
    <w:rsid w:val="47314840"/>
    <w:rsid w:val="473E5F43"/>
    <w:rsid w:val="47427425"/>
    <w:rsid w:val="47461EDC"/>
    <w:rsid w:val="475C794F"/>
    <w:rsid w:val="475E44B5"/>
    <w:rsid w:val="476C2C72"/>
    <w:rsid w:val="476E5B6C"/>
    <w:rsid w:val="477952E8"/>
    <w:rsid w:val="478B538F"/>
    <w:rsid w:val="478D3956"/>
    <w:rsid w:val="478F7A25"/>
    <w:rsid w:val="47A07E0C"/>
    <w:rsid w:val="47A10846"/>
    <w:rsid w:val="47A345BE"/>
    <w:rsid w:val="47A8470F"/>
    <w:rsid w:val="47B076B0"/>
    <w:rsid w:val="47B75973"/>
    <w:rsid w:val="47BB7DA2"/>
    <w:rsid w:val="47BE0BDB"/>
    <w:rsid w:val="47C22635"/>
    <w:rsid w:val="47C80647"/>
    <w:rsid w:val="47CE2C39"/>
    <w:rsid w:val="47D604EF"/>
    <w:rsid w:val="47E0311C"/>
    <w:rsid w:val="47E627A5"/>
    <w:rsid w:val="47F06273"/>
    <w:rsid w:val="47FB4A3E"/>
    <w:rsid w:val="48003887"/>
    <w:rsid w:val="48044A94"/>
    <w:rsid w:val="48150993"/>
    <w:rsid w:val="481B3E57"/>
    <w:rsid w:val="481C516B"/>
    <w:rsid w:val="48207910"/>
    <w:rsid w:val="482C6361"/>
    <w:rsid w:val="48311BC7"/>
    <w:rsid w:val="483B0352"/>
    <w:rsid w:val="483B2357"/>
    <w:rsid w:val="483D1D78"/>
    <w:rsid w:val="48401E0D"/>
    <w:rsid w:val="48431100"/>
    <w:rsid w:val="484C255F"/>
    <w:rsid w:val="48546AD3"/>
    <w:rsid w:val="4870272E"/>
    <w:rsid w:val="487B2E45"/>
    <w:rsid w:val="4886557A"/>
    <w:rsid w:val="488720A5"/>
    <w:rsid w:val="488D240B"/>
    <w:rsid w:val="488E0DCA"/>
    <w:rsid w:val="48914416"/>
    <w:rsid w:val="48916BBC"/>
    <w:rsid w:val="489469EE"/>
    <w:rsid w:val="48A72C1A"/>
    <w:rsid w:val="48B128F2"/>
    <w:rsid w:val="48B3438D"/>
    <w:rsid w:val="48B34736"/>
    <w:rsid w:val="48B44AB5"/>
    <w:rsid w:val="48B620E1"/>
    <w:rsid w:val="48B63E7D"/>
    <w:rsid w:val="48C22822"/>
    <w:rsid w:val="48C52AC1"/>
    <w:rsid w:val="48D32E8F"/>
    <w:rsid w:val="48DC7D87"/>
    <w:rsid w:val="48E24C72"/>
    <w:rsid w:val="48F86873"/>
    <w:rsid w:val="490539F1"/>
    <w:rsid w:val="4908076E"/>
    <w:rsid w:val="490D0C27"/>
    <w:rsid w:val="490E5C22"/>
    <w:rsid w:val="49115557"/>
    <w:rsid w:val="49155047"/>
    <w:rsid w:val="49234763"/>
    <w:rsid w:val="49234856"/>
    <w:rsid w:val="49285078"/>
    <w:rsid w:val="494E0559"/>
    <w:rsid w:val="495D26A5"/>
    <w:rsid w:val="49717B81"/>
    <w:rsid w:val="49736D23"/>
    <w:rsid w:val="49764214"/>
    <w:rsid w:val="497F7553"/>
    <w:rsid w:val="499637FE"/>
    <w:rsid w:val="499A554C"/>
    <w:rsid w:val="499B5F76"/>
    <w:rsid w:val="49A61735"/>
    <w:rsid w:val="49A90533"/>
    <w:rsid w:val="49AB1508"/>
    <w:rsid w:val="49B132F5"/>
    <w:rsid w:val="49B30B07"/>
    <w:rsid w:val="49B44EF2"/>
    <w:rsid w:val="49D92294"/>
    <w:rsid w:val="49DA0653"/>
    <w:rsid w:val="49DC7715"/>
    <w:rsid w:val="49E60F60"/>
    <w:rsid w:val="49E66A55"/>
    <w:rsid w:val="49E97107"/>
    <w:rsid w:val="49F6580C"/>
    <w:rsid w:val="49FC181A"/>
    <w:rsid w:val="4A0001BD"/>
    <w:rsid w:val="4A023139"/>
    <w:rsid w:val="4A054796"/>
    <w:rsid w:val="4A0C1722"/>
    <w:rsid w:val="4A1C0C8E"/>
    <w:rsid w:val="4A240477"/>
    <w:rsid w:val="4A2808DB"/>
    <w:rsid w:val="4A286FFC"/>
    <w:rsid w:val="4A4236FE"/>
    <w:rsid w:val="4A4E3149"/>
    <w:rsid w:val="4A4F0A62"/>
    <w:rsid w:val="4A5A08C7"/>
    <w:rsid w:val="4A6122EA"/>
    <w:rsid w:val="4A686E5C"/>
    <w:rsid w:val="4A6D23AC"/>
    <w:rsid w:val="4A710AA3"/>
    <w:rsid w:val="4A72164F"/>
    <w:rsid w:val="4A732ADF"/>
    <w:rsid w:val="4A745D9D"/>
    <w:rsid w:val="4A792F84"/>
    <w:rsid w:val="4A7B576F"/>
    <w:rsid w:val="4A8147BB"/>
    <w:rsid w:val="4A991BFA"/>
    <w:rsid w:val="4A9C3D23"/>
    <w:rsid w:val="4AA169E9"/>
    <w:rsid w:val="4AA258AB"/>
    <w:rsid w:val="4AA76173"/>
    <w:rsid w:val="4AAF5028"/>
    <w:rsid w:val="4AB70741"/>
    <w:rsid w:val="4AB97C54"/>
    <w:rsid w:val="4AC966AD"/>
    <w:rsid w:val="4AD14F9E"/>
    <w:rsid w:val="4AD570AA"/>
    <w:rsid w:val="4AE0056A"/>
    <w:rsid w:val="4AE208F9"/>
    <w:rsid w:val="4AE20F59"/>
    <w:rsid w:val="4AF561A9"/>
    <w:rsid w:val="4B020A9D"/>
    <w:rsid w:val="4B1405F6"/>
    <w:rsid w:val="4B1A0735"/>
    <w:rsid w:val="4B242A30"/>
    <w:rsid w:val="4B3727CF"/>
    <w:rsid w:val="4B3B0528"/>
    <w:rsid w:val="4B3D2B25"/>
    <w:rsid w:val="4B426B3A"/>
    <w:rsid w:val="4B435E28"/>
    <w:rsid w:val="4B4A42B2"/>
    <w:rsid w:val="4B4C0AC8"/>
    <w:rsid w:val="4B5D52E4"/>
    <w:rsid w:val="4B607478"/>
    <w:rsid w:val="4B7233A0"/>
    <w:rsid w:val="4B7508EB"/>
    <w:rsid w:val="4B7C0820"/>
    <w:rsid w:val="4B82396D"/>
    <w:rsid w:val="4B83098E"/>
    <w:rsid w:val="4B8F611F"/>
    <w:rsid w:val="4B9831B2"/>
    <w:rsid w:val="4BA16207"/>
    <w:rsid w:val="4BA71856"/>
    <w:rsid w:val="4BB30D0B"/>
    <w:rsid w:val="4BB43672"/>
    <w:rsid w:val="4BB95C9D"/>
    <w:rsid w:val="4BBA5AD8"/>
    <w:rsid w:val="4BC32EDC"/>
    <w:rsid w:val="4BC85ACF"/>
    <w:rsid w:val="4BC95CA2"/>
    <w:rsid w:val="4BD034A7"/>
    <w:rsid w:val="4BE11724"/>
    <w:rsid w:val="4BE40AED"/>
    <w:rsid w:val="4BE573B4"/>
    <w:rsid w:val="4BE77D9B"/>
    <w:rsid w:val="4BF076A6"/>
    <w:rsid w:val="4BF227B8"/>
    <w:rsid w:val="4BF54CBC"/>
    <w:rsid w:val="4BF7220D"/>
    <w:rsid w:val="4BF76B91"/>
    <w:rsid w:val="4C043151"/>
    <w:rsid w:val="4C0D2AAF"/>
    <w:rsid w:val="4C14190A"/>
    <w:rsid w:val="4C150DF5"/>
    <w:rsid w:val="4C2004D2"/>
    <w:rsid w:val="4C213D03"/>
    <w:rsid w:val="4C35316B"/>
    <w:rsid w:val="4C3819A6"/>
    <w:rsid w:val="4C3A6B73"/>
    <w:rsid w:val="4C3C28EB"/>
    <w:rsid w:val="4C487D39"/>
    <w:rsid w:val="4C49300B"/>
    <w:rsid w:val="4C4A0649"/>
    <w:rsid w:val="4C53598B"/>
    <w:rsid w:val="4C536E11"/>
    <w:rsid w:val="4C5A2B92"/>
    <w:rsid w:val="4C642CA9"/>
    <w:rsid w:val="4C6B0BE3"/>
    <w:rsid w:val="4C71266F"/>
    <w:rsid w:val="4C7C1670"/>
    <w:rsid w:val="4C7D5CAE"/>
    <w:rsid w:val="4C7E5ECA"/>
    <w:rsid w:val="4C876AA5"/>
    <w:rsid w:val="4C89181E"/>
    <w:rsid w:val="4C8C5620"/>
    <w:rsid w:val="4C945727"/>
    <w:rsid w:val="4C950270"/>
    <w:rsid w:val="4C960985"/>
    <w:rsid w:val="4C9F1402"/>
    <w:rsid w:val="4CB03817"/>
    <w:rsid w:val="4CBF7917"/>
    <w:rsid w:val="4CC052CA"/>
    <w:rsid w:val="4CC2070E"/>
    <w:rsid w:val="4CC3183F"/>
    <w:rsid w:val="4CCA4A7E"/>
    <w:rsid w:val="4CD24250"/>
    <w:rsid w:val="4CE30D82"/>
    <w:rsid w:val="4CE76CE5"/>
    <w:rsid w:val="4CF65190"/>
    <w:rsid w:val="4CFA6A2E"/>
    <w:rsid w:val="4CFB2556"/>
    <w:rsid w:val="4D0813FE"/>
    <w:rsid w:val="4D08431F"/>
    <w:rsid w:val="4D0D7727"/>
    <w:rsid w:val="4D0E00FB"/>
    <w:rsid w:val="4D176606"/>
    <w:rsid w:val="4D1906D8"/>
    <w:rsid w:val="4D225F85"/>
    <w:rsid w:val="4D2A0004"/>
    <w:rsid w:val="4D362ABF"/>
    <w:rsid w:val="4D36558C"/>
    <w:rsid w:val="4D454314"/>
    <w:rsid w:val="4D471D29"/>
    <w:rsid w:val="4D471EEE"/>
    <w:rsid w:val="4D491731"/>
    <w:rsid w:val="4D586B91"/>
    <w:rsid w:val="4D6538AB"/>
    <w:rsid w:val="4D685446"/>
    <w:rsid w:val="4D697710"/>
    <w:rsid w:val="4D763D72"/>
    <w:rsid w:val="4D7A191D"/>
    <w:rsid w:val="4D93478D"/>
    <w:rsid w:val="4DA40C2B"/>
    <w:rsid w:val="4DA649A0"/>
    <w:rsid w:val="4DA929B3"/>
    <w:rsid w:val="4DB13F59"/>
    <w:rsid w:val="4DB26A87"/>
    <w:rsid w:val="4DB41BC9"/>
    <w:rsid w:val="4DC50327"/>
    <w:rsid w:val="4DCA75CA"/>
    <w:rsid w:val="4DCD442E"/>
    <w:rsid w:val="4DD72461"/>
    <w:rsid w:val="4DDD6610"/>
    <w:rsid w:val="4DEC4FB0"/>
    <w:rsid w:val="4DF07E31"/>
    <w:rsid w:val="4DFE60AA"/>
    <w:rsid w:val="4DFF0847"/>
    <w:rsid w:val="4E04568A"/>
    <w:rsid w:val="4E075D8A"/>
    <w:rsid w:val="4E080ABC"/>
    <w:rsid w:val="4E0B218A"/>
    <w:rsid w:val="4E113590"/>
    <w:rsid w:val="4E140649"/>
    <w:rsid w:val="4E151645"/>
    <w:rsid w:val="4E1646B4"/>
    <w:rsid w:val="4E235CBA"/>
    <w:rsid w:val="4E2F016C"/>
    <w:rsid w:val="4E310591"/>
    <w:rsid w:val="4E31109D"/>
    <w:rsid w:val="4E31192F"/>
    <w:rsid w:val="4E361CE8"/>
    <w:rsid w:val="4E4F7E23"/>
    <w:rsid w:val="4E50267E"/>
    <w:rsid w:val="4E6D2B88"/>
    <w:rsid w:val="4E6E427E"/>
    <w:rsid w:val="4E73012D"/>
    <w:rsid w:val="4E737068"/>
    <w:rsid w:val="4E7445BE"/>
    <w:rsid w:val="4E792D2D"/>
    <w:rsid w:val="4E7A08D1"/>
    <w:rsid w:val="4E7C3473"/>
    <w:rsid w:val="4E816CDB"/>
    <w:rsid w:val="4E89258D"/>
    <w:rsid w:val="4E94790E"/>
    <w:rsid w:val="4E9A2B0C"/>
    <w:rsid w:val="4E9B7D9D"/>
    <w:rsid w:val="4E9C0BC5"/>
    <w:rsid w:val="4E9E163B"/>
    <w:rsid w:val="4EB32F14"/>
    <w:rsid w:val="4EC00FAD"/>
    <w:rsid w:val="4EC92B5C"/>
    <w:rsid w:val="4ECD3D05"/>
    <w:rsid w:val="4ED03489"/>
    <w:rsid w:val="4EEA4255"/>
    <w:rsid w:val="4EF16274"/>
    <w:rsid w:val="4EFB6A8D"/>
    <w:rsid w:val="4F065447"/>
    <w:rsid w:val="4F191063"/>
    <w:rsid w:val="4F2526DE"/>
    <w:rsid w:val="4F29184C"/>
    <w:rsid w:val="4F2A14D9"/>
    <w:rsid w:val="4F406709"/>
    <w:rsid w:val="4F4731B4"/>
    <w:rsid w:val="4F4E2B75"/>
    <w:rsid w:val="4F4E2FA8"/>
    <w:rsid w:val="4F504944"/>
    <w:rsid w:val="4F5477AA"/>
    <w:rsid w:val="4F5616DF"/>
    <w:rsid w:val="4F5B0919"/>
    <w:rsid w:val="4F5D32A4"/>
    <w:rsid w:val="4F5E5E6E"/>
    <w:rsid w:val="4F642884"/>
    <w:rsid w:val="4F676757"/>
    <w:rsid w:val="4F70516D"/>
    <w:rsid w:val="4F741FF8"/>
    <w:rsid w:val="4F7640D9"/>
    <w:rsid w:val="4F784B91"/>
    <w:rsid w:val="4F7C1CC9"/>
    <w:rsid w:val="4F876573"/>
    <w:rsid w:val="4F8E3227"/>
    <w:rsid w:val="4F912F4E"/>
    <w:rsid w:val="4F9254B8"/>
    <w:rsid w:val="4F9843DC"/>
    <w:rsid w:val="4F9D0C0C"/>
    <w:rsid w:val="4FA63C04"/>
    <w:rsid w:val="4FAD69F1"/>
    <w:rsid w:val="4FB44166"/>
    <w:rsid w:val="4FB5665A"/>
    <w:rsid w:val="4FC06758"/>
    <w:rsid w:val="4FC21359"/>
    <w:rsid w:val="4FC62A8C"/>
    <w:rsid w:val="4FCB183F"/>
    <w:rsid w:val="4FCF1174"/>
    <w:rsid w:val="4FE047F5"/>
    <w:rsid w:val="4FE20F0D"/>
    <w:rsid w:val="4FE51552"/>
    <w:rsid w:val="4FE614EB"/>
    <w:rsid w:val="4FE87012"/>
    <w:rsid w:val="4FEB4D54"/>
    <w:rsid w:val="4FED50D3"/>
    <w:rsid w:val="4FF260E2"/>
    <w:rsid w:val="4FFC486B"/>
    <w:rsid w:val="500205F0"/>
    <w:rsid w:val="50027F99"/>
    <w:rsid w:val="500A580F"/>
    <w:rsid w:val="500E2419"/>
    <w:rsid w:val="501C4125"/>
    <w:rsid w:val="501E3E9C"/>
    <w:rsid w:val="50233F34"/>
    <w:rsid w:val="503B1837"/>
    <w:rsid w:val="504F0E3F"/>
    <w:rsid w:val="50504C4B"/>
    <w:rsid w:val="505D3113"/>
    <w:rsid w:val="50692AA8"/>
    <w:rsid w:val="506A3C8E"/>
    <w:rsid w:val="50720FD1"/>
    <w:rsid w:val="507D215B"/>
    <w:rsid w:val="50811214"/>
    <w:rsid w:val="5086130F"/>
    <w:rsid w:val="50952C38"/>
    <w:rsid w:val="509943FC"/>
    <w:rsid w:val="509C6E7C"/>
    <w:rsid w:val="50AC6968"/>
    <w:rsid w:val="50AE5470"/>
    <w:rsid w:val="50AF7B2F"/>
    <w:rsid w:val="50B9432B"/>
    <w:rsid w:val="50C05441"/>
    <w:rsid w:val="50C35389"/>
    <w:rsid w:val="50C730CB"/>
    <w:rsid w:val="50C86FD2"/>
    <w:rsid w:val="50CC1AC6"/>
    <w:rsid w:val="50D13F4A"/>
    <w:rsid w:val="50D373FA"/>
    <w:rsid w:val="50D80DA8"/>
    <w:rsid w:val="50E40448"/>
    <w:rsid w:val="50ED7977"/>
    <w:rsid w:val="51234079"/>
    <w:rsid w:val="512741C4"/>
    <w:rsid w:val="512D4760"/>
    <w:rsid w:val="512F2A1E"/>
    <w:rsid w:val="513123AE"/>
    <w:rsid w:val="51324FD6"/>
    <w:rsid w:val="513424C7"/>
    <w:rsid w:val="513B5867"/>
    <w:rsid w:val="514D1512"/>
    <w:rsid w:val="514E636D"/>
    <w:rsid w:val="5162104E"/>
    <w:rsid w:val="51647E65"/>
    <w:rsid w:val="516B4BE6"/>
    <w:rsid w:val="516F65E1"/>
    <w:rsid w:val="51791EEB"/>
    <w:rsid w:val="517934BC"/>
    <w:rsid w:val="51823496"/>
    <w:rsid w:val="518A568C"/>
    <w:rsid w:val="51905BB3"/>
    <w:rsid w:val="51912D1E"/>
    <w:rsid w:val="51961750"/>
    <w:rsid w:val="51986815"/>
    <w:rsid w:val="51991A9C"/>
    <w:rsid w:val="519B6F0C"/>
    <w:rsid w:val="51AD23AB"/>
    <w:rsid w:val="51BD0CE5"/>
    <w:rsid w:val="51C33452"/>
    <w:rsid w:val="51E11F6A"/>
    <w:rsid w:val="51E8014E"/>
    <w:rsid w:val="51E8498B"/>
    <w:rsid w:val="51F65F8B"/>
    <w:rsid w:val="51FF14CF"/>
    <w:rsid w:val="51FF6894"/>
    <w:rsid w:val="520D17BC"/>
    <w:rsid w:val="52243698"/>
    <w:rsid w:val="522A3A8F"/>
    <w:rsid w:val="522B254D"/>
    <w:rsid w:val="522E2CD6"/>
    <w:rsid w:val="522E717A"/>
    <w:rsid w:val="52324DF2"/>
    <w:rsid w:val="52384FCA"/>
    <w:rsid w:val="525A1D1D"/>
    <w:rsid w:val="52610D67"/>
    <w:rsid w:val="526A1C3E"/>
    <w:rsid w:val="526D2957"/>
    <w:rsid w:val="52732172"/>
    <w:rsid w:val="527561C5"/>
    <w:rsid w:val="52891C7E"/>
    <w:rsid w:val="528F038A"/>
    <w:rsid w:val="52917701"/>
    <w:rsid w:val="529C5AA3"/>
    <w:rsid w:val="52AB3EA4"/>
    <w:rsid w:val="52AC6214"/>
    <w:rsid w:val="52AD62F0"/>
    <w:rsid w:val="52B0605F"/>
    <w:rsid w:val="52B2292A"/>
    <w:rsid w:val="52C021F7"/>
    <w:rsid w:val="52C11D9C"/>
    <w:rsid w:val="52C27FEE"/>
    <w:rsid w:val="52CC2C1B"/>
    <w:rsid w:val="52D34051"/>
    <w:rsid w:val="52D3538C"/>
    <w:rsid w:val="52D35F1E"/>
    <w:rsid w:val="52D41ACF"/>
    <w:rsid w:val="52D71FC3"/>
    <w:rsid w:val="52DB4C0C"/>
    <w:rsid w:val="52DD05CB"/>
    <w:rsid w:val="52DE26D4"/>
    <w:rsid w:val="52F715A0"/>
    <w:rsid w:val="52FE6B4C"/>
    <w:rsid w:val="53097F70"/>
    <w:rsid w:val="530A6B20"/>
    <w:rsid w:val="5316750C"/>
    <w:rsid w:val="53167C94"/>
    <w:rsid w:val="531A4F11"/>
    <w:rsid w:val="531D3476"/>
    <w:rsid w:val="532F2F1B"/>
    <w:rsid w:val="53451FFC"/>
    <w:rsid w:val="534A2982"/>
    <w:rsid w:val="53511372"/>
    <w:rsid w:val="53582511"/>
    <w:rsid w:val="536B25A4"/>
    <w:rsid w:val="5378166F"/>
    <w:rsid w:val="53794425"/>
    <w:rsid w:val="537B1F4B"/>
    <w:rsid w:val="5382461A"/>
    <w:rsid w:val="538946BF"/>
    <w:rsid w:val="53912714"/>
    <w:rsid w:val="53951B2E"/>
    <w:rsid w:val="53A039CC"/>
    <w:rsid w:val="53A1505A"/>
    <w:rsid w:val="53A75BFC"/>
    <w:rsid w:val="53A97927"/>
    <w:rsid w:val="53C57773"/>
    <w:rsid w:val="53D249E7"/>
    <w:rsid w:val="53E61BAE"/>
    <w:rsid w:val="53E775E0"/>
    <w:rsid w:val="54063E08"/>
    <w:rsid w:val="54106B37"/>
    <w:rsid w:val="54121486"/>
    <w:rsid w:val="5426069A"/>
    <w:rsid w:val="54262159"/>
    <w:rsid w:val="542F004F"/>
    <w:rsid w:val="543437E8"/>
    <w:rsid w:val="543A5C5E"/>
    <w:rsid w:val="543E1C96"/>
    <w:rsid w:val="544113E6"/>
    <w:rsid w:val="54432F16"/>
    <w:rsid w:val="545A1756"/>
    <w:rsid w:val="54601EED"/>
    <w:rsid w:val="54667951"/>
    <w:rsid w:val="546F4823"/>
    <w:rsid w:val="54705828"/>
    <w:rsid w:val="547E6642"/>
    <w:rsid w:val="54836F8B"/>
    <w:rsid w:val="5486504B"/>
    <w:rsid w:val="548B1623"/>
    <w:rsid w:val="548D0188"/>
    <w:rsid w:val="54933D06"/>
    <w:rsid w:val="54994EA4"/>
    <w:rsid w:val="549F78A0"/>
    <w:rsid w:val="54A13C33"/>
    <w:rsid w:val="54A454D1"/>
    <w:rsid w:val="54A97761"/>
    <w:rsid w:val="54AD4386"/>
    <w:rsid w:val="54C302E9"/>
    <w:rsid w:val="54C90F5D"/>
    <w:rsid w:val="54CD2C7A"/>
    <w:rsid w:val="54D933CD"/>
    <w:rsid w:val="54DA4DBB"/>
    <w:rsid w:val="54E67898"/>
    <w:rsid w:val="54F73313"/>
    <w:rsid w:val="54F80955"/>
    <w:rsid w:val="54F9581D"/>
    <w:rsid w:val="55021394"/>
    <w:rsid w:val="550629FA"/>
    <w:rsid w:val="55075E27"/>
    <w:rsid w:val="55191A1B"/>
    <w:rsid w:val="5523289A"/>
    <w:rsid w:val="552C79A0"/>
    <w:rsid w:val="552E750E"/>
    <w:rsid w:val="55384597"/>
    <w:rsid w:val="553B4087"/>
    <w:rsid w:val="55486BBC"/>
    <w:rsid w:val="555170A7"/>
    <w:rsid w:val="556829A3"/>
    <w:rsid w:val="55745232"/>
    <w:rsid w:val="557821C2"/>
    <w:rsid w:val="55801A9A"/>
    <w:rsid w:val="55805F3E"/>
    <w:rsid w:val="55850EFA"/>
    <w:rsid w:val="5587536D"/>
    <w:rsid w:val="558A46C7"/>
    <w:rsid w:val="558C48E3"/>
    <w:rsid w:val="55991C45"/>
    <w:rsid w:val="559B174B"/>
    <w:rsid w:val="55AE77FC"/>
    <w:rsid w:val="55B64FB0"/>
    <w:rsid w:val="55B675D6"/>
    <w:rsid w:val="55C01AA6"/>
    <w:rsid w:val="55C0534A"/>
    <w:rsid w:val="55C0633B"/>
    <w:rsid w:val="55CE0CF4"/>
    <w:rsid w:val="55CE45EF"/>
    <w:rsid w:val="55CF47D0"/>
    <w:rsid w:val="55D51277"/>
    <w:rsid w:val="55F0380C"/>
    <w:rsid w:val="55F10BEA"/>
    <w:rsid w:val="55FB7CF2"/>
    <w:rsid w:val="56020384"/>
    <w:rsid w:val="560937C4"/>
    <w:rsid w:val="561873AF"/>
    <w:rsid w:val="56220DA3"/>
    <w:rsid w:val="562605BD"/>
    <w:rsid w:val="5630526E"/>
    <w:rsid w:val="56321D83"/>
    <w:rsid w:val="563C00B7"/>
    <w:rsid w:val="56446392"/>
    <w:rsid w:val="564659CC"/>
    <w:rsid w:val="56472BD2"/>
    <w:rsid w:val="564B0C5A"/>
    <w:rsid w:val="564B43CE"/>
    <w:rsid w:val="56513437"/>
    <w:rsid w:val="565D77D5"/>
    <w:rsid w:val="565E2B72"/>
    <w:rsid w:val="565E57F8"/>
    <w:rsid w:val="566033CC"/>
    <w:rsid w:val="56687216"/>
    <w:rsid w:val="566B7DFC"/>
    <w:rsid w:val="566D64C3"/>
    <w:rsid w:val="56731990"/>
    <w:rsid w:val="567754D8"/>
    <w:rsid w:val="56821842"/>
    <w:rsid w:val="56876E58"/>
    <w:rsid w:val="568850AA"/>
    <w:rsid w:val="56895567"/>
    <w:rsid w:val="569904CF"/>
    <w:rsid w:val="56A365C9"/>
    <w:rsid w:val="56A36ADA"/>
    <w:rsid w:val="56AC18BA"/>
    <w:rsid w:val="56AE629A"/>
    <w:rsid w:val="56B22A9C"/>
    <w:rsid w:val="56BA6F7D"/>
    <w:rsid w:val="56BA722E"/>
    <w:rsid w:val="56CD7C46"/>
    <w:rsid w:val="56D3300B"/>
    <w:rsid w:val="56D402F0"/>
    <w:rsid w:val="56D80491"/>
    <w:rsid w:val="56E06137"/>
    <w:rsid w:val="56E12A0D"/>
    <w:rsid w:val="56F26F08"/>
    <w:rsid w:val="56F7363C"/>
    <w:rsid w:val="56F75D8C"/>
    <w:rsid w:val="56FD7D1F"/>
    <w:rsid w:val="57012579"/>
    <w:rsid w:val="57062473"/>
    <w:rsid w:val="57070C43"/>
    <w:rsid w:val="570A7431"/>
    <w:rsid w:val="570B1D0C"/>
    <w:rsid w:val="571D74F3"/>
    <w:rsid w:val="57225ED2"/>
    <w:rsid w:val="57226B03"/>
    <w:rsid w:val="57250B4B"/>
    <w:rsid w:val="574115C2"/>
    <w:rsid w:val="574A2393"/>
    <w:rsid w:val="5763060B"/>
    <w:rsid w:val="57652AC4"/>
    <w:rsid w:val="57662666"/>
    <w:rsid w:val="57715B3F"/>
    <w:rsid w:val="57763AC4"/>
    <w:rsid w:val="5780359E"/>
    <w:rsid w:val="57A03807"/>
    <w:rsid w:val="57AF23ED"/>
    <w:rsid w:val="57B72A76"/>
    <w:rsid w:val="57BA21BF"/>
    <w:rsid w:val="57C2283E"/>
    <w:rsid w:val="57C26498"/>
    <w:rsid w:val="57C3426C"/>
    <w:rsid w:val="57CE1F93"/>
    <w:rsid w:val="57DC69B5"/>
    <w:rsid w:val="57E01436"/>
    <w:rsid w:val="57E20526"/>
    <w:rsid w:val="57E9211D"/>
    <w:rsid w:val="57F25637"/>
    <w:rsid w:val="57F26597"/>
    <w:rsid w:val="57FA4326"/>
    <w:rsid w:val="57FD3FEF"/>
    <w:rsid w:val="58095D77"/>
    <w:rsid w:val="580A62B2"/>
    <w:rsid w:val="58164938"/>
    <w:rsid w:val="581C3D92"/>
    <w:rsid w:val="581D136C"/>
    <w:rsid w:val="58221F1A"/>
    <w:rsid w:val="58250C1B"/>
    <w:rsid w:val="5836637E"/>
    <w:rsid w:val="58445218"/>
    <w:rsid w:val="584A552F"/>
    <w:rsid w:val="584D65AC"/>
    <w:rsid w:val="584E7888"/>
    <w:rsid w:val="58507E4A"/>
    <w:rsid w:val="58615BB3"/>
    <w:rsid w:val="586471D2"/>
    <w:rsid w:val="58656B24"/>
    <w:rsid w:val="58810905"/>
    <w:rsid w:val="588743D1"/>
    <w:rsid w:val="5887701A"/>
    <w:rsid w:val="588F2810"/>
    <w:rsid w:val="588F7D17"/>
    <w:rsid w:val="58904A09"/>
    <w:rsid w:val="58922210"/>
    <w:rsid w:val="589342AA"/>
    <w:rsid w:val="58953AAF"/>
    <w:rsid w:val="589809A9"/>
    <w:rsid w:val="58A25280"/>
    <w:rsid w:val="58A50813"/>
    <w:rsid w:val="58B20A49"/>
    <w:rsid w:val="58B51F19"/>
    <w:rsid w:val="58B6273B"/>
    <w:rsid w:val="58B84A1F"/>
    <w:rsid w:val="58CE0D6F"/>
    <w:rsid w:val="58CE1CBD"/>
    <w:rsid w:val="58D2085F"/>
    <w:rsid w:val="58D269C6"/>
    <w:rsid w:val="58DF7FCA"/>
    <w:rsid w:val="58E16039"/>
    <w:rsid w:val="59002D7E"/>
    <w:rsid w:val="590704C8"/>
    <w:rsid w:val="590C2814"/>
    <w:rsid w:val="591A3EAB"/>
    <w:rsid w:val="59215342"/>
    <w:rsid w:val="59305585"/>
    <w:rsid w:val="5932754F"/>
    <w:rsid w:val="594A6647"/>
    <w:rsid w:val="59554FEC"/>
    <w:rsid w:val="59575208"/>
    <w:rsid w:val="59613991"/>
    <w:rsid w:val="597330F6"/>
    <w:rsid w:val="59750590"/>
    <w:rsid w:val="59784C92"/>
    <w:rsid w:val="597A2A12"/>
    <w:rsid w:val="5980475F"/>
    <w:rsid w:val="5986574F"/>
    <w:rsid w:val="598B0B8C"/>
    <w:rsid w:val="59910850"/>
    <w:rsid w:val="59994FB0"/>
    <w:rsid w:val="59A3044D"/>
    <w:rsid w:val="59A66240"/>
    <w:rsid w:val="59B259A0"/>
    <w:rsid w:val="59B455A3"/>
    <w:rsid w:val="59C0439F"/>
    <w:rsid w:val="59CC4A3A"/>
    <w:rsid w:val="59D46859"/>
    <w:rsid w:val="59DD61C9"/>
    <w:rsid w:val="59E9136D"/>
    <w:rsid w:val="59F914CE"/>
    <w:rsid w:val="59F96ED1"/>
    <w:rsid w:val="5A096C55"/>
    <w:rsid w:val="5A0B7AB4"/>
    <w:rsid w:val="5A143032"/>
    <w:rsid w:val="5A163FCC"/>
    <w:rsid w:val="5A33357F"/>
    <w:rsid w:val="5A3922BD"/>
    <w:rsid w:val="5A39293E"/>
    <w:rsid w:val="5A3D1EAF"/>
    <w:rsid w:val="5A3E4697"/>
    <w:rsid w:val="5A5B54D0"/>
    <w:rsid w:val="5A5C7AA6"/>
    <w:rsid w:val="5A5D39F8"/>
    <w:rsid w:val="5A7501C6"/>
    <w:rsid w:val="5A7A55ED"/>
    <w:rsid w:val="5A7F4351"/>
    <w:rsid w:val="5A8F1DB5"/>
    <w:rsid w:val="5AA158DB"/>
    <w:rsid w:val="5AAF6327"/>
    <w:rsid w:val="5AB06762"/>
    <w:rsid w:val="5ABA39DD"/>
    <w:rsid w:val="5ABE2233"/>
    <w:rsid w:val="5AC81FAD"/>
    <w:rsid w:val="5AD51765"/>
    <w:rsid w:val="5ADC5733"/>
    <w:rsid w:val="5ADE0C81"/>
    <w:rsid w:val="5AE103BB"/>
    <w:rsid w:val="5AE26D53"/>
    <w:rsid w:val="5AEB5C08"/>
    <w:rsid w:val="5AEE116B"/>
    <w:rsid w:val="5AFD6E22"/>
    <w:rsid w:val="5B0C0BCF"/>
    <w:rsid w:val="5B0E0482"/>
    <w:rsid w:val="5B1B2C09"/>
    <w:rsid w:val="5B2561DF"/>
    <w:rsid w:val="5B305D11"/>
    <w:rsid w:val="5B3061E5"/>
    <w:rsid w:val="5B4517BC"/>
    <w:rsid w:val="5B4B48BB"/>
    <w:rsid w:val="5B4C792C"/>
    <w:rsid w:val="5B4F6C8F"/>
    <w:rsid w:val="5B501F90"/>
    <w:rsid w:val="5B59099B"/>
    <w:rsid w:val="5B6559BA"/>
    <w:rsid w:val="5B6F69AA"/>
    <w:rsid w:val="5B7B3430"/>
    <w:rsid w:val="5B8A3673"/>
    <w:rsid w:val="5B8A7FC1"/>
    <w:rsid w:val="5B906EF9"/>
    <w:rsid w:val="5B950720"/>
    <w:rsid w:val="5B992B88"/>
    <w:rsid w:val="5BA84175"/>
    <w:rsid w:val="5BAA38E0"/>
    <w:rsid w:val="5BB07937"/>
    <w:rsid w:val="5BB47AC3"/>
    <w:rsid w:val="5BC621D1"/>
    <w:rsid w:val="5BD17495"/>
    <w:rsid w:val="5BDF5D95"/>
    <w:rsid w:val="5BE61DF0"/>
    <w:rsid w:val="5BE74C3E"/>
    <w:rsid w:val="5BE9027C"/>
    <w:rsid w:val="5BED6DB0"/>
    <w:rsid w:val="5BF60D08"/>
    <w:rsid w:val="5BF8682E"/>
    <w:rsid w:val="5BFE2D91"/>
    <w:rsid w:val="5BFE7528"/>
    <w:rsid w:val="5BFF2F65"/>
    <w:rsid w:val="5BFF4D10"/>
    <w:rsid w:val="5C043425"/>
    <w:rsid w:val="5C094FD0"/>
    <w:rsid w:val="5C0D786E"/>
    <w:rsid w:val="5C180F45"/>
    <w:rsid w:val="5C1E0BC7"/>
    <w:rsid w:val="5C26479C"/>
    <w:rsid w:val="5C334DA1"/>
    <w:rsid w:val="5C391A9C"/>
    <w:rsid w:val="5C3D4E59"/>
    <w:rsid w:val="5C433F2D"/>
    <w:rsid w:val="5C4563BD"/>
    <w:rsid w:val="5C4F0418"/>
    <w:rsid w:val="5C546A2C"/>
    <w:rsid w:val="5C593045"/>
    <w:rsid w:val="5C6B55D1"/>
    <w:rsid w:val="5C6C6C7F"/>
    <w:rsid w:val="5C6D01F8"/>
    <w:rsid w:val="5C7442C0"/>
    <w:rsid w:val="5C796266"/>
    <w:rsid w:val="5C7D0CFE"/>
    <w:rsid w:val="5C7D4F86"/>
    <w:rsid w:val="5C8D7787"/>
    <w:rsid w:val="5C9A1694"/>
    <w:rsid w:val="5CAA110F"/>
    <w:rsid w:val="5CAC71FB"/>
    <w:rsid w:val="5CC06FCC"/>
    <w:rsid w:val="5CDE61E5"/>
    <w:rsid w:val="5CE648D9"/>
    <w:rsid w:val="5CE96177"/>
    <w:rsid w:val="5CF60894"/>
    <w:rsid w:val="5CFA03D2"/>
    <w:rsid w:val="5D17501F"/>
    <w:rsid w:val="5D227822"/>
    <w:rsid w:val="5D351B9C"/>
    <w:rsid w:val="5D3C4DB4"/>
    <w:rsid w:val="5D3C6BEF"/>
    <w:rsid w:val="5D3F415D"/>
    <w:rsid w:val="5D4556A1"/>
    <w:rsid w:val="5D4806FF"/>
    <w:rsid w:val="5D4A253D"/>
    <w:rsid w:val="5D4C1D5E"/>
    <w:rsid w:val="5D5F3DB5"/>
    <w:rsid w:val="5D6112A6"/>
    <w:rsid w:val="5D641247"/>
    <w:rsid w:val="5D677D3F"/>
    <w:rsid w:val="5D6D4FFA"/>
    <w:rsid w:val="5D704AEA"/>
    <w:rsid w:val="5D704B1A"/>
    <w:rsid w:val="5D78609D"/>
    <w:rsid w:val="5D79574D"/>
    <w:rsid w:val="5D7F1C5E"/>
    <w:rsid w:val="5D7F60F0"/>
    <w:rsid w:val="5D883BE2"/>
    <w:rsid w:val="5D891708"/>
    <w:rsid w:val="5D8A4823"/>
    <w:rsid w:val="5D8F6AA5"/>
    <w:rsid w:val="5DA07FBE"/>
    <w:rsid w:val="5DA54794"/>
    <w:rsid w:val="5DAA5D98"/>
    <w:rsid w:val="5DAF0D3C"/>
    <w:rsid w:val="5DAF4DC1"/>
    <w:rsid w:val="5DB26B6E"/>
    <w:rsid w:val="5DB8291E"/>
    <w:rsid w:val="5DB93D9B"/>
    <w:rsid w:val="5DCB2023"/>
    <w:rsid w:val="5DCD4076"/>
    <w:rsid w:val="5DD0497B"/>
    <w:rsid w:val="5DD811C1"/>
    <w:rsid w:val="5DE74DAC"/>
    <w:rsid w:val="5DF11787"/>
    <w:rsid w:val="5DF41277"/>
    <w:rsid w:val="5DFE20F6"/>
    <w:rsid w:val="5E001ACF"/>
    <w:rsid w:val="5E1125CA"/>
    <w:rsid w:val="5E1165C0"/>
    <w:rsid w:val="5E1A65A9"/>
    <w:rsid w:val="5E203E1A"/>
    <w:rsid w:val="5E2213A8"/>
    <w:rsid w:val="5E2467F1"/>
    <w:rsid w:val="5E321B48"/>
    <w:rsid w:val="5E323B4E"/>
    <w:rsid w:val="5E397595"/>
    <w:rsid w:val="5E3E4FE1"/>
    <w:rsid w:val="5E517DA3"/>
    <w:rsid w:val="5E572CB1"/>
    <w:rsid w:val="5E5C749B"/>
    <w:rsid w:val="5E6301AB"/>
    <w:rsid w:val="5E661A86"/>
    <w:rsid w:val="5E6E102A"/>
    <w:rsid w:val="5E731127"/>
    <w:rsid w:val="5E736640"/>
    <w:rsid w:val="5E763B21"/>
    <w:rsid w:val="5E8641AB"/>
    <w:rsid w:val="5E956320"/>
    <w:rsid w:val="5EA0422B"/>
    <w:rsid w:val="5EA65BE0"/>
    <w:rsid w:val="5EAA6C6E"/>
    <w:rsid w:val="5EB35B5E"/>
    <w:rsid w:val="5EB43AC9"/>
    <w:rsid w:val="5EC92704"/>
    <w:rsid w:val="5ED45F3A"/>
    <w:rsid w:val="5ED96B44"/>
    <w:rsid w:val="5EDA221B"/>
    <w:rsid w:val="5EE906B0"/>
    <w:rsid w:val="5EE9424D"/>
    <w:rsid w:val="5EF946E8"/>
    <w:rsid w:val="5EFC4888"/>
    <w:rsid w:val="5F036F0D"/>
    <w:rsid w:val="5F0843C5"/>
    <w:rsid w:val="5F107586"/>
    <w:rsid w:val="5F13397F"/>
    <w:rsid w:val="5F1953A8"/>
    <w:rsid w:val="5F1A2B43"/>
    <w:rsid w:val="5F2602AF"/>
    <w:rsid w:val="5F2931A3"/>
    <w:rsid w:val="5F2B741D"/>
    <w:rsid w:val="5F3C730C"/>
    <w:rsid w:val="5F3D56E4"/>
    <w:rsid w:val="5F3F5F1A"/>
    <w:rsid w:val="5F4A106A"/>
    <w:rsid w:val="5F4D6E91"/>
    <w:rsid w:val="5F4F0E5B"/>
    <w:rsid w:val="5F577D10"/>
    <w:rsid w:val="5F65097C"/>
    <w:rsid w:val="5F6B37BB"/>
    <w:rsid w:val="5F804D35"/>
    <w:rsid w:val="5F822780"/>
    <w:rsid w:val="5F831334"/>
    <w:rsid w:val="5F85175F"/>
    <w:rsid w:val="5F8A4D86"/>
    <w:rsid w:val="5F8A5860"/>
    <w:rsid w:val="5F8C7892"/>
    <w:rsid w:val="5F8E3006"/>
    <w:rsid w:val="5F956394"/>
    <w:rsid w:val="5FA84F86"/>
    <w:rsid w:val="5FAB5BA3"/>
    <w:rsid w:val="5FB01277"/>
    <w:rsid w:val="5FB567E4"/>
    <w:rsid w:val="5FB837BB"/>
    <w:rsid w:val="5FC03B07"/>
    <w:rsid w:val="5FCC549C"/>
    <w:rsid w:val="5FCD5059"/>
    <w:rsid w:val="5FD465B5"/>
    <w:rsid w:val="5FD72BFF"/>
    <w:rsid w:val="5FDC36B7"/>
    <w:rsid w:val="5FEA20BE"/>
    <w:rsid w:val="5FF04565"/>
    <w:rsid w:val="5FF55F4C"/>
    <w:rsid w:val="5FFA069B"/>
    <w:rsid w:val="5FFC156D"/>
    <w:rsid w:val="60025854"/>
    <w:rsid w:val="60076899"/>
    <w:rsid w:val="600B673E"/>
    <w:rsid w:val="601654D5"/>
    <w:rsid w:val="60165CD1"/>
    <w:rsid w:val="60190079"/>
    <w:rsid w:val="60196D73"/>
    <w:rsid w:val="602045A6"/>
    <w:rsid w:val="60215D53"/>
    <w:rsid w:val="602F2A3B"/>
    <w:rsid w:val="603E3007"/>
    <w:rsid w:val="603E4A2C"/>
    <w:rsid w:val="60423096"/>
    <w:rsid w:val="604B7B5D"/>
    <w:rsid w:val="605E5A20"/>
    <w:rsid w:val="606E0AFE"/>
    <w:rsid w:val="606F478D"/>
    <w:rsid w:val="607641C6"/>
    <w:rsid w:val="60803296"/>
    <w:rsid w:val="608A17F0"/>
    <w:rsid w:val="608E0069"/>
    <w:rsid w:val="608F34D9"/>
    <w:rsid w:val="609957CA"/>
    <w:rsid w:val="60A32AE1"/>
    <w:rsid w:val="60A54AAB"/>
    <w:rsid w:val="60B71B8D"/>
    <w:rsid w:val="60B92C23"/>
    <w:rsid w:val="60BF6992"/>
    <w:rsid w:val="60C16966"/>
    <w:rsid w:val="60C34F31"/>
    <w:rsid w:val="60C731E5"/>
    <w:rsid w:val="60C846E2"/>
    <w:rsid w:val="60CC405A"/>
    <w:rsid w:val="60D7223F"/>
    <w:rsid w:val="60DD3E9B"/>
    <w:rsid w:val="60DD4245"/>
    <w:rsid w:val="60E32D61"/>
    <w:rsid w:val="60E47381"/>
    <w:rsid w:val="60E71115"/>
    <w:rsid w:val="60EA4085"/>
    <w:rsid w:val="60ED7300"/>
    <w:rsid w:val="60EE6C94"/>
    <w:rsid w:val="60F82E2D"/>
    <w:rsid w:val="60F8475C"/>
    <w:rsid w:val="60F91EAE"/>
    <w:rsid w:val="60FB13BB"/>
    <w:rsid w:val="611037ED"/>
    <w:rsid w:val="61120EE9"/>
    <w:rsid w:val="61172641"/>
    <w:rsid w:val="61187C9C"/>
    <w:rsid w:val="611953E2"/>
    <w:rsid w:val="611A37EA"/>
    <w:rsid w:val="611F0BCF"/>
    <w:rsid w:val="611F1E75"/>
    <w:rsid w:val="61227EAA"/>
    <w:rsid w:val="61232F88"/>
    <w:rsid w:val="612D5920"/>
    <w:rsid w:val="613A51F3"/>
    <w:rsid w:val="614B7400"/>
    <w:rsid w:val="614C27B6"/>
    <w:rsid w:val="614C3307"/>
    <w:rsid w:val="61592836"/>
    <w:rsid w:val="615C785F"/>
    <w:rsid w:val="616D55C9"/>
    <w:rsid w:val="617F2E12"/>
    <w:rsid w:val="61837958"/>
    <w:rsid w:val="6186668A"/>
    <w:rsid w:val="618E553F"/>
    <w:rsid w:val="618F19E3"/>
    <w:rsid w:val="619C315B"/>
    <w:rsid w:val="619D1DAD"/>
    <w:rsid w:val="619E1C26"/>
    <w:rsid w:val="61A905CB"/>
    <w:rsid w:val="61AA64EC"/>
    <w:rsid w:val="61AD1E69"/>
    <w:rsid w:val="61B4189A"/>
    <w:rsid w:val="61B50D1E"/>
    <w:rsid w:val="61B775AD"/>
    <w:rsid w:val="61BC20AC"/>
    <w:rsid w:val="61BC3E5A"/>
    <w:rsid w:val="61C34F54"/>
    <w:rsid w:val="61C70F81"/>
    <w:rsid w:val="61CF7021"/>
    <w:rsid w:val="61DA6873"/>
    <w:rsid w:val="61DB78D3"/>
    <w:rsid w:val="61DC63FD"/>
    <w:rsid w:val="61E215D8"/>
    <w:rsid w:val="61F9399F"/>
    <w:rsid w:val="62045801"/>
    <w:rsid w:val="620C2BA9"/>
    <w:rsid w:val="620F48D2"/>
    <w:rsid w:val="621B3775"/>
    <w:rsid w:val="621E2D67"/>
    <w:rsid w:val="6226104E"/>
    <w:rsid w:val="622A34BA"/>
    <w:rsid w:val="622D1F8A"/>
    <w:rsid w:val="622F3DAB"/>
    <w:rsid w:val="62314848"/>
    <w:rsid w:val="62364782"/>
    <w:rsid w:val="623C2FAB"/>
    <w:rsid w:val="624D09AF"/>
    <w:rsid w:val="624F4CCE"/>
    <w:rsid w:val="62610D92"/>
    <w:rsid w:val="6267666C"/>
    <w:rsid w:val="62736F98"/>
    <w:rsid w:val="627B6F6E"/>
    <w:rsid w:val="62832BCA"/>
    <w:rsid w:val="628A03FC"/>
    <w:rsid w:val="629628FD"/>
    <w:rsid w:val="62A071DE"/>
    <w:rsid w:val="62A212A2"/>
    <w:rsid w:val="62A43B3A"/>
    <w:rsid w:val="62A975EA"/>
    <w:rsid w:val="62BE7A2D"/>
    <w:rsid w:val="62C15295"/>
    <w:rsid w:val="62C6265A"/>
    <w:rsid w:val="62CB2E33"/>
    <w:rsid w:val="62CF3898"/>
    <w:rsid w:val="62D358FF"/>
    <w:rsid w:val="62DE6052"/>
    <w:rsid w:val="62DF41B1"/>
    <w:rsid w:val="62E8539E"/>
    <w:rsid w:val="62E97F52"/>
    <w:rsid w:val="62EA2C49"/>
    <w:rsid w:val="62ED06F3"/>
    <w:rsid w:val="62EF6A0C"/>
    <w:rsid w:val="62FD6547"/>
    <w:rsid w:val="63037C81"/>
    <w:rsid w:val="631A66BE"/>
    <w:rsid w:val="631F4D38"/>
    <w:rsid w:val="63221E61"/>
    <w:rsid w:val="633A3BD0"/>
    <w:rsid w:val="633F11E7"/>
    <w:rsid w:val="6344708E"/>
    <w:rsid w:val="634548BF"/>
    <w:rsid w:val="63480776"/>
    <w:rsid w:val="63495BC1"/>
    <w:rsid w:val="634B38FA"/>
    <w:rsid w:val="634B7BDA"/>
    <w:rsid w:val="6353621B"/>
    <w:rsid w:val="635453DD"/>
    <w:rsid w:val="635A2D6F"/>
    <w:rsid w:val="635A44D0"/>
    <w:rsid w:val="635B6BE1"/>
    <w:rsid w:val="63612F0B"/>
    <w:rsid w:val="636B1FDC"/>
    <w:rsid w:val="636D4218"/>
    <w:rsid w:val="63753E26"/>
    <w:rsid w:val="637B4AAF"/>
    <w:rsid w:val="6383771F"/>
    <w:rsid w:val="638C1FE5"/>
    <w:rsid w:val="638E6570"/>
    <w:rsid w:val="63941C0D"/>
    <w:rsid w:val="6394356A"/>
    <w:rsid w:val="639D1DD4"/>
    <w:rsid w:val="63AB23D8"/>
    <w:rsid w:val="63C61B2C"/>
    <w:rsid w:val="63D350AF"/>
    <w:rsid w:val="63D40BE9"/>
    <w:rsid w:val="63DA0F0F"/>
    <w:rsid w:val="63E429AE"/>
    <w:rsid w:val="63F63A9C"/>
    <w:rsid w:val="63F86042"/>
    <w:rsid w:val="64045A64"/>
    <w:rsid w:val="64074BCA"/>
    <w:rsid w:val="64102431"/>
    <w:rsid w:val="64182918"/>
    <w:rsid w:val="64194642"/>
    <w:rsid w:val="64233018"/>
    <w:rsid w:val="64244CEF"/>
    <w:rsid w:val="642E473C"/>
    <w:rsid w:val="643248A8"/>
    <w:rsid w:val="643F0D73"/>
    <w:rsid w:val="644840CB"/>
    <w:rsid w:val="646F3406"/>
    <w:rsid w:val="646F590E"/>
    <w:rsid w:val="647461B3"/>
    <w:rsid w:val="648A46E4"/>
    <w:rsid w:val="648C220A"/>
    <w:rsid w:val="649102F8"/>
    <w:rsid w:val="649153C5"/>
    <w:rsid w:val="64925346"/>
    <w:rsid w:val="649966D5"/>
    <w:rsid w:val="64A5243A"/>
    <w:rsid w:val="64A532CB"/>
    <w:rsid w:val="64A77044"/>
    <w:rsid w:val="64A85B29"/>
    <w:rsid w:val="64AD752F"/>
    <w:rsid w:val="64B074AE"/>
    <w:rsid w:val="64B653F3"/>
    <w:rsid w:val="64BD52F5"/>
    <w:rsid w:val="64BD6867"/>
    <w:rsid w:val="64C54047"/>
    <w:rsid w:val="64D15E74"/>
    <w:rsid w:val="64D27E8C"/>
    <w:rsid w:val="64D463D1"/>
    <w:rsid w:val="64D73EDE"/>
    <w:rsid w:val="64D81563"/>
    <w:rsid w:val="64E73576"/>
    <w:rsid w:val="64EF27FA"/>
    <w:rsid w:val="64F531DE"/>
    <w:rsid w:val="64FA04E8"/>
    <w:rsid w:val="64FD3107"/>
    <w:rsid w:val="65024685"/>
    <w:rsid w:val="650C334B"/>
    <w:rsid w:val="65120A54"/>
    <w:rsid w:val="651D0A13"/>
    <w:rsid w:val="65241DC7"/>
    <w:rsid w:val="65373578"/>
    <w:rsid w:val="653F727C"/>
    <w:rsid w:val="65401246"/>
    <w:rsid w:val="65493C57"/>
    <w:rsid w:val="655031D2"/>
    <w:rsid w:val="656730CE"/>
    <w:rsid w:val="656B7D07"/>
    <w:rsid w:val="656E7A26"/>
    <w:rsid w:val="657A02B4"/>
    <w:rsid w:val="657B1960"/>
    <w:rsid w:val="65A23AF6"/>
    <w:rsid w:val="65A42ED0"/>
    <w:rsid w:val="65BA2DA7"/>
    <w:rsid w:val="65D5373C"/>
    <w:rsid w:val="65D86A5F"/>
    <w:rsid w:val="65DA5B52"/>
    <w:rsid w:val="65DD40C0"/>
    <w:rsid w:val="65DD434D"/>
    <w:rsid w:val="65E92959"/>
    <w:rsid w:val="66160B21"/>
    <w:rsid w:val="661A53FE"/>
    <w:rsid w:val="661A55F3"/>
    <w:rsid w:val="661E1587"/>
    <w:rsid w:val="661F298D"/>
    <w:rsid w:val="66252916"/>
    <w:rsid w:val="66285F62"/>
    <w:rsid w:val="662E7732"/>
    <w:rsid w:val="662F434F"/>
    <w:rsid w:val="66342969"/>
    <w:rsid w:val="663A5C95"/>
    <w:rsid w:val="66402D0B"/>
    <w:rsid w:val="66427902"/>
    <w:rsid w:val="66430FEE"/>
    <w:rsid w:val="66476133"/>
    <w:rsid w:val="66595F36"/>
    <w:rsid w:val="665C5C0C"/>
    <w:rsid w:val="665E3732"/>
    <w:rsid w:val="6672542F"/>
    <w:rsid w:val="6674755B"/>
    <w:rsid w:val="66783DA8"/>
    <w:rsid w:val="66827145"/>
    <w:rsid w:val="668313CC"/>
    <w:rsid w:val="668914FA"/>
    <w:rsid w:val="668B166D"/>
    <w:rsid w:val="668C4743"/>
    <w:rsid w:val="66A55AEA"/>
    <w:rsid w:val="66A82BFF"/>
    <w:rsid w:val="66AF21DF"/>
    <w:rsid w:val="66AF4608"/>
    <w:rsid w:val="66B25085"/>
    <w:rsid w:val="66B95626"/>
    <w:rsid w:val="66BB3468"/>
    <w:rsid w:val="66BB51C1"/>
    <w:rsid w:val="66BB6DD6"/>
    <w:rsid w:val="66C355CB"/>
    <w:rsid w:val="66CF742E"/>
    <w:rsid w:val="66D306F2"/>
    <w:rsid w:val="66D7663C"/>
    <w:rsid w:val="66DD3A79"/>
    <w:rsid w:val="66DE0650"/>
    <w:rsid w:val="66F40270"/>
    <w:rsid w:val="66F44F3A"/>
    <w:rsid w:val="67052492"/>
    <w:rsid w:val="670D44B4"/>
    <w:rsid w:val="67134817"/>
    <w:rsid w:val="67157EF8"/>
    <w:rsid w:val="671749C7"/>
    <w:rsid w:val="671B7578"/>
    <w:rsid w:val="671F124A"/>
    <w:rsid w:val="672002AE"/>
    <w:rsid w:val="672229B1"/>
    <w:rsid w:val="67263872"/>
    <w:rsid w:val="673174F4"/>
    <w:rsid w:val="67380427"/>
    <w:rsid w:val="67386679"/>
    <w:rsid w:val="674C7A2E"/>
    <w:rsid w:val="67503596"/>
    <w:rsid w:val="675D7E8D"/>
    <w:rsid w:val="676078A1"/>
    <w:rsid w:val="67674868"/>
    <w:rsid w:val="6772561F"/>
    <w:rsid w:val="67727E2A"/>
    <w:rsid w:val="67730FE6"/>
    <w:rsid w:val="67750BD7"/>
    <w:rsid w:val="677547B7"/>
    <w:rsid w:val="677A33C6"/>
    <w:rsid w:val="677D408C"/>
    <w:rsid w:val="678418BE"/>
    <w:rsid w:val="6792321C"/>
    <w:rsid w:val="67933900"/>
    <w:rsid w:val="67955879"/>
    <w:rsid w:val="67957627"/>
    <w:rsid w:val="67A31DE8"/>
    <w:rsid w:val="67AD2607"/>
    <w:rsid w:val="67B0620F"/>
    <w:rsid w:val="67C05807"/>
    <w:rsid w:val="67C07538"/>
    <w:rsid w:val="67D12BF7"/>
    <w:rsid w:val="67DD4957"/>
    <w:rsid w:val="67E16AD1"/>
    <w:rsid w:val="67E265E5"/>
    <w:rsid w:val="67EC2E8C"/>
    <w:rsid w:val="67F00D02"/>
    <w:rsid w:val="67F65A44"/>
    <w:rsid w:val="67FD341E"/>
    <w:rsid w:val="68000819"/>
    <w:rsid w:val="680447AD"/>
    <w:rsid w:val="68065884"/>
    <w:rsid w:val="68187A74"/>
    <w:rsid w:val="681F6961"/>
    <w:rsid w:val="682A6F1C"/>
    <w:rsid w:val="682B3AE8"/>
    <w:rsid w:val="683010FE"/>
    <w:rsid w:val="68320F9A"/>
    <w:rsid w:val="68327EF7"/>
    <w:rsid w:val="683636B0"/>
    <w:rsid w:val="68454B74"/>
    <w:rsid w:val="684702DD"/>
    <w:rsid w:val="68610A2F"/>
    <w:rsid w:val="68683F40"/>
    <w:rsid w:val="686C2F70"/>
    <w:rsid w:val="687151CA"/>
    <w:rsid w:val="6873723D"/>
    <w:rsid w:val="687B392E"/>
    <w:rsid w:val="68805514"/>
    <w:rsid w:val="688F2FF2"/>
    <w:rsid w:val="688F3E69"/>
    <w:rsid w:val="68905759"/>
    <w:rsid w:val="68951C23"/>
    <w:rsid w:val="68972A5B"/>
    <w:rsid w:val="689E42BA"/>
    <w:rsid w:val="68A51AEC"/>
    <w:rsid w:val="68AD48AA"/>
    <w:rsid w:val="68AE48A9"/>
    <w:rsid w:val="68B05C52"/>
    <w:rsid w:val="68C40467"/>
    <w:rsid w:val="68CA77A4"/>
    <w:rsid w:val="68D94CE2"/>
    <w:rsid w:val="68DE7BBF"/>
    <w:rsid w:val="68E41B9D"/>
    <w:rsid w:val="68E56022"/>
    <w:rsid w:val="68F24605"/>
    <w:rsid w:val="68F518A8"/>
    <w:rsid w:val="68F83BCF"/>
    <w:rsid w:val="6900306C"/>
    <w:rsid w:val="69016300"/>
    <w:rsid w:val="690F05BC"/>
    <w:rsid w:val="69197CB6"/>
    <w:rsid w:val="691F0BCF"/>
    <w:rsid w:val="6922138F"/>
    <w:rsid w:val="69237532"/>
    <w:rsid w:val="69316E2F"/>
    <w:rsid w:val="69342E70"/>
    <w:rsid w:val="69344055"/>
    <w:rsid w:val="69382960"/>
    <w:rsid w:val="69420EA7"/>
    <w:rsid w:val="6942417B"/>
    <w:rsid w:val="694D0207"/>
    <w:rsid w:val="694E2071"/>
    <w:rsid w:val="694F2539"/>
    <w:rsid w:val="6951757E"/>
    <w:rsid w:val="69531548"/>
    <w:rsid w:val="6954706E"/>
    <w:rsid w:val="695E1B9A"/>
    <w:rsid w:val="6960452B"/>
    <w:rsid w:val="69766163"/>
    <w:rsid w:val="697A3B33"/>
    <w:rsid w:val="697D4817"/>
    <w:rsid w:val="69845BA5"/>
    <w:rsid w:val="698A0CE2"/>
    <w:rsid w:val="698E2580"/>
    <w:rsid w:val="698E6A48"/>
    <w:rsid w:val="698F2D38"/>
    <w:rsid w:val="69913E34"/>
    <w:rsid w:val="6997124F"/>
    <w:rsid w:val="699778D1"/>
    <w:rsid w:val="6998062A"/>
    <w:rsid w:val="69983E33"/>
    <w:rsid w:val="699F09C2"/>
    <w:rsid w:val="69A851D9"/>
    <w:rsid w:val="69AB3475"/>
    <w:rsid w:val="69AE100B"/>
    <w:rsid w:val="69AE677E"/>
    <w:rsid w:val="69B5065E"/>
    <w:rsid w:val="69BC0978"/>
    <w:rsid w:val="69BD3DCC"/>
    <w:rsid w:val="69BE439F"/>
    <w:rsid w:val="69D41F5D"/>
    <w:rsid w:val="69D44760"/>
    <w:rsid w:val="69DB04C6"/>
    <w:rsid w:val="69E50D30"/>
    <w:rsid w:val="69E50D38"/>
    <w:rsid w:val="69FE26DB"/>
    <w:rsid w:val="6A05320C"/>
    <w:rsid w:val="6A0C3794"/>
    <w:rsid w:val="6A0E3DF9"/>
    <w:rsid w:val="6A1177C6"/>
    <w:rsid w:val="6A126814"/>
    <w:rsid w:val="6A18256A"/>
    <w:rsid w:val="6A1F1065"/>
    <w:rsid w:val="6A1F4FE5"/>
    <w:rsid w:val="6A2829D5"/>
    <w:rsid w:val="6A2831FF"/>
    <w:rsid w:val="6A2B7DCF"/>
    <w:rsid w:val="6A39656C"/>
    <w:rsid w:val="6A4E61B3"/>
    <w:rsid w:val="6A520EC7"/>
    <w:rsid w:val="6A574FAB"/>
    <w:rsid w:val="6A582B8E"/>
    <w:rsid w:val="6A58796D"/>
    <w:rsid w:val="6A6305AB"/>
    <w:rsid w:val="6A647785"/>
    <w:rsid w:val="6A7259FE"/>
    <w:rsid w:val="6A7C062B"/>
    <w:rsid w:val="6A835E5D"/>
    <w:rsid w:val="6A8E6893"/>
    <w:rsid w:val="6A9406F3"/>
    <w:rsid w:val="6A96318B"/>
    <w:rsid w:val="6A9A31A7"/>
    <w:rsid w:val="6AA23DFF"/>
    <w:rsid w:val="6AA53D4D"/>
    <w:rsid w:val="6AA836B6"/>
    <w:rsid w:val="6AB414BB"/>
    <w:rsid w:val="6ABE50E7"/>
    <w:rsid w:val="6ABF6769"/>
    <w:rsid w:val="6AC534A1"/>
    <w:rsid w:val="6ACA583A"/>
    <w:rsid w:val="6AD27C23"/>
    <w:rsid w:val="6AD83E47"/>
    <w:rsid w:val="6AE61F48"/>
    <w:rsid w:val="6AEF74BC"/>
    <w:rsid w:val="6AF87E20"/>
    <w:rsid w:val="6B0828B2"/>
    <w:rsid w:val="6B1428BB"/>
    <w:rsid w:val="6B19231D"/>
    <w:rsid w:val="6B1E4CC8"/>
    <w:rsid w:val="6B1F7E37"/>
    <w:rsid w:val="6B293E85"/>
    <w:rsid w:val="6B2F38EF"/>
    <w:rsid w:val="6B322639"/>
    <w:rsid w:val="6B33774D"/>
    <w:rsid w:val="6B3573FC"/>
    <w:rsid w:val="6B3D6DE6"/>
    <w:rsid w:val="6B4849B1"/>
    <w:rsid w:val="6B575266"/>
    <w:rsid w:val="6B644F15"/>
    <w:rsid w:val="6B672EF0"/>
    <w:rsid w:val="6B7B4D86"/>
    <w:rsid w:val="6B824368"/>
    <w:rsid w:val="6B8E2D0B"/>
    <w:rsid w:val="6B953331"/>
    <w:rsid w:val="6B9D6AAA"/>
    <w:rsid w:val="6BA8544F"/>
    <w:rsid w:val="6BAA1DC1"/>
    <w:rsid w:val="6BAC3463"/>
    <w:rsid w:val="6BAE0CB8"/>
    <w:rsid w:val="6BB431B7"/>
    <w:rsid w:val="6BCE176C"/>
    <w:rsid w:val="6BD61FBC"/>
    <w:rsid w:val="6BD76E4B"/>
    <w:rsid w:val="6BE16873"/>
    <w:rsid w:val="6BEC631B"/>
    <w:rsid w:val="6C021E4C"/>
    <w:rsid w:val="6C0C363E"/>
    <w:rsid w:val="6C1227AE"/>
    <w:rsid w:val="6C127BE8"/>
    <w:rsid w:val="6C1A73C1"/>
    <w:rsid w:val="6C1C6154"/>
    <w:rsid w:val="6C1E48A1"/>
    <w:rsid w:val="6C275586"/>
    <w:rsid w:val="6C2A4678"/>
    <w:rsid w:val="6C2B17D2"/>
    <w:rsid w:val="6C3917ED"/>
    <w:rsid w:val="6C3B3ECF"/>
    <w:rsid w:val="6C420F8A"/>
    <w:rsid w:val="6C437E2A"/>
    <w:rsid w:val="6C4401DE"/>
    <w:rsid w:val="6C4626F9"/>
    <w:rsid w:val="6C465394"/>
    <w:rsid w:val="6C5A5E0A"/>
    <w:rsid w:val="6C627CF4"/>
    <w:rsid w:val="6C636C38"/>
    <w:rsid w:val="6C755A37"/>
    <w:rsid w:val="6C77456B"/>
    <w:rsid w:val="6C88775B"/>
    <w:rsid w:val="6C91761A"/>
    <w:rsid w:val="6C9E6F7E"/>
    <w:rsid w:val="6CA13DEE"/>
    <w:rsid w:val="6CAC17A2"/>
    <w:rsid w:val="6CC5505F"/>
    <w:rsid w:val="6CCE1F3F"/>
    <w:rsid w:val="6CDB176D"/>
    <w:rsid w:val="6CDB65B5"/>
    <w:rsid w:val="6CDC3602"/>
    <w:rsid w:val="6CDE2CE5"/>
    <w:rsid w:val="6CE1330F"/>
    <w:rsid w:val="6CE847A7"/>
    <w:rsid w:val="6CED0B29"/>
    <w:rsid w:val="6CEE3077"/>
    <w:rsid w:val="6CF71342"/>
    <w:rsid w:val="6CF92406"/>
    <w:rsid w:val="6CFC36B8"/>
    <w:rsid w:val="6CFC3B75"/>
    <w:rsid w:val="6D0B3D2A"/>
    <w:rsid w:val="6D185066"/>
    <w:rsid w:val="6D194713"/>
    <w:rsid w:val="6D2463F9"/>
    <w:rsid w:val="6D283D50"/>
    <w:rsid w:val="6D2B65E5"/>
    <w:rsid w:val="6D301BA0"/>
    <w:rsid w:val="6D317DF2"/>
    <w:rsid w:val="6D337226"/>
    <w:rsid w:val="6D436A7D"/>
    <w:rsid w:val="6D443C83"/>
    <w:rsid w:val="6D465A44"/>
    <w:rsid w:val="6D4C68CF"/>
    <w:rsid w:val="6D541232"/>
    <w:rsid w:val="6D570B3B"/>
    <w:rsid w:val="6D581489"/>
    <w:rsid w:val="6D586C71"/>
    <w:rsid w:val="6D5A1EC1"/>
    <w:rsid w:val="6D5A1F3F"/>
    <w:rsid w:val="6D5F52DA"/>
    <w:rsid w:val="6D634B3D"/>
    <w:rsid w:val="6D675D52"/>
    <w:rsid w:val="6D7318BB"/>
    <w:rsid w:val="6D8445D4"/>
    <w:rsid w:val="6D853C9A"/>
    <w:rsid w:val="6D8C3BC9"/>
    <w:rsid w:val="6D8C5028"/>
    <w:rsid w:val="6D94212F"/>
    <w:rsid w:val="6D99333A"/>
    <w:rsid w:val="6DAC72B5"/>
    <w:rsid w:val="6DB31AE8"/>
    <w:rsid w:val="6DB34098"/>
    <w:rsid w:val="6DB545B6"/>
    <w:rsid w:val="6DBC51E2"/>
    <w:rsid w:val="6DC02F24"/>
    <w:rsid w:val="6DCC5A70"/>
    <w:rsid w:val="6DE02FB4"/>
    <w:rsid w:val="6DE244ED"/>
    <w:rsid w:val="6DE978CF"/>
    <w:rsid w:val="6DF7068A"/>
    <w:rsid w:val="6DF82FAB"/>
    <w:rsid w:val="6DFD069E"/>
    <w:rsid w:val="6DFD5F26"/>
    <w:rsid w:val="6E0066B1"/>
    <w:rsid w:val="6E061521"/>
    <w:rsid w:val="6E2307BA"/>
    <w:rsid w:val="6E2912F0"/>
    <w:rsid w:val="6E301E58"/>
    <w:rsid w:val="6E3A0F28"/>
    <w:rsid w:val="6E3D363E"/>
    <w:rsid w:val="6E3D732E"/>
    <w:rsid w:val="6E416A10"/>
    <w:rsid w:val="6E514CED"/>
    <w:rsid w:val="6E566A88"/>
    <w:rsid w:val="6E785035"/>
    <w:rsid w:val="6E841E7A"/>
    <w:rsid w:val="6E847687"/>
    <w:rsid w:val="6E8C5638"/>
    <w:rsid w:val="6E8E3022"/>
    <w:rsid w:val="6E985C4F"/>
    <w:rsid w:val="6E9C3A17"/>
    <w:rsid w:val="6E9C573F"/>
    <w:rsid w:val="6EA3225C"/>
    <w:rsid w:val="6EA6036C"/>
    <w:rsid w:val="6EAC0E51"/>
    <w:rsid w:val="6EB563D5"/>
    <w:rsid w:val="6EB9286D"/>
    <w:rsid w:val="6EC95E08"/>
    <w:rsid w:val="6ECC7228"/>
    <w:rsid w:val="6ED92677"/>
    <w:rsid w:val="6EDC7C8E"/>
    <w:rsid w:val="6EF23832"/>
    <w:rsid w:val="6EF957F8"/>
    <w:rsid w:val="6EFE2DFA"/>
    <w:rsid w:val="6F042205"/>
    <w:rsid w:val="6F13402B"/>
    <w:rsid w:val="6F145BFE"/>
    <w:rsid w:val="6F225983"/>
    <w:rsid w:val="6F29138D"/>
    <w:rsid w:val="6F310344"/>
    <w:rsid w:val="6F327E52"/>
    <w:rsid w:val="6F3753FD"/>
    <w:rsid w:val="6F3967A3"/>
    <w:rsid w:val="6F427612"/>
    <w:rsid w:val="6F4A3BEF"/>
    <w:rsid w:val="6F4B7632"/>
    <w:rsid w:val="6F556AE2"/>
    <w:rsid w:val="6F5C6C7D"/>
    <w:rsid w:val="6F66482C"/>
    <w:rsid w:val="6F6768E0"/>
    <w:rsid w:val="6F6E51BD"/>
    <w:rsid w:val="6F7C2F7F"/>
    <w:rsid w:val="6F810491"/>
    <w:rsid w:val="6F944668"/>
    <w:rsid w:val="6F9476CF"/>
    <w:rsid w:val="6F975238"/>
    <w:rsid w:val="6F991C7F"/>
    <w:rsid w:val="6FA138F1"/>
    <w:rsid w:val="6FA523D2"/>
    <w:rsid w:val="6FA70F2B"/>
    <w:rsid w:val="6FBF03EE"/>
    <w:rsid w:val="6FC71822"/>
    <w:rsid w:val="6FCA008A"/>
    <w:rsid w:val="6FD21F19"/>
    <w:rsid w:val="6FD732AA"/>
    <w:rsid w:val="6FF529BC"/>
    <w:rsid w:val="6FFC5590"/>
    <w:rsid w:val="6FFE4FC7"/>
    <w:rsid w:val="6FFE5F86"/>
    <w:rsid w:val="70052FBB"/>
    <w:rsid w:val="70072320"/>
    <w:rsid w:val="700C1140"/>
    <w:rsid w:val="70113D8F"/>
    <w:rsid w:val="70134778"/>
    <w:rsid w:val="701B7472"/>
    <w:rsid w:val="701D384E"/>
    <w:rsid w:val="70202000"/>
    <w:rsid w:val="70216130"/>
    <w:rsid w:val="702249EF"/>
    <w:rsid w:val="70525E2A"/>
    <w:rsid w:val="70573F53"/>
    <w:rsid w:val="70602BA2"/>
    <w:rsid w:val="7064403B"/>
    <w:rsid w:val="706B4BC5"/>
    <w:rsid w:val="706D1DD0"/>
    <w:rsid w:val="70765487"/>
    <w:rsid w:val="70797F31"/>
    <w:rsid w:val="707C313D"/>
    <w:rsid w:val="707D334E"/>
    <w:rsid w:val="7084648B"/>
    <w:rsid w:val="70856B87"/>
    <w:rsid w:val="70893AA1"/>
    <w:rsid w:val="7093761B"/>
    <w:rsid w:val="70974FAB"/>
    <w:rsid w:val="709862A0"/>
    <w:rsid w:val="709B37D5"/>
    <w:rsid w:val="709C1EDC"/>
    <w:rsid w:val="70A70C79"/>
    <w:rsid w:val="70AC5255"/>
    <w:rsid w:val="70AE7EA9"/>
    <w:rsid w:val="70AF6D48"/>
    <w:rsid w:val="70C355DB"/>
    <w:rsid w:val="70D05FAD"/>
    <w:rsid w:val="70D3219F"/>
    <w:rsid w:val="70D527EE"/>
    <w:rsid w:val="70DC1E23"/>
    <w:rsid w:val="70E7439E"/>
    <w:rsid w:val="70E94540"/>
    <w:rsid w:val="70F22B5B"/>
    <w:rsid w:val="70F74157"/>
    <w:rsid w:val="710D679A"/>
    <w:rsid w:val="711B1A70"/>
    <w:rsid w:val="711D324B"/>
    <w:rsid w:val="711E71CC"/>
    <w:rsid w:val="71280CFC"/>
    <w:rsid w:val="7128128D"/>
    <w:rsid w:val="71352C64"/>
    <w:rsid w:val="71395E40"/>
    <w:rsid w:val="71397EC1"/>
    <w:rsid w:val="713A2FED"/>
    <w:rsid w:val="713C53B2"/>
    <w:rsid w:val="715559E4"/>
    <w:rsid w:val="715B5300"/>
    <w:rsid w:val="715C7408"/>
    <w:rsid w:val="7160509D"/>
    <w:rsid w:val="7161378B"/>
    <w:rsid w:val="717007BD"/>
    <w:rsid w:val="71736419"/>
    <w:rsid w:val="717B7324"/>
    <w:rsid w:val="717B788E"/>
    <w:rsid w:val="718030F6"/>
    <w:rsid w:val="71937EFB"/>
    <w:rsid w:val="71950746"/>
    <w:rsid w:val="719C15B2"/>
    <w:rsid w:val="71A0072E"/>
    <w:rsid w:val="71AA4D4E"/>
    <w:rsid w:val="71B22914"/>
    <w:rsid w:val="71CC767E"/>
    <w:rsid w:val="71D27F8A"/>
    <w:rsid w:val="71E73175"/>
    <w:rsid w:val="71F47A9F"/>
    <w:rsid w:val="71FB47DA"/>
    <w:rsid w:val="720A716D"/>
    <w:rsid w:val="721750DD"/>
    <w:rsid w:val="724B14E9"/>
    <w:rsid w:val="72523032"/>
    <w:rsid w:val="72553024"/>
    <w:rsid w:val="7257401A"/>
    <w:rsid w:val="7262716C"/>
    <w:rsid w:val="72724B17"/>
    <w:rsid w:val="72752887"/>
    <w:rsid w:val="72787C55"/>
    <w:rsid w:val="727A7B45"/>
    <w:rsid w:val="72824C4C"/>
    <w:rsid w:val="728922F8"/>
    <w:rsid w:val="728C1627"/>
    <w:rsid w:val="72915E3F"/>
    <w:rsid w:val="72916738"/>
    <w:rsid w:val="72A9136A"/>
    <w:rsid w:val="72AB162A"/>
    <w:rsid w:val="72B726D6"/>
    <w:rsid w:val="72C405F2"/>
    <w:rsid w:val="72CF3C55"/>
    <w:rsid w:val="72D24578"/>
    <w:rsid w:val="72E01973"/>
    <w:rsid w:val="72E11EB6"/>
    <w:rsid w:val="72E476B5"/>
    <w:rsid w:val="72FD308A"/>
    <w:rsid w:val="730241B0"/>
    <w:rsid w:val="730B3C6C"/>
    <w:rsid w:val="730F15F2"/>
    <w:rsid w:val="73117C4E"/>
    <w:rsid w:val="73122968"/>
    <w:rsid w:val="731F5D5E"/>
    <w:rsid w:val="73247AB1"/>
    <w:rsid w:val="732A0E43"/>
    <w:rsid w:val="732B3A7D"/>
    <w:rsid w:val="73307239"/>
    <w:rsid w:val="73332D47"/>
    <w:rsid w:val="733E6DC5"/>
    <w:rsid w:val="7344657D"/>
    <w:rsid w:val="735A3228"/>
    <w:rsid w:val="73651147"/>
    <w:rsid w:val="737D2606"/>
    <w:rsid w:val="7383355C"/>
    <w:rsid w:val="73870A9B"/>
    <w:rsid w:val="738839D1"/>
    <w:rsid w:val="73887DCB"/>
    <w:rsid w:val="73905DAB"/>
    <w:rsid w:val="739941C8"/>
    <w:rsid w:val="73A34D43"/>
    <w:rsid w:val="73A86934"/>
    <w:rsid w:val="73B01345"/>
    <w:rsid w:val="73B450CC"/>
    <w:rsid w:val="73C51AD5"/>
    <w:rsid w:val="73CD0149"/>
    <w:rsid w:val="73D72649"/>
    <w:rsid w:val="73D85635"/>
    <w:rsid w:val="73DC07FC"/>
    <w:rsid w:val="73DE730E"/>
    <w:rsid w:val="73E065F8"/>
    <w:rsid w:val="73E147D1"/>
    <w:rsid w:val="73E42157"/>
    <w:rsid w:val="73F531FC"/>
    <w:rsid w:val="73FC3BBA"/>
    <w:rsid w:val="7406081F"/>
    <w:rsid w:val="74097CEA"/>
    <w:rsid w:val="740D2C3B"/>
    <w:rsid w:val="741915E0"/>
    <w:rsid w:val="741E793C"/>
    <w:rsid w:val="74235FBB"/>
    <w:rsid w:val="74304B45"/>
    <w:rsid w:val="74307FAD"/>
    <w:rsid w:val="744116B5"/>
    <w:rsid w:val="744859F9"/>
    <w:rsid w:val="74493C73"/>
    <w:rsid w:val="744C0277"/>
    <w:rsid w:val="744C71C8"/>
    <w:rsid w:val="744F7B1A"/>
    <w:rsid w:val="7450329B"/>
    <w:rsid w:val="745150F7"/>
    <w:rsid w:val="745E3944"/>
    <w:rsid w:val="745F1C3E"/>
    <w:rsid w:val="74634609"/>
    <w:rsid w:val="746C354F"/>
    <w:rsid w:val="7479421A"/>
    <w:rsid w:val="74803B1E"/>
    <w:rsid w:val="748424F9"/>
    <w:rsid w:val="74844CAB"/>
    <w:rsid w:val="749A44CF"/>
    <w:rsid w:val="74B32232"/>
    <w:rsid w:val="74B66E2F"/>
    <w:rsid w:val="74BD678C"/>
    <w:rsid w:val="74C72DEA"/>
    <w:rsid w:val="74D67EE2"/>
    <w:rsid w:val="74DB6895"/>
    <w:rsid w:val="74E220C3"/>
    <w:rsid w:val="74F13072"/>
    <w:rsid w:val="74F313EB"/>
    <w:rsid w:val="74F65277"/>
    <w:rsid w:val="74F72AC9"/>
    <w:rsid w:val="74F76EEE"/>
    <w:rsid w:val="74FD086C"/>
    <w:rsid w:val="750445C0"/>
    <w:rsid w:val="75052A57"/>
    <w:rsid w:val="750758DC"/>
    <w:rsid w:val="750E0C64"/>
    <w:rsid w:val="75105E7E"/>
    <w:rsid w:val="752444F8"/>
    <w:rsid w:val="75371063"/>
    <w:rsid w:val="753C66EE"/>
    <w:rsid w:val="75432889"/>
    <w:rsid w:val="75537797"/>
    <w:rsid w:val="75600BEA"/>
    <w:rsid w:val="75671ED7"/>
    <w:rsid w:val="75730B67"/>
    <w:rsid w:val="75757D01"/>
    <w:rsid w:val="758548C9"/>
    <w:rsid w:val="75A4312B"/>
    <w:rsid w:val="75A61DBB"/>
    <w:rsid w:val="75A81DDF"/>
    <w:rsid w:val="75BC2B6F"/>
    <w:rsid w:val="75C0373B"/>
    <w:rsid w:val="75C75614"/>
    <w:rsid w:val="75D14111"/>
    <w:rsid w:val="75DE488F"/>
    <w:rsid w:val="75F32E84"/>
    <w:rsid w:val="75F37590"/>
    <w:rsid w:val="75F85FF0"/>
    <w:rsid w:val="76001688"/>
    <w:rsid w:val="76022B63"/>
    <w:rsid w:val="76114DF8"/>
    <w:rsid w:val="761657C9"/>
    <w:rsid w:val="761A4999"/>
    <w:rsid w:val="76286F0E"/>
    <w:rsid w:val="762A6006"/>
    <w:rsid w:val="76305B69"/>
    <w:rsid w:val="7635099D"/>
    <w:rsid w:val="763D210E"/>
    <w:rsid w:val="764220F8"/>
    <w:rsid w:val="76436DE0"/>
    <w:rsid w:val="76476A9B"/>
    <w:rsid w:val="764C17F9"/>
    <w:rsid w:val="76521EE9"/>
    <w:rsid w:val="76532F80"/>
    <w:rsid w:val="765608C9"/>
    <w:rsid w:val="765E645F"/>
    <w:rsid w:val="76653E19"/>
    <w:rsid w:val="766F7295"/>
    <w:rsid w:val="7671300D"/>
    <w:rsid w:val="76745E68"/>
    <w:rsid w:val="767E1BCE"/>
    <w:rsid w:val="767E6C89"/>
    <w:rsid w:val="767F741E"/>
    <w:rsid w:val="76816D8D"/>
    <w:rsid w:val="76867D51"/>
    <w:rsid w:val="768D24F5"/>
    <w:rsid w:val="76956733"/>
    <w:rsid w:val="76991F49"/>
    <w:rsid w:val="769A2923"/>
    <w:rsid w:val="769A41DB"/>
    <w:rsid w:val="76AA5525"/>
    <w:rsid w:val="76AD71B6"/>
    <w:rsid w:val="76B15C6A"/>
    <w:rsid w:val="76B34DC5"/>
    <w:rsid w:val="76BE1FCB"/>
    <w:rsid w:val="76CE1080"/>
    <w:rsid w:val="76DA47A2"/>
    <w:rsid w:val="76E85717"/>
    <w:rsid w:val="76EC27E1"/>
    <w:rsid w:val="76EE28B0"/>
    <w:rsid w:val="76F251A5"/>
    <w:rsid w:val="76F27EC5"/>
    <w:rsid w:val="76F854DD"/>
    <w:rsid w:val="76FB4FCD"/>
    <w:rsid w:val="76FE0619"/>
    <w:rsid w:val="77133CA5"/>
    <w:rsid w:val="7715031B"/>
    <w:rsid w:val="77185B7F"/>
    <w:rsid w:val="771951E0"/>
    <w:rsid w:val="77286A7D"/>
    <w:rsid w:val="77377214"/>
    <w:rsid w:val="7741314E"/>
    <w:rsid w:val="774626EC"/>
    <w:rsid w:val="774B4EF3"/>
    <w:rsid w:val="77610F13"/>
    <w:rsid w:val="77644920"/>
    <w:rsid w:val="776B430B"/>
    <w:rsid w:val="777032C5"/>
    <w:rsid w:val="7771703D"/>
    <w:rsid w:val="77762421"/>
    <w:rsid w:val="777A725B"/>
    <w:rsid w:val="77862AE9"/>
    <w:rsid w:val="778E7BEF"/>
    <w:rsid w:val="779104F2"/>
    <w:rsid w:val="779C0950"/>
    <w:rsid w:val="77A0522A"/>
    <w:rsid w:val="77A269F6"/>
    <w:rsid w:val="77AA223C"/>
    <w:rsid w:val="77B51620"/>
    <w:rsid w:val="77B56B1F"/>
    <w:rsid w:val="77B87F95"/>
    <w:rsid w:val="77B92EBE"/>
    <w:rsid w:val="77BC3E07"/>
    <w:rsid w:val="77C04DF9"/>
    <w:rsid w:val="77C33718"/>
    <w:rsid w:val="77C4258D"/>
    <w:rsid w:val="77D30FFF"/>
    <w:rsid w:val="77D45F4A"/>
    <w:rsid w:val="77DB67A7"/>
    <w:rsid w:val="77DF1812"/>
    <w:rsid w:val="77E02B9B"/>
    <w:rsid w:val="77E10130"/>
    <w:rsid w:val="77E45A61"/>
    <w:rsid w:val="77EC0499"/>
    <w:rsid w:val="77ED4B48"/>
    <w:rsid w:val="77F57C6E"/>
    <w:rsid w:val="77FB72B3"/>
    <w:rsid w:val="780F09F4"/>
    <w:rsid w:val="780F0D30"/>
    <w:rsid w:val="78113BDD"/>
    <w:rsid w:val="78135011"/>
    <w:rsid w:val="78174088"/>
    <w:rsid w:val="7826607A"/>
    <w:rsid w:val="7847671C"/>
    <w:rsid w:val="78477250"/>
    <w:rsid w:val="78547B29"/>
    <w:rsid w:val="78650389"/>
    <w:rsid w:val="786642FA"/>
    <w:rsid w:val="78693EBB"/>
    <w:rsid w:val="7874674C"/>
    <w:rsid w:val="787768D5"/>
    <w:rsid w:val="78857244"/>
    <w:rsid w:val="788972E8"/>
    <w:rsid w:val="789804DC"/>
    <w:rsid w:val="78992CEF"/>
    <w:rsid w:val="789A0300"/>
    <w:rsid w:val="78A90480"/>
    <w:rsid w:val="78AC4C0A"/>
    <w:rsid w:val="78B24758"/>
    <w:rsid w:val="78C733B9"/>
    <w:rsid w:val="78D15FE5"/>
    <w:rsid w:val="78F07340"/>
    <w:rsid w:val="78F84FB9"/>
    <w:rsid w:val="790258B5"/>
    <w:rsid w:val="793E7C5B"/>
    <w:rsid w:val="794762A8"/>
    <w:rsid w:val="794E79D3"/>
    <w:rsid w:val="79655C65"/>
    <w:rsid w:val="796638A0"/>
    <w:rsid w:val="797A6F35"/>
    <w:rsid w:val="79837B1F"/>
    <w:rsid w:val="79870D9A"/>
    <w:rsid w:val="798B03F2"/>
    <w:rsid w:val="7993773F"/>
    <w:rsid w:val="79997AD2"/>
    <w:rsid w:val="79A25BD4"/>
    <w:rsid w:val="79A51EE9"/>
    <w:rsid w:val="79A63514"/>
    <w:rsid w:val="79CB2FD9"/>
    <w:rsid w:val="79CF3163"/>
    <w:rsid w:val="79D248D3"/>
    <w:rsid w:val="79D71A33"/>
    <w:rsid w:val="79D77B87"/>
    <w:rsid w:val="79DC66C6"/>
    <w:rsid w:val="79E21A8A"/>
    <w:rsid w:val="79E37B88"/>
    <w:rsid w:val="79E70CF9"/>
    <w:rsid w:val="79EF68D5"/>
    <w:rsid w:val="79FC3536"/>
    <w:rsid w:val="7A006404"/>
    <w:rsid w:val="7A056BAC"/>
    <w:rsid w:val="7A077650"/>
    <w:rsid w:val="7A097A01"/>
    <w:rsid w:val="7A162166"/>
    <w:rsid w:val="7A1940E8"/>
    <w:rsid w:val="7A2159E7"/>
    <w:rsid w:val="7A230EEF"/>
    <w:rsid w:val="7A2B087D"/>
    <w:rsid w:val="7A30434A"/>
    <w:rsid w:val="7A3251AA"/>
    <w:rsid w:val="7A364017"/>
    <w:rsid w:val="7A543372"/>
    <w:rsid w:val="7A596109"/>
    <w:rsid w:val="7A5F54F2"/>
    <w:rsid w:val="7A695DA0"/>
    <w:rsid w:val="7A6D61E2"/>
    <w:rsid w:val="7A717781"/>
    <w:rsid w:val="7A8076C1"/>
    <w:rsid w:val="7A8265E1"/>
    <w:rsid w:val="7A881C12"/>
    <w:rsid w:val="7A903C7E"/>
    <w:rsid w:val="7A996D3E"/>
    <w:rsid w:val="7A9D05D5"/>
    <w:rsid w:val="7AAC4F5C"/>
    <w:rsid w:val="7AAD1B9E"/>
    <w:rsid w:val="7AAD1C06"/>
    <w:rsid w:val="7AAE4676"/>
    <w:rsid w:val="7AB17307"/>
    <w:rsid w:val="7AB61937"/>
    <w:rsid w:val="7ABE1F90"/>
    <w:rsid w:val="7ADB3D1A"/>
    <w:rsid w:val="7AE44FF0"/>
    <w:rsid w:val="7AE74C21"/>
    <w:rsid w:val="7AED625C"/>
    <w:rsid w:val="7AF95CC7"/>
    <w:rsid w:val="7B05466C"/>
    <w:rsid w:val="7B0F55C7"/>
    <w:rsid w:val="7B12051D"/>
    <w:rsid w:val="7B1227F8"/>
    <w:rsid w:val="7B146EC2"/>
    <w:rsid w:val="7B204016"/>
    <w:rsid w:val="7B221D76"/>
    <w:rsid w:val="7B2815BE"/>
    <w:rsid w:val="7B34197A"/>
    <w:rsid w:val="7B3471FE"/>
    <w:rsid w:val="7B3665D4"/>
    <w:rsid w:val="7B36670C"/>
    <w:rsid w:val="7B3E6EE5"/>
    <w:rsid w:val="7B3F038B"/>
    <w:rsid w:val="7B5B603A"/>
    <w:rsid w:val="7B686D42"/>
    <w:rsid w:val="7B6E33D5"/>
    <w:rsid w:val="7B841746"/>
    <w:rsid w:val="7B8871AD"/>
    <w:rsid w:val="7B896839"/>
    <w:rsid w:val="7B8A5F60"/>
    <w:rsid w:val="7B8B18B3"/>
    <w:rsid w:val="7B902188"/>
    <w:rsid w:val="7B933A26"/>
    <w:rsid w:val="7B9A4DB4"/>
    <w:rsid w:val="7B9A7C65"/>
    <w:rsid w:val="7BA1502A"/>
    <w:rsid w:val="7BA619AB"/>
    <w:rsid w:val="7BB408EF"/>
    <w:rsid w:val="7BD5386A"/>
    <w:rsid w:val="7BD87DAF"/>
    <w:rsid w:val="7C006433"/>
    <w:rsid w:val="7C077F70"/>
    <w:rsid w:val="7C08209B"/>
    <w:rsid w:val="7C0B5619"/>
    <w:rsid w:val="7C2112C6"/>
    <w:rsid w:val="7C214A9B"/>
    <w:rsid w:val="7C283298"/>
    <w:rsid w:val="7C2D5C29"/>
    <w:rsid w:val="7C3D3207"/>
    <w:rsid w:val="7C4D40ED"/>
    <w:rsid w:val="7C5331B5"/>
    <w:rsid w:val="7C543611"/>
    <w:rsid w:val="7C5A11B1"/>
    <w:rsid w:val="7C6051E1"/>
    <w:rsid w:val="7C686C61"/>
    <w:rsid w:val="7C6B4A39"/>
    <w:rsid w:val="7C6B6751"/>
    <w:rsid w:val="7C6C5AC7"/>
    <w:rsid w:val="7C734F8A"/>
    <w:rsid w:val="7C952CBC"/>
    <w:rsid w:val="7C962567"/>
    <w:rsid w:val="7C9B7036"/>
    <w:rsid w:val="7CB24380"/>
    <w:rsid w:val="7CC6544B"/>
    <w:rsid w:val="7CCA7F56"/>
    <w:rsid w:val="7CD459A8"/>
    <w:rsid w:val="7CD71C7A"/>
    <w:rsid w:val="7CE04A49"/>
    <w:rsid w:val="7CE7227B"/>
    <w:rsid w:val="7CE808EB"/>
    <w:rsid w:val="7CEE2B0C"/>
    <w:rsid w:val="7CEF2EDE"/>
    <w:rsid w:val="7CF82511"/>
    <w:rsid w:val="7CF9080B"/>
    <w:rsid w:val="7CFE75C5"/>
    <w:rsid w:val="7D021373"/>
    <w:rsid w:val="7D0239FF"/>
    <w:rsid w:val="7D06498E"/>
    <w:rsid w:val="7D0A5F6A"/>
    <w:rsid w:val="7D0F17D2"/>
    <w:rsid w:val="7D146DD7"/>
    <w:rsid w:val="7D16032D"/>
    <w:rsid w:val="7D1E512D"/>
    <w:rsid w:val="7D1F2D8B"/>
    <w:rsid w:val="7D26180D"/>
    <w:rsid w:val="7D2668CC"/>
    <w:rsid w:val="7D2977E5"/>
    <w:rsid w:val="7D2B2488"/>
    <w:rsid w:val="7D2F13BD"/>
    <w:rsid w:val="7D3149F1"/>
    <w:rsid w:val="7D3704A9"/>
    <w:rsid w:val="7D3B1113"/>
    <w:rsid w:val="7D3D58E1"/>
    <w:rsid w:val="7D3E6C4C"/>
    <w:rsid w:val="7D40198C"/>
    <w:rsid w:val="7D4476CE"/>
    <w:rsid w:val="7D4509E9"/>
    <w:rsid w:val="7D4A0A5C"/>
    <w:rsid w:val="7D4A6037"/>
    <w:rsid w:val="7D5304F2"/>
    <w:rsid w:val="7D594473"/>
    <w:rsid w:val="7D5E40CD"/>
    <w:rsid w:val="7D6A22F9"/>
    <w:rsid w:val="7D6D33E9"/>
    <w:rsid w:val="7D747887"/>
    <w:rsid w:val="7D761BEF"/>
    <w:rsid w:val="7D76752F"/>
    <w:rsid w:val="7D833821"/>
    <w:rsid w:val="7D8601A6"/>
    <w:rsid w:val="7D8E6B9B"/>
    <w:rsid w:val="7D9F2B56"/>
    <w:rsid w:val="7DA22646"/>
    <w:rsid w:val="7DAC591A"/>
    <w:rsid w:val="7DBA7990"/>
    <w:rsid w:val="7DC74039"/>
    <w:rsid w:val="7DC9403A"/>
    <w:rsid w:val="7DCD56F2"/>
    <w:rsid w:val="7DCF00A4"/>
    <w:rsid w:val="7DF22173"/>
    <w:rsid w:val="7DF63F66"/>
    <w:rsid w:val="7DF6730A"/>
    <w:rsid w:val="7DF84738"/>
    <w:rsid w:val="7DFD2953"/>
    <w:rsid w:val="7DFF7CF0"/>
    <w:rsid w:val="7E093160"/>
    <w:rsid w:val="7E097FCF"/>
    <w:rsid w:val="7E0E3838"/>
    <w:rsid w:val="7E123328"/>
    <w:rsid w:val="7E196EF9"/>
    <w:rsid w:val="7E1F3C97"/>
    <w:rsid w:val="7E210588"/>
    <w:rsid w:val="7E3037AE"/>
    <w:rsid w:val="7E344D4A"/>
    <w:rsid w:val="7E404B5A"/>
    <w:rsid w:val="7E4159BB"/>
    <w:rsid w:val="7E4360C9"/>
    <w:rsid w:val="7E4F6F2D"/>
    <w:rsid w:val="7E5316BF"/>
    <w:rsid w:val="7E53749D"/>
    <w:rsid w:val="7E7D2446"/>
    <w:rsid w:val="7E951AB4"/>
    <w:rsid w:val="7EA23005"/>
    <w:rsid w:val="7EB54B00"/>
    <w:rsid w:val="7EBB62A3"/>
    <w:rsid w:val="7EC32874"/>
    <w:rsid w:val="7EC50D5E"/>
    <w:rsid w:val="7EC9254A"/>
    <w:rsid w:val="7ECD1FD6"/>
    <w:rsid w:val="7ED405DD"/>
    <w:rsid w:val="7ED7383E"/>
    <w:rsid w:val="7ED93E46"/>
    <w:rsid w:val="7EEA2122"/>
    <w:rsid w:val="7EFE24FB"/>
    <w:rsid w:val="7F001CE7"/>
    <w:rsid w:val="7F052E8D"/>
    <w:rsid w:val="7F075A07"/>
    <w:rsid w:val="7F265D93"/>
    <w:rsid w:val="7F284932"/>
    <w:rsid w:val="7F322032"/>
    <w:rsid w:val="7F325529"/>
    <w:rsid w:val="7F36260E"/>
    <w:rsid w:val="7F410CCC"/>
    <w:rsid w:val="7F441A8B"/>
    <w:rsid w:val="7F4A08A0"/>
    <w:rsid w:val="7F4C4618"/>
    <w:rsid w:val="7F571715"/>
    <w:rsid w:val="7F5B485B"/>
    <w:rsid w:val="7F6B48D1"/>
    <w:rsid w:val="7F735751"/>
    <w:rsid w:val="7F747196"/>
    <w:rsid w:val="7F775DA9"/>
    <w:rsid w:val="7F7A6C09"/>
    <w:rsid w:val="7F7B314F"/>
    <w:rsid w:val="7F7E59EA"/>
    <w:rsid w:val="7F801805"/>
    <w:rsid w:val="7F8746ED"/>
    <w:rsid w:val="7F885589"/>
    <w:rsid w:val="7F902C16"/>
    <w:rsid w:val="7F910D00"/>
    <w:rsid w:val="7F9135F0"/>
    <w:rsid w:val="7F920224"/>
    <w:rsid w:val="7FA75CF2"/>
    <w:rsid w:val="7FAE6FBC"/>
    <w:rsid w:val="7FB234F9"/>
    <w:rsid w:val="7FB81CAD"/>
    <w:rsid w:val="7FC42E8D"/>
    <w:rsid w:val="7FC5261C"/>
    <w:rsid w:val="7FCF092E"/>
    <w:rsid w:val="7FD35CBF"/>
    <w:rsid w:val="7FE47E50"/>
    <w:rsid w:val="7FEC6AD2"/>
    <w:rsid w:val="7FF902E4"/>
    <w:rsid w:val="7FFC03F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99"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72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39"/>
    <w:qFormat/>
    <w:uiPriority w:val="99"/>
    <w:pPr>
      <w:keepNext/>
      <w:overflowPunct w:val="0"/>
      <w:snapToGrid/>
      <w:spacing w:line="360" w:lineRule="auto"/>
      <w:ind w:firstLine="0" w:firstLineChars="0"/>
      <w:jc w:val="center"/>
      <w:outlineLvl w:val="0"/>
    </w:pPr>
    <w:rPr>
      <w:b/>
      <w:bCs/>
      <w:color w:val="000000"/>
      <w:kern w:val="44"/>
      <w:sz w:val="32"/>
      <w:szCs w:val="30"/>
    </w:rPr>
  </w:style>
  <w:style w:type="paragraph" w:styleId="3">
    <w:name w:val="heading 2"/>
    <w:basedOn w:val="1"/>
    <w:next w:val="1"/>
    <w:link w:val="40"/>
    <w:qFormat/>
    <w:uiPriority w:val="0"/>
    <w:pPr>
      <w:keepNext/>
      <w:keepLines/>
      <w:spacing w:line="360" w:lineRule="auto"/>
      <w:ind w:firstLine="0" w:firstLineChars="0"/>
      <w:jc w:val="left"/>
      <w:outlineLvl w:val="1"/>
    </w:pPr>
    <w:rPr>
      <w:rFonts w:ascii="Times New Roman" w:hAnsi="Times New Roman" w:cs="Times New Roman"/>
      <w:b/>
      <w:bCs/>
      <w:sz w:val="30"/>
      <w:szCs w:val="32"/>
    </w:rPr>
  </w:style>
  <w:style w:type="paragraph" w:styleId="4">
    <w:name w:val="heading 3"/>
    <w:basedOn w:val="1"/>
    <w:next w:val="1"/>
    <w:link w:val="41"/>
    <w:qFormat/>
    <w:uiPriority w:val="0"/>
    <w:pPr>
      <w:keepNext/>
      <w:keepLines/>
      <w:spacing w:line="360" w:lineRule="auto"/>
      <w:ind w:firstLine="0" w:firstLineChars="0"/>
      <w:jc w:val="left"/>
      <w:outlineLvl w:val="2"/>
    </w:pPr>
    <w:rPr>
      <w:b/>
      <w:bCs/>
      <w:sz w:val="28"/>
      <w:szCs w:val="32"/>
    </w:rPr>
  </w:style>
  <w:style w:type="paragraph" w:styleId="5">
    <w:name w:val="heading 4"/>
    <w:basedOn w:val="1"/>
    <w:next w:val="1"/>
    <w:link w:val="42"/>
    <w:qFormat/>
    <w:uiPriority w:val="0"/>
    <w:pPr>
      <w:keepNext/>
      <w:keepLines/>
      <w:spacing w:line="360" w:lineRule="auto"/>
      <w:ind w:firstLine="0" w:firstLineChars="0"/>
      <w:jc w:val="left"/>
      <w:outlineLvl w:val="3"/>
    </w:pPr>
    <w:rPr>
      <w:rFonts w:ascii="Times New Roman" w:hAnsi="Times New Roman" w:cs="Times New Roman"/>
      <w:b/>
      <w:bCs/>
      <w:sz w:val="24"/>
      <w:szCs w:val="28"/>
    </w:rPr>
  </w:style>
  <w:style w:type="character" w:default="1" w:styleId="29">
    <w:name w:val="Default Paragraph Font"/>
    <w:qFormat/>
    <w:uiPriority w:val="0"/>
  </w:style>
  <w:style w:type="table" w:default="1" w:styleId="27">
    <w:name w:val="Normal Table"/>
    <w:semiHidden/>
    <w:qFormat/>
    <w:uiPriority w:val="0"/>
    <w:tblPr>
      <w:tblCellMar>
        <w:top w:w="0" w:type="dxa"/>
        <w:left w:w="108" w:type="dxa"/>
        <w:bottom w:w="0" w:type="dxa"/>
        <w:right w:w="108" w:type="dxa"/>
      </w:tblCellMar>
    </w:tblPr>
  </w:style>
  <w:style w:type="paragraph" w:styleId="6">
    <w:name w:val="Note Heading"/>
    <w:basedOn w:val="1"/>
    <w:next w:val="1"/>
    <w:qFormat/>
    <w:uiPriority w:val="0"/>
    <w:pPr>
      <w:widowControl w:val="0"/>
      <w:jc w:val="left"/>
    </w:pPr>
    <w:rPr>
      <w:rFonts w:ascii="宋体" w:hAnsi="宋体" w:eastAsia="宋体" w:cs="Times New Roman"/>
      <w:sz w:val="24"/>
      <w:lang w:val="en-US" w:eastAsia="zh-CN" w:bidi="ar-SA"/>
    </w:rPr>
  </w:style>
  <w:style w:type="paragraph" w:styleId="7">
    <w:name w:val="Normal Indent"/>
    <w:basedOn w:val="1"/>
    <w:next w:val="1"/>
    <w:link w:val="43"/>
    <w:unhideWhenUsed/>
    <w:qFormat/>
    <w:uiPriority w:val="0"/>
    <w:pPr>
      <w:spacing w:line="360" w:lineRule="auto"/>
      <w:ind w:firstLine="420" w:firstLineChars="200"/>
    </w:pPr>
    <w:rPr>
      <w:kern w:val="0"/>
      <w:sz w:val="24"/>
      <w:szCs w:val="22"/>
    </w:rPr>
  </w:style>
  <w:style w:type="paragraph" w:styleId="8">
    <w:name w:val="caption"/>
    <w:basedOn w:val="1"/>
    <w:next w:val="1"/>
    <w:qFormat/>
    <w:uiPriority w:val="99"/>
    <w:pPr>
      <w:widowControl/>
      <w:jc w:val="center"/>
    </w:pPr>
    <w:rPr>
      <w:b/>
      <w:kern w:val="0"/>
      <w:sz w:val="24"/>
    </w:rPr>
  </w:style>
  <w:style w:type="paragraph" w:styleId="9">
    <w:name w:val="Document Map"/>
    <w:basedOn w:val="1"/>
    <w:semiHidden/>
    <w:qFormat/>
    <w:uiPriority w:val="0"/>
    <w:pPr>
      <w:shd w:val="clear" w:color="auto" w:fill="000080"/>
    </w:pPr>
  </w:style>
  <w:style w:type="paragraph" w:styleId="10">
    <w:name w:val="annotation text"/>
    <w:basedOn w:val="1"/>
    <w:link w:val="44"/>
    <w:qFormat/>
    <w:uiPriority w:val="99"/>
    <w:pPr>
      <w:jc w:val="left"/>
    </w:pPr>
    <w:rPr>
      <w:kern w:val="0"/>
      <w:sz w:val="24"/>
      <w:szCs w:val="20"/>
    </w:rPr>
  </w:style>
  <w:style w:type="paragraph" w:styleId="11">
    <w:name w:val="Salutation"/>
    <w:next w:val="1"/>
    <w:qFormat/>
    <w:uiPriority w:val="0"/>
    <w:pPr>
      <w:widowControl w:val="0"/>
      <w:jc w:val="both"/>
    </w:pPr>
    <w:rPr>
      <w:rFonts w:ascii="Calibri" w:hAnsi="Calibri" w:eastAsia="宋体" w:cs="Times New Roman"/>
      <w:kern w:val="2"/>
      <w:sz w:val="21"/>
      <w:szCs w:val="24"/>
      <w:lang w:val="en-US" w:eastAsia="zh-CN" w:bidi="ar-SA"/>
    </w:rPr>
  </w:style>
  <w:style w:type="paragraph" w:styleId="12">
    <w:name w:val="Body Text"/>
    <w:basedOn w:val="1"/>
    <w:next w:val="11"/>
    <w:link w:val="45"/>
    <w:qFormat/>
    <w:uiPriority w:val="0"/>
    <w:pPr>
      <w:widowControl/>
      <w:snapToGrid w:val="0"/>
      <w:spacing w:before="60" w:after="160" w:line="259" w:lineRule="auto"/>
      <w:ind w:right="113"/>
    </w:pPr>
    <w:rPr>
      <w:kern w:val="0"/>
      <w:sz w:val="18"/>
      <w:szCs w:val="20"/>
    </w:rPr>
  </w:style>
  <w:style w:type="paragraph" w:styleId="13">
    <w:name w:val="Body Text Indent"/>
    <w:basedOn w:val="1"/>
    <w:next w:val="1"/>
    <w:link w:val="46"/>
    <w:qFormat/>
    <w:uiPriority w:val="0"/>
    <w:pPr>
      <w:spacing w:after="120"/>
      <w:ind w:left="420" w:leftChars="200"/>
    </w:pPr>
    <w:rPr>
      <w:kern w:val="0"/>
      <w:sz w:val="24"/>
      <w:szCs w:val="20"/>
    </w:rPr>
  </w:style>
  <w:style w:type="paragraph" w:styleId="14">
    <w:name w:val="Date"/>
    <w:basedOn w:val="1"/>
    <w:next w:val="1"/>
    <w:link w:val="47"/>
    <w:qFormat/>
    <w:uiPriority w:val="0"/>
    <w:pPr>
      <w:ind w:left="100" w:leftChars="2500"/>
    </w:pPr>
    <w:rPr>
      <w:kern w:val="0"/>
      <w:sz w:val="24"/>
      <w:szCs w:val="20"/>
    </w:rPr>
  </w:style>
  <w:style w:type="paragraph" w:styleId="15">
    <w:name w:val="Body Text Indent 2"/>
    <w:basedOn w:val="1"/>
    <w:qFormat/>
    <w:uiPriority w:val="0"/>
    <w:pPr>
      <w:spacing w:line="360" w:lineRule="exact"/>
      <w:ind w:firstLine="465"/>
    </w:pPr>
    <w:rPr>
      <w:sz w:val="24"/>
    </w:rPr>
  </w:style>
  <w:style w:type="paragraph" w:styleId="16">
    <w:name w:val="Balloon Text"/>
    <w:basedOn w:val="1"/>
    <w:link w:val="48"/>
    <w:semiHidden/>
    <w:qFormat/>
    <w:uiPriority w:val="0"/>
    <w:rPr>
      <w:kern w:val="0"/>
      <w:sz w:val="18"/>
      <w:szCs w:val="20"/>
    </w:rPr>
  </w:style>
  <w:style w:type="paragraph" w:styleId="17">
    <w:name w:val="footer"/>
    <w:basedOn w:val="1"/>
    <w:link w:val="49"/>
    <w:qFormat/>
    <w:uiPriority w:val="0"/>
    <w:pPr>
      <w:tabs>
        <w:tab w:val="center" w:pos="4153"/>
        <w:tab w:val="right" w:pos="8306"/>
      </w:tabs>
      <w:snapToGrid w:val="0"/>
      <w:jc w:val="left"/>
    </w:pPr>
    <w:rPr>
      <w:kern w:val="0"/>
      <w:sz w:val="18"/>
      <w:szCs w:val="20"/>
    </w:rPr>
  </w:style>
  <w:style w:type="paragraph" w:styleId="18">
    <w:name w:val="header"/>
    <w:basedOn w:val="1"/>
    <w:link w:val="50"/>
    <w:qFormat/>
    <w:uiPriority w:val="0"/>
    <w:pPr>
      <w:pBdr>
        <w:bottom w:val="single" w:color="auto" w:sz="6" w:space="1"/>
      </w:pBdr>
      <w:tabs>
        <w:tab w:val="center" w:pos="4153"/>
        <w:tab w:val="right" w:pos="8306"/>
      </w:tabs>
      <w:snapToGrid w:val="0"/>
      <w:jc w:val="center"/>
    </w:pPr>
    <w:rPr>
      <w:kern w:val="0"/>
      <w:sz w:val="18"/>
      <w:szCs w:val="20"/>
    </w:rPr>
  </w:style>
  <w:style w:type="paragraph" w:styleId="19">
    <w:name w:val="toc 1"/>
    <w:basedOn w:val="1"/>
    <w:next w:val="1"/>
    <w:qFormat/>
    <w:uiPriority w:val="0"/>
  </w:style>
  <w:style w:type="paragraph" w:styleId="20">
    <w:name w:val="Body Text Indent 3"/>
    <w:basedOn w:val="1"/>
    <w:qFormat/>
    <w:uiPriority w:val="0"/>
    <w:pPr>
      <w:ind w:firstLine="480"/>
    </w:pPr>
  </w:style>
  <w:style w:type="paragraph" w:styleId="21">
    <w:name w:val="toc 2"/>
    <w:basedOn w:val="1"/>
    <w:next w:val="1"/>
    <w:qFormat/>
    <w:uiPriority w:val="0"/>
    <w:pPr>
      <w:ind w:left="240"/>
      <w:jc w:val="left"/>
    </w:pPr>
    <w:rPr>
      <w:rFonts w:ascii="Calibri" w:hAnsi="Calibri"/>
      <w:smallCaps/>
      <w:sz w:val="20"/>
      <w:szCs w:val="20"/>
    </w:rPr>
  </w:style>
  <w:style w:type="paragraph" w:styleId="22">
    <w:name w:val="Normal (Web)"/>
    <w:basedOn w:val="1"/>
    <w:link w:val="51"/>
    <w:qFormat/>
    <w:uiPriority w:val="0"/>
    <w:pPr>
      <w:widowControl/>
      <w:spacing w:before="100" w:beforeAutospacing="1" w:after="100" w:afterAutospacing="1"/>
      <w:jc w:val="left"/>
    </w:pPr>
    <w:rPr>
      <w:rFonts w:ascii="宋体" w:hAnsi="宋体"/>
      <w:kern w:val="0"/>
      <w:sz w:val="24"/>
      <w:szCs w:val="20"/>
    </w:rPr>
  </w:style>
  <w:style w:type="paragraph" w:styleId="23">
    <w:name w:val="Title"/>
    <w:basedOn w:val="1"/>
    <w:next w:val="1"/>
    <w:link w:val="52"/>
    <w:qFormat/>
    <w:uiPriority w:val="0"/>
    <w:pPr>
      <w:spacing w:before="240" w:after="60"/>
      <w:jc w:val="center"/>
      <w:outlineLvl w:val="0"/>
    </w:pPr>
    <w:rPr>
      <w:rFonts w:ascii="Cambria" w:hAnsi="Cambria" w:cs="Times New Roman"/>
      <w:b/>
      <w:bCs/>
      <w:sz w:val="32"/>
      <w:szCs w:val="32"/>
    </w:rPr>
  </w:style>
  <w:style w:type="paragraph" w:styleId="24">
    <w:name w:val="annotation subject"/>
    <w:basedOn w:val="10"/>
    <w:next w:val="10"/>
    <w:link w:val="53"/>
    <w:semiHidden/>
    <w:qFormat/>
    <w:uiPriority w:val="0"/>
    <w:rPr>
      <w:b/>
      <w:sz w:val="24"/>
      <w:szCs w:val="20"/>
    </w:rPr>
  </w:style>
  <w:style w:type="paragraph" w:styleId="25">
    <w:name w:val="Body Text First Indent"/>
    <w:basedOn w:val="12"/>
    <w:next w:val="1"/>
    <w:qFormat/>
    <w:uiPriority w:val="0"/>
    <w:pPr>
      <w:widowControl w:val="0"/>
      <w:spacing w:line="240" w:lineRule="exact"/>
      <w:ind w:firstLine="420" w:firstLineChars="100"/>
      <w:jc w:val="center"/>
    </w:pPr>
    <w:rPr>
      <w:rFonts w:ascii="Times New Roman" w:hAnsi="Times New Roman" w:eastAsia="宋体" w:cs="Times New Roman"/>
      <w:kern w:val="2"/>
      <w:sz w:val="28"/>
      <w:szCs w:val="20"/>
      <w:lang w:val="en-US" w:eastAsia="zh-CN" w:bidi="ar-SA"/>
    </w:rPr>
  </w:style>
  <w:style w:type="paragraph" w:styleId="26">
    <w:name w:val="Body Text First Indent 2"/>
    <w:basedOn w:val="13"/>
    <w:next w:val="25"/>
    <w:qFormat/>
    <w:uiPriority w:val="0"/>
    <w:pPr>
      <w:ind w:firstLine="420" w:firstLineChars="200"/>
    </w:pPr>
  </w:style>
  <w:style w:type="table" w:styleId="28">
    <w:name w:val="Table Grid"/>
    <w:basedOn w:val="27"/>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qFormat/>
    <w:uiPriority w:val="0"/>
    <w:rPr>
      <w:b/>
    </w:rPr>
  </w:style>
  <w:style w:type="character" w:styleId="31">
    <w:name w:val="page number"/>
    <w:qFormat/>
    <w:uiPriority w:val="0"/>
  </w:style>
  <w:style w:type="character" w:styleId="32">
    <w:name w:val="Emphasis"/>
    <w:qFormat/>
    <w:uiPriority w:val="0"/>
    <w:rPr>
      <w:i/>
    </w:rPr>
  </w:style>
  <w:style w:type="character" w:styleId="33">
    <w:name w:val="Hyperlink"/>
    <w:qFormat/>
    <w:uiPriority w:val="0"/>
    <w:rPr>
      <w:color w:val="0000FF"/>
      <w:u w:val="single"/>
    </w:rPr>
  </w:style>
  <w:style w:type="character" w:styleId="34">
    <w:name w:val="annotation reference"/>
    <w:qFormat/>
    <w:uiPriority w:val="99"/>
    <w:rPr>
      <w:sz w:val="21"/>
    </w:rPr>
  </w:style>
  <w:style w:type="paragraph" w:customStyle="1" w:styleId="35">
    <w:name w:val="Default"/>
    <w:basedOn w:val="36"/>
    <w:next w:val="37"/>
    <w:qFormat/>
    <w:uiPriority w:val="0"/>
    <w:pPr>
      <w:widowControl w:val="0"/>
      <w:autoSpaceDE w:val="0"/>
      <w:autoSpaceDN w:val="0"/>
      <w:adjustRightInd w:val="0"/>
    </w:pPr>
    <w:rPr>
      <w:rFonts w:ascii="宋体u.砸.葷." w:eastAsia="宋体u.砸.葷." w:cs="宋体u.砸.葷."/>
      <w:color w:val="000000"/>
      <w:sz w:val="24"/>
      <w:szCs w:val="24"/>
      <w:lang w:val="en-US" w:eastAsia="zh-CN" w:bidi="ar-SA"/>
    </w:rPr>
  </w:style>
  <w:style w:type="paragraph" w:customStyle="1" w:styleId="36">
    <w:name w:val="纯文本1"/>
    <w:basedOn w:val="1"/>
    <w:autoRedefine/>
    <w:qFormat/>
    <w:uiPriority w:val="0"/>
    <w:pPr>
      <w:adjustRightInd w:val="0"/>
    </w:pPr>
    <w:rPr>
      <w:rFonts w:ascii="宋体" w:hAnsi="Courier New"/>
      <w:szCs w:val="20"/>
    </w:rPr>
  </w:style>
  <w:style w:type="paragraph" w:customStyle="1" w:styleId="37">
    <w:name w:val="正文文字 6"/>
    <w:basedOn w:val="38"/>
    <w:next w:val="1"/>
    <w:autoRedefine/>
    <w:qFormat/>
    <w:uiPriority w:val="0"/>
    <w:pPr>
      <w:ind w:left="240"/>
      <w:jc w:val="both"/>
    </w:pPr>
    <w:rPr>
      <w:rFonts w:ascii="宋体" w:cs="Times New Roman"/>
      <w:bCs/>
      <w:sz w:val="32"/>
      <w:szCs w:val="32"/>
    </w:rPr>
  </w:style>
  <w:style w:type="paragraph" w:customStyle="1" w:styleId="38">
    <w:name w:val="TT标题"/>
    <w:basedOn w:val="1"/>
    <w:autoRedefine/>
    <w:qFormat/>
    <w:uiPriority w:val="0"/>
    <w:pPr>
      <w:jc w:val="center"/>
    </w:pPr>
    <w:rPr>
      <w:rFonts w:cs="宋体"/>
      <w:b/>
      <w:szCs w:val="20"/>
    </w:rPr>
  </w:style>
  <w:style w:type="character" w:customStyle="1" w:styleId="39">
    <w:name w:val="标题 1 Char"/>
    <w:link w:val="2"/>
    <w:qFormat/>
    <w:uiPriority w:val="99"/>
    <w:rPr>
      <w:rFonts w:ascii="Times New Roman" w:hAnsi="Times New Roman" w:eastAsia="宋体"/>
      <w:b/>
      <w:bCs/>
      <w:color w:val="000000"/>
      <w:kern w:val="44"/>
      <w:sz w:val="32"/>
      <w:szCs w:val="30"/>
    </w:rPr>
  </w:style>
  <w:style w:type="character" w:customStyle="1" w:styleId="40">
    <w:name w:val="标题 2 Char"/>
    <w:link w:val="3"/>
    <w:qFormat/>
    <w:uiPriority w:val="9"/>
    <w:rPr>
      <w:rFonts w:ascii="Times New Roman" w:hAnsi="Times New Roman" w:eastAsia="宋体" w:cs="Times New Roman"/>
      <w:b/>
      <w:bCs/>
      <w:kern w:val="2"/>
      <w:sz w:val="30"/>
      <w:szCs w:val="32"/>
    </w:rPr>
  </w:style>
  <w:style w:type="character" w:customStyle="1" w:styleId="41">
    <w:name w:val="标题 3 Char"/>
    <w:link w:val="4"/>
    <w:semiHidden/>
    <w:qFormat/>
    <w:uiPriority w:val="0"/>
    <w:rPr>
      <w:rFonts w:eastAsia="宋体"/>
      <w:b/>
      <w:bCs/>
      <w:kern w:val="2"/>
      <w:sz w:val="28"/>
      <w:szCs w:val="32"/>
    </w:rPr>
  </w:style>
  <w:style w:type="character" w:customStyle="1" w:styleId="42">
    <w:name w:val="标题 4 Char"/>
    <w:link w:val="5"/>
    <w:semiHidden/>
    <w:qFormat/>
    <w:uiPriority w:val="0"/>
    <w:rPr>
      <w:rFonts w:ascii="Times New Roman" w:hAnsi="Times New Roman" w:eastAsia="宋体" w:cs="Times New Roman"/>
      <w:b/>
      <w:bCs/>
      <w:kern w:val="2"/>
      <w:sz w:val="24"/>
      <w:szCs w:val="28"/>
    </w:rPr>
  </w:style>
  <w:style w:type="character" w:customStyle="1" w:styleId="43">
    <w:name w:val="正文缩进 Char"/>
    <w:link w:val="7"/>
    <w:qFormat/>
    <w:uiPriority w:val="0"/>
    <w:rPr>
      <w:sz w:val="24"/>
      <w:szCs w:val="22"/>
    </w:rPr>
  </w:style>
  <w:style w:type="character" w:customStyle="1" w:styleId="44">
    <w:name w:val="批注文字 Char"/>
    <w:link w:val="10"/>
    <w:qFormat/>
    <w:uiPriority w:val="99"/>
    <w:rPr>
      <w:rFonts w:ascii="Times New Roman" w:hAnsi="Times New Roman" w:eastAsia="宋体"/>
      <w:sz w:val="24"/>
    </w:rPr>
  </w:style>
  <w:style w:type="character" w:customStyle="1" w:styleId="45">
    <w:name w:val="正文文本 Char"/>
    <w:link w:val="12"/>
    <w:qFormat/>
    <w:uiPriority w:val="0"/>
    <w:rPr>
      <w:sz w:val="18"/>
    </w:rPr>
  </w:style>
  <w:style w:type="character" w:customStyle="1" w:styleId="46">
    <w:name w:val="正文文本缩进 Char"/>
    <w:link w:val="13"/>
    <w:semiHidden/>
    <w:qFormat/>
    <w:uiPriority w:val="0"/>
    <w:rPr>
      <w:rFonts w:ascii="Times New Roman" w:hAnsi="Times New Roman" w:eastAsia="宋体"/>
      <w:sz w:val="24"/>
    </w:rPr>
  </w:style>
  <w:style w:type="character" w:customStyle="1" w:styleId="47">
    <w:name w:val="日期 Char"/>
    <w:link w:val="14"/>
    <w:qFormat/>
    <w:uiPriority w:val="0"/>
    <w:rPr>
      <w:rFonts w:ascii="Times New Roman" w:hAnsi="Times New Roman" w:eastAsia="宋体"/>
      <w:sz w:val="24"/>
    </w:rPr>
  </w:style>
  <w:style w:type="character" w:customStyle="1" w:styleId="48">
    <w:name w:val="批注框文本 Char"/>
    <w:link w:val="16"/>
    <w:semiHidden/>
    <w:qFormat/>
    <w:uiPriority w:val="0"/>
    <w:rPr>
      <w:rFonts w:ascii="Times New Roman" w:hAnsi="Times New Roman" w:eastAsia="宋体"/>
      <w:sz w:val="18"/>
    </w:rPr>
  </w:style>
  <w:style w:type="character" w:customStyle="1" w:styleId="49">
    <w:name w:val="页脚 Char"/>
    <w:link w:val="17"/>
    <w:qFormat/>
    <w:uiPriority w:val="0"/>
    <w:rPr>
      <w:sz w:val="18"/>
    </w:rPr>
  </w:style>
  <w:style w:type="character" w:customStyle="1" w:styleId="50">
    <w:name w:val="页眉 Char"/>
    <w:link w:val="18"/>
    <w:qFormat/>
    <w:uiPriority w:val="0"/>
    <w:rPr>
      <w:sz w:val="18"/>
    </w:rPr>
  </w:style>
  <w:style w:type="character" w:customStyle="1" w:styleId="51">
    <w:name w:val="普通(网站) Char"/>
    <w:link w:val="22"/>
    <w:qFormat/>
    <w:uiPriority w:val="0"/>
    <w:rPr>
      <w:rFonts w:ascii="宋体" w:hAnsi="宋体" w:eastAsia="宋体"/>
      <w:sz w:val="24"/>
    </w:rPr>
  </w:style>
  <w:style w:type="character" w:customStyle="1" w:styleId="52">
    <w:name w:val="标题 Char"/>
    <w:link w:val="23"/>
    <w:qFormat/>
    <w:uiPriority w:val="0"/>
    <w:rPr>
      <w:rFonts w:ascii="Cambria" w:hAnsi="Cambria" w:cs="Times New Roman"/>
      <w:b/>
      <w:bCs/>
      <w:kern w:val="2"/>
      <w:sz w:val="32"/>
      <w:szCs w:val="32"/>
    </w:rPr>
  </w:style>
  <w:style w:type="character" w:customStyle="1" w:styleId="53">
    <w:name w:val="批注主题 Char"/>
    <w:link w:val="24"/>
    <w:semiHidden/>
    <w:qFormat/>
    <w:uiPriority w:val="0"/>
    <w:rPr>
      <w:rFonts w:ascii="Times New Roman" w:hAnsi="Times New Roman" w:eastAsia="宋体"/>
      <w:b/>
      <w:kern w:val="2"/>
      <w:sz w:val="24"/>
    </w:rPr>
  </w:style>
  <w:style w:type="character" w:customStyle="1" w:styleId="54">
    <w:name w:val="font21"/>
    <w:qFormat/>
    <w:uiPriority w:val="0"/>
    <w:rPr>
      <w:rFonts w:hint="default" w:ascii="Times New Roman" w:hAnsi="Times New Roman" w:cs="Times New Roman"/>
      <w:color w:val="000000"/>
      <w:sz w:val="21"/>
      <w:szCs w:val="21"/>
      <w:u w:val="none"/>
    </w:rPr>
  </w:style>
  <w:style w:type="character" w:customStyle="1" w:styleId="55">
    <w:name w:val="表格 Char"/>
    <w:link w:val="56"/>
    <w:qFormat/>
    <w:uiPriority w:val="0"/>
    <w:rPr>
      <w:rFonts w:ascii="宋体"/>
      <w:sz w:val="21"/>
    </w:rPr>
  </w:style>
  <w:style w:type="paragraph" w:customStyle="1" w:styleId="56">
    <w:name w:val="表格"/>
    <w:basedOn w:val="57"/>
    <w:link w:val="55"/>
    <w:qFormat/>
    <w:uiPriority w:val="0"/>
    <w:pPr>
      <w:adjustRightInd w:val="0"/>
      <w:snapToGrid w:val="0"/>
      <w:spacing w:beforeLines="10" w:afterLines="10" w:line="259" w:lineRule="auto"/>
      <w:jc w:val="center"/>
    </w:pPr>
    <w:rPr>
      <w:rFonts w:ascii="宋体"/>
      <w:kern w:val="0"/>
      <w:szCs w:val="20"/>
    </w:rPr>
  </w:style>
  <w:style w:type="paragraph" w:customStyle="1" w:styleId="57">
    <w:name w:val="正文3"/>
    <w:basedOn w:val="1"/>
    <w:qFormat/>
    <w:uiPriority w:val="0"/>
    <w:pPr>
      <w:spacing w:line="360" w:lineRule="auto"/>
      <w:ind w:firstLine="361" w:firstLineChars="200"/>
    </w:pPr>
    <w:rPr>
      <w:rFonts w:ascii="Times New Roman" w:hAnsi="Times New Roman"/>
      <w:sz w:val="24"/>
    </w:rPr>
  </w:style>
  <w:style w:type="character" w:customStyle="1" w:styleId="58">
    <w:name w:val="表格标题 Char1"/>
    <w:link w:val="59"/>
    <w:qFormat/>
    <w:uiPriority w:val="0"/>
    <w:rPr>
      <w:b/>
      <w:sz w:val="24"/>
      <w:szCs w:val="24"/>
    </w:rPr>
  </w:style>
  <w:style w:type="paragraph" w:customStyle="1" w:styleId="59">
    <w:name w:val="表格标题"/>
    <w:basedOn w:val="1"/>
    <w:link w:val="58"/>
    <w:qFormat/>
    <w:uiPriority w:val="0"/>
    <w:pPr>
      <w:spacing w:line="360" w:lineRule="auto"/>
      <w:ind w:left="420" w:hanging="420"/>
      <w:jc w:val="center"/>
      <w:outlineLvl w:val="4"/>
    </w:pPr>
    <w:rPr>
      <w:b/>
      <w:kern w:val="0"/>
      <w:sz w:val="24"/>
    </w:rPr>
  </w:style>
  <w:style w:type="character" w:customStyle="1" w:styleId="60">
    <w:name w:val="zhang正文 Char1"/>
    <w:link w:val="61"/>
    <w:qFormat/>
    <w:uiPriority w:val="0"/>
    <w:rPr>
      <w:rFonts w:eastAsia="楷体_GB2312"/>
      <w:sz w:val="28"/>
    </w:rPr>
  </w:style>
  <w:style w:type="paragraph" w:customStyle="1" w:styleId="61">
    <w:name w:val="zhang正文"/>
    <w:basedOn w:val="13"/>
    <w:next w:val="1"/>
    <w:link w:val="60"/>
    <w:qFormat/>
    <w:uiPriority w:val="0"/>
    <w:pPr>
      <w:autoSpaceDE w:val="0"/>
      <w:autoSpaceDN w:val="0"/>
      <w:adjustRightInd w:val="0"/>
      <w:snapToGrid w:val="0"/>
      <w:spacing w:after="0" w:line="500" w:lineRule="exact"/>
      <w:ind w:left="0" w:leftChars="0" w:firstLine="539"/>
      <w:textAlignment w:val="baseline"/>
    </w:pPr>
    <w:rPr>
      <w:rFonts w:eastAsia="楷体_GB2312"/>
      <w:sz w:val="28"/>
    </w:rPr>
  </w:style>
  <w:style w:type="character" w:customStyle="1" w:styleId="62">
    <w:name w:val="font01"/>
    <w:qFormat/>
    <w:uiPriority w:val="0"/>
    <w:rPr>
      <w:rFonts w:ascii="Arial" w:hAnsi="Arial" w:cs="Arial"/>
      <w:color w:val="000000"/>
      <w:sz w:val="20"/>
      <w:szCs w:val="20"/>
      <w:u w:val="none"/>
    </w:rPr>
  </w:style>
  <w:style w:type="character" w:customStyle="1" w:styleId="63">
    <w:name w:val="font41"/>
    <w:qFormat/>
    <w:uiPriority w:val="0"/>
    <w:rPr>
      <w:rFonts w:hint="default" w:ascii="Times New Roman" w:hAnsi="Times New Roman" w:cs="Times New Roman"/>
      <w:color w:val="000000"/>
      <w:sz w:val="24"/>
      <w:szCs w:val="24"/>
      <w:u w:val="none"/>
      <w:vertAlign w:val="superscript"/>
    </w:rPr>
  </w:style>
  <w:style w:type="character" w:customStyle="1" w:styleId="64">
    <w:name w:val="日期 字符"/>
    <w:semiHidden/>
    <w:qFormat/>
    <w:uiPriority w:val="0"/>
    <w:rPr>
      <w:rFonts w:ascii="Times New Roman" w:hAnsi="Times New Roman" w:eastAsia="宋体"/>
      <w:sz w:val="24"/>
    </w:rPr>
  </w:style>
  <w:style w:type="character" w:customStyle="1" w:styleId="65">
    <w:name w:val="表格标题 Char"/>
    <w:qFormat/>
    <w:uiPriority w:val="0"/>
    <w:rPr>
      <w:b/>
      <w:color w:val="222222"/>
      <w:sz w:val="24"/>
    </w:rPr>
  </w:style>
  <w:style w:type="character" w:customStyle="1" w:styleId="66">
    <w:name w:val="表格内容 Char1"/>
    <w:qFormat/>
    <w:uiPriority w:val="0"/>
    <w:rPr>
      <w:rFonts w:ascii="宋体" w:hAnsi="宋体" w:eastAsia="宋体"/>
      <w:kern w:val="0"/>
      <w:sz w:val="21"/>
    </w:rPr>
  </w:style>
  <w:style w:type="character" w:customStyle="1" w:styleId="67">
    <w:name w:val="font31"/>
    <w:qFormat/>
    <w:uiPriority w:val="0"/>
    <w:rPr>
      <w:rFonts w:hint="default" w:ascii="Times New Roman" w:hAnsi="Times New Roman" w:cs="Times New Roman"/>
      <w:color w:val="000000"/>
      <w:sz w:val="24"/>
      <w:szCs w:val="24"/>
      <w:u w:val="none"/>
    </w:rPr>
  </w:style>
  <w:style w:type="character" w:customStyle="1" w:styleId="68">
    <w:name w:val="正文文本 字符1"/>
    <w:semiHidden/>
    <w:qFormat/>
    <w:uiPriority w:val="0"/>
    <w:rPr>
      <w:rFonts w:ascii="Times New Roman" w:hAnsi="Times New Roman" w:eastAsia="宋体"/>
      <w:sz w:val="24"/>
    </w:rPr>
  </w:style>
  <w:style w:type="character" w:customStyle="1" w:styleId="69">
    <w:name w:val="font11"/>
    <w:qFormat/>
    <w:uiPriority w:val="0"/>
    <w:rPr>
      <w:rFonts w:hint="eastAsia" w:ascii="宋体" w:hAnsi="宋体" w:eastAsia="宋体" w:cs="宋体"/>
      <w:color w:val="000000"/>
      <w:sz w:val="21"/>
      <w:szCs w:val="21"/>
      <w:u w:val="none"/>
    </w:rPr>
  </w:style>
  <w:style w:type="character" w:customStyle="1" w:styleId="70">
    <w:name w:val="图文标题 Char"/>
    <w:link w:val="71"/>
    <w:qFormat/>
    <w:uiPriority w:val="0"/>
    <w:rPr>
      <w:rFonts w:ascii="Arial" w:hAnsi="Arial"/>
      <w:b/>
      <w:kern w:val="2"/>
      <w:sz w:val="24"/>
      <w:szCs w:val="22"/>
    </w:rPr>
  </w:style>
  <w:style w:type="paragraph" w:customStyle="1" w:styleId="71">
    <w:name w:val="图文标题"/>
    <w:basedOn w:val="1"/>
    <w:next w:val="1"/>
    <w:link w:val="70"/>
    <w:qFormat/>
    <w:uiPriority w:val="0"/>
    <w:pPr>
      <w:spacing w:line="360" w:lineRule="auto"/>
      <w:jc w:val="center"/>
    </w:pPr>
    <w:rPr>
      <w:rFonts w:ascii="Arial" w:hAnsi="Arial"/>
      <w:b/>
      <w:sz w:val="24"/>
      <w:szCs w:val="22"/>
    </w:rPr>
  </w:style>
  <w:style w:type="character" w:customStyle="1" w:styleId="72">
    <w:name w:val="表格内容 Char"/>
    <w:link w:val="73"/>
    <w:qFormat/>
    <w:uiPriority w:val="0"/>
    <w:rPr>
      <w:kern w:val="2"/>
      <w:sz w:val="21"/>
      <w:szCs w:val="22"/>
    </w:rPr>
  </w:style>
  <w:style w:type="paragraph" w:customStyle="1" w:styleId="73">
    <w:name w:val="表格内容"/>
    <w:basedOn w:val="1"/>
    <w:next w:val="12"/>
    <w:link w:val="72"/>
    <w:qFormat/>
    <w:uiPriority w:val="0"/>
    <w:pPr>
      <w:jc w:val="center"/>
    </w:pPr>
    <w:rPr>
      <w:szCs w:val="22"/>
    </w:rPr>
  </w:style>
  <w:style w:type="character" w:customStyle="1" w:styleId="74">
    <w:name w:val="页脚 字符"/>
    <w:qFormat/>
    <w:uiPriority w:val="99"/>
  </w:style>
  <w:style w:type="character" w:customStyle="1" w:styleId="75">
    <w:name w:val="1表格 Char"/>
    <w:link w:val="76"/>
    <w:qFormat/>
    <w:uiPriority w:val="0"/>
    <w:rPr>
      <w:rFonts w:eastAsia="仿宋_GB2312"/>
      <w:kern w:val="2"/>
      <w:sz w:val="21"/>
      <w:szCs w:val="21"/>
    </w:rPr>
  </w:style>
  <w:style w:type="paragraph" w:customStyle="1" w:styleId="76">
    <w:name w:val="1表格"/>
    <w:basedOn w:val="1"/>
    <w:link w:val="75"/>
    <w:qFormat/>
    <w:uiPriority w:val="0"/>
    <w:pPr>
      <w:snapToGrid w:val="0"/>
      <w:jc w:val="center"/>
      <w:outlineLvl w:val="4"/>
    </w:pPr>
    <w:rPr>
      <w:rFonts w:eastAsia="仿宋_GB2312"/>
      <w:szCs w:val="21"/>
    </w:rPr>
  </w:style>
  <w:style w:type="character" w:customStyle="1" w:styleId="77">
    <w:name w:val="批注文字 字符1"/>
    <w:semiHidden/>
    <w:qFormat/>
    <w:uiPriority w:val="0"/>
    <w:rPr>
      <w:rFonts w:ascii="Times New Roman" w:hAnsi="Times New Roman" w:eastAsia="宋体"/>
      <w:sz w:val="24"/>
    </w:rPr>
  </w:style>
  <w:style w:type="character" w:customStyle="1" w:styleId="78">
    <w:name w:val="表格 Char Char"/>
    <w:qFormat/>
    <w:uiPriority w:val="0"/>
    <w:rPr>
      <w:rFonts w:eastAsia="宋体"/>
      <w:kern w:val="2"/>
      <w:sz w:val="21"/>
      <w:szCs w:val="24"/>
      <w:lang w:val="en-US" w:eastAsia="zh-CN" w:bidi="ar-SA"/>
    </w:rPr>
  </w:style>
  <w:style w:type="character" w:customStyle="1" w:styleId="79">
    <w:name w:val="样式 zhang正文 + 宋体 小四 Char"/>
    <w:link w:val="80"/>
    <w:qFormat/>
    <w:uiPriority w:val="0"/>
    <w:rPr>
      <w:rFonts w:ascii="宋体" w:hAnsi="宋体" w:eastAsia="宋体"/>
      <w:sz w:val="24"/>
    </w:rPr>
  </w:style>
  <w:style w:type="paragraph" w:customStyle="1" w:styleId="80">
    <w:name w:val="样式 zhang正文 + 宋体 小四"/>
    <w:basedOn w:val="61"/>
    <w:link w:val="79"/>
    <w:qFormat/>
    <w:uiPriority w:val="0"/>
    <w:rPr>
      <w:rFonts w:ascii="宋体" w:hAnsi="宋体" w:eastAsia="宋体"/>
      <w:sz w:val="24"/>
    </w:rPr>
  </w:style>
  <w:style w:type="paragraph" w:customStyle="1" w:styleId="81">
    <w:name w:val="（环评）表头（小四）"/>
    <w:basedOn w:val="1"/>
    <w:qFormat/>
    <w:uiPriority w:val="0"/>
    <w:pPr>
      <w:spacing w:line="240" w:lineRule="auto"/>
      <w:ind w:firstLine="0" w:firstLineChars="0"/>
      <w:jc w:val="center"/>
    </w:pPr>
    <w:rPr>
      <w:rFonts w:ascii="宋体" w:hAnsi="宋体" w:eastAsia="宋体" w:cs="宋体"/>
      <w:b/>
      <w:color w:val="000000"/>
      <w:kern w:val="0"/>
      <w:sz w:val="24"/>
      <w:szCs w:val="28"/>
      <w:lang w:val="zh-TW" w:eastAsia="zh-TW" w:bidi="zh-TW"/>
    </w:rPr>
  </w:style>
  <w:style w:type="paragraph" w:customStyle="1" w:styleId="82">
    <w:name w:val="Table Text"/>
    <w:basedOn w:val="1"/>
    <w:semiHidden/>
    <w:qFormat/>
    <w:uiPriority w:val="0"/>
    <w:rPr>
      <w:rFonts w:ascii="Times New Roman" w:hAnsi="Times New Roman" w:eastAsia="Times New Roman" w:cs="Times New Roman"/>
      <w:sz w:val="20"/>
      <w:szCs w:val="20"/>
      <w:lang w:val="en-US" w:eastAsia="en-US" w:bidi="ar-SA"/>
    </w:rPr>
  </w:style>
  <w:style w:type="paragraph" w:customStyle="1" w:styleId="83">
    <w:name w:val="报告表  段"/>
    <w:basedOn w:val="1"/>
    <w:qFormat/>
    <w:uiPriority w:val="0"/>
    <w:pPr>
      <w:adjustRightInd w:val="0"/>
      <w:ind w:firstLine="505" w:firstLineChars="0"/>
      <w:textAlignment w:val="baseline"/>
    </w:pPr>
    <w:rPr>
      <w:rFonts w:ascii="宋体"/>
      <w:kern w:val="0"/>
      <w:szCs w:val="20"/>
    </w:rPr>
  </w:style>
  <w:style w:type="paragraph" w:customStyle="1" w:styleId="84">
    <w:name w:val="正文_11"/>
    <w:qFormat/>
    <w:uiPriority w:val="0"/>
    <w:pPr>
      <w:widowControl w:val="0"/>
      <w:jc w:val="both"/>
    </w:pPr>
    <w:rPr>
      <w:rFonts w:ascii="Calibri" w:hAnsi="Calibri" w:eastAsia="宋体" w:cs="Times New Roman"/>
      <w:kern w:val="2"/>
      <w:sz w:val="21"/>
      <w:lang w:val="en-US" w:eastAsia="zh-CN" w:bidi="ar-SA"/>
    </w:rPr>
  </w:style>
  <w:style w:type="paragraph" w:customStyle="1" w:styleId="85">
    <w:name w:val="表正文"/>
    <w:basedOn w:val="1"/>
    <w:qFormat/>
    <w:uiPriority w:val="0"/>
    <w:pPr>
      <w:spacing w:line="360" w:lineRule="auto"/>
      <w:ind w:firstLine="200" w:firstLineChars="200"/>
    </w:pPr>
    <w:rPr>
      <w:sz w:val="24"/>
    </w:rPr>
  </w:style>
  <w:style w:type="paragraph" w:customStyle="1" w:styleId="86">
    <w:name w:val="（环评）表格内容"/>
    <w:basedOn w:val="1"/>
    <w:next w:val="12"/>
    <w:qFormat/>
    <w:uiPriority w:val="0"/>
    <w:pPr>
      <w:adjustRightInd w:val="0"/>
      <w:snapToGrid w:val="0"/>
      <w:spacing w:line="240" w:lineRule="auto"/>
      <w:ind w:firstLine="0" w:firstLineChars="0"/>
      <w:jc w:val="center"/>
    </w:pPr>
    <w:rPr>
      <w:iCs/>
      <w:kern w:val="0"/>
      <w:sz w:val="21"/>
      <w:szCs w:val="21"/>
    </w:rPr>
  </w:style>
  <w:style w:type="paragraph" w:customStyle="1" w:styleId="87">
    <w:name w:val="Table Paragraph"/>
    <w:qFormat/>
    <w:uiPriority w:val="1"/>
    <w:pPr>
      <w:widowControl w:val="0"/>
      <w:jc w:val="both"/>
    </w:pPr>
    <w:rPr>
      <w:rFonts w:ascii="宋体" w:hAnsi="宋体" w:eastAsia="宋体" w:cs="宋体"/>
      <w:kern w:val="2"/>
      <w:sz w:val="21"/>
      <w:szCs w:val="24"/>
      <w:lang w:val="en-US" w:eastAsia="en-US" w:bidi="en-US"/>
    </w:rPr>
  </w:style>
  <w:style w:type="paragraph" w:customStyle="1" w:styleId="88">
    <w:name w:val="一级aaa"/>
    <w:basedOn w:val="2"/>
    <w:qFormat/>
    <w:uiPriority w:val="0"/>
    <w:pPr>
      <w:keepNext w:val="0"/>
      <w:keepLines w:val="0"/>
      <w:widowControl w:val="0"/>
      <w:adjustRightInd w:val="0"/>
      <w:snapToGrid w:val="0"/>
      <w:spacing w:before="100" w:beforeLines="100" w:after="100" w:afterLines="100" w:line="360" w:lineRule="auto"/>
    </w:pPr>
    <w:rPr>
      <w:sz w:val="32"/>
    </w:rPr>
  </w:style>
  <w:style w:type="paragraph" w:customStyle="1" w:styleId="89">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90">
    <w:name w:val="xl57"/>
    <w:basedOn w:val="1"/>
    <w:qFormat/>
    <w:uiPriority w:val="0"/>
    <w:pPr>
      <w:widowControl/>
      <w:pBdr>
        <w:top w:val="single" w:color="auto" w:sz="4" w:space="0"/>
        <w:left w:val="single" w:color="auto" w:sz="4" w:space="0"/>
        <w:bottom w:val="single" w:color="auto" w:sz="4" w:space="0"/>
      </w:pBdr>
      <w:autoSpaceDE/>
      <w:adjustRightInd/>
      <w:spacing w:before="100" w:beforeLines="0" w:beforeAutospacing="1" w:after="100" w:afterLines="0" w:afterAutospacing="1" w:line="240" w:lineRule="auto"/>
      <w:ind w:firstLine="0" w:firstLineChars="0"/>
      <w:textAlignment w:val="center"/>
    </w:pPr>
    <w:rPr>
      <w:rFonts w:ascii="Times New Roman"/>
      <w:b/>
      <w:bCs/>
      <w:color w:val="auto"/>
      <w:kern w:val="0"/>
      <w:sz w:val="20"/>
      <w:szCs w:val="20"/>
    </w:rPr>
  </w:style>
  <w:style w:type="paragraph" w:customStyle="1" w:styleId="91">
    <w:name w:val="报表正文"/>
    <w:basedOn w:val="1"/>
    <w:qFormat/>
    <w:uiPriority w:val="0"/>
    <w:pPr>
      <w:adjustRightInd w:val="0"/>
      <w:snapToGrid w:val="0"/>
      <w:spacing w:line="360" w:lineRule="auto"/>
      <w:ind w:firstLine="200" w:firstLineChars="200"/>
    </w:pPr>
    <w:rPr>
      <w:rFonts w:eastAsia="楷体_GB2312"/>
      <w:szCs w:val="28"/>
    </w:rPr>
  </w:style>
  <w:style w:type="paragraph" w:customStyle="1" w:styleId="92">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3">
    <w:name w:val="（环评）正文（小四）"/>
    <w:basedOn w:val="1"/>
    <w:qFormat/>
    <w:uiPriority w:val="0"/>
    <w:pPr>
      <w:ind w:firstLine="643"/>
    </w:pPr>
    <w:rPr>
      <w:rFonts w:ascii="Calibri" w:hAnsi="Calibri"/>
      <w:kern w:val="0"/>
      <w:szCs w:val="20"/>
    </w:rPr>
  </w:style>
  <w:style w:type="paragraph" w:customStyle="1" w:styleId="94">
    <w:name w:val="0正文"/>
    <w:basedOn w:val="1"/>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eastAsia="宋体" w:cs="Times New Roman"/>
      <w:kern w:val="2"/>
      <w:sz w:val="24"/>
      <w:szCs w:val="24"/>
      <w:lang w:val="en-US" w:eastAsia="zh-CN" w:bidi="ar"/>
    </w:rPr>
  </w:style>
  <w:style w:type="paragraph" w:customStyle="1" w:styleId="95">
    <w:name w:val="表头"/>
    <w:basedOn w:val="1"/>
    <w:next w:val="1"/>
    <w:qFormat/>
    <w:uiPriority w:val="0"/>
    <w:pPr>
      <w:spacing w:line="360" w:lineRule="auto"/>
      <w:jc w:val="center"/>
    </w:pPr>
    <w:rPr>
      <w:b/>
      <w:sz w:val="24"/>
      <w:szCs w:val="22"/>
    </w:rPr>
  </w:style>
  <w:style w:type="paragraph" w:customStyle="1" w:styleId="96">
    <w:name w:val="表格标题CCW"/>
    <w:qFormat/>
    <w:uiPriority w:val="0"/>
    <w:pPr>
      <w:jc w:val="center"/>
    </w:pPr>
    <w:rPr>
      <w:rFonts w:ascii="Times New Roman" w:hAnsi="Times New Roman" w:eastAsia="宋体" w:cs="Times New Roman"/>
      <w:b/>
      <w:kern w:val="2"/>
      <w:sz w:val="24"/>
      <w:szCs w:val="22"/>
      <w:lang w:val="en-US" w:eastAsia="zh-CN" w:bidi="ar-SA"/>
    </w:rPr>
  </w:style>
  <w:style w:type="paragraph" w:customStyle="1" w:styleId="97">
    <w:name w:val="CM11"/>
    <w:basedOn w:val="1"/>
    <w:next w:val="1"/>
    <w:qFormat/>
    <w:uiPriority w:val="0"/>
    <w:pPr>
      <w:autoSpaceDE w:val="0"/>
      <w:autoSpaceDN w:val="0"/>
      <w:adjustRightInd w:val="0"/>
      <w:spacing w:line="520" w:lineRule="atLeast"/>
      <w:jc w:val="left"/>
    </w:pPr>
    <w:rPr>
      <w:rFonts w:ascii="宋体"/>
      <w:kern w:val="0"/>
      <w:sz w:val="24"/>
    </w:rPr>
  </w:style>
  <w:style w:type="paragraph" w:customStyle="1" w:styleId="98">
    <w:name w:val="表格样式"/>
    <w:basedOn w:val="1"/>
    <w:qFormat/>
    <w:uiPriority w:val="0"/>
    <w:pPr>
      <w:adjustRightInd w:val="0"/>
      <w:snapToGrid w:val="0"/>
      <w:spacing w:line="240" w:lineRule="auto"/>
      <w:ind w:firstLine="0" w:firstLineChars="0"/>
      <w:jc w:val="center"/>
    </w:pPr>
    <w:rPr>
      <w:rFonts w:eastAsia="宋体"/>
      <w:sz w:val="21"/>
    </w:rPr>
  </w:style>
  <w:style w:type="paragraph" w:customStyle="1" w:styleId="99">
    <w:name w:val="4正文"/>
    <w:basedOn w:val="1"/>
    <w:qFormat/>
    <w:uiPriority w:val="0"/>
    <w:pPr>
      <w:adjustRightInd w:val="0"/>
      <w:snapToGrid w:val="0"/>
      <w:spacing w:line="360" w:lineRule="auto"/>
      <w:ind w:firstLine="480" w:firstLineChars="200"/>
    </w:pPr>
    <w:rPr>
      <w:rFonts w:eastAsia="宋体" w:cs="宋体"/>
      <w:sz w:val="24"/>
    </w:rPr>
  </w:style>
  <w:style w:type="paragraph" w:customStyle="1" w:styleId="100">
    <w:name w:val="样式 小四 行距: 固定值 30 磅 首行缩进:  2 字符1"/>
    <w:qFormat/>
    <w:uiPriority w:val="0"/>
    <w:pPr>
      <w:widowControl w:val="0"/>
      <w:ind w:firstLine="200"/>
      <w:jc w:val="both"/>
    </w:pPr>
    <w:rPr>
      <w:rFonts w:ascii="Calibri" w:hAnsi="Calibri" w:eastAsia="宋体" w:cs="宋体"/>
      <w:kern w:val="2"/>
      <w:sz w:val="21"/>
      <w:szCs w:val="24"/>
      <w:lang w:val="en-US" w:eastAsia="zh-CN" w:bidi="ar-SA"/>
    </w:rPr>
  </w:style>
  <w:style w:type="paragraph" w:customStyle="1" w:styleId="101">
    <w:name w:val="111表格"/>
    <w:basedOn w:val="1"/>
    <w:qFormat/>
    <w:uiPriority w:val="0"/>
    <w:pPr>
      <w:autoSpaceDE w:val="0"/>
      <w:autoSpaceDN w:val="0"/>
      <w:adjustRightInd w:val="0"/>
      <w:snapToGrid w:val="0"/>
      <w:spacing w:line="360" w:lineRule="auto"/>
      <w:ind w:firstLine="200" w:firstLineChars="200"/>
    </w:pPr>
    <w:rPr>
      <w:rFonts w:cs="宋体"/>
      <w:kern w:val="0"/>
      <w:szCs w:val="21"/>
    </w:rPr>
  </w:style>
  <w:style w:type="paragraph" w:customStyle="1" w:styleId="102">
    <w:name w:val="样式 标题 1 + 首行缩进:  0 字符"/>
    <w:basedOn w:val="2"/>
    <w:next w:val="90"/>
    <w:qFormat/>
    <w:uiPriority w:val="99"/>
    <w:pPr>
      <w:autoSpaceDE/>
      <w:adjustRightInd/>
      <w:spacing w:before="0" w:beforeLines="0" w:after="0" w:afterLines="0" w:line="520" w:lineRule="exact"/>
      <w:ind w:firstLine="0" w:firstLineChars="0"/>
      <w:jc w:val="both"/>
    </w:pPr>
    <w:rPr>
      <w:rFonts w:ascii="Arial" w:hAnsi="Arial" w:eastAsia="黑体" w:cs="宋体"/>
      <w:color w:val="auto"/>
      <w:sz w:val="30"/>
      <w:szCs w:val="20"/>
    </w:rPr>
  </w:style>
  <w:style w:type="paragraph" w:customStyle="1" w:styleId="103">
    <w:name w:val="a表格"/>
    <w:basedOn w:val="1"/>
    <w:qFormat/>
    <w:uiPriority w:val="0"/>
    <w:pPr>
      <w:snapToGrid w:val="0"/>
      <w:ind w:firstLine="0"/>
      <w:jc w:val="center"/>
    </w:pPr>
    <w:rPr>
      <w:rFonts w:eastAsia="宋体"/>
      <w:sz w:val="21"/>
      <w:szCs w:val="24"/>
    </w:rPr>
  </w:style>
  <w:style w:type="paragraph" w:customStyle="1" w:styleId="104">
    <w:name w:val="表格名称"/>
    <w:next w:val="1"/>
    <w:qFormat/>
    <w:uiPriority w:val="0"/>
    <w:pPr>
      <w:widowControl w:val="0"/>
      <w:spacing w:line="360" w:lineRule="auto"/>
      <w:jc w:val="center"/>
    </w:pPr>
    <w:rPr>
      <w:rFonts w:ascii="Times New Roman" w:hAnsi="Times New Roman" w:eastAsia="宋体" w:cs="Times New Roman"/>
      <w:b/>
      <w:sz w:val="24"/>
      <w:szCs w:val="21"/>
      <w:lang w:val="en-US" w:eastAsia="zh-CN" w:bidi="ar-SA"/>
    </w:rPr>
  </w:style>
  <w:style w:type="paragraph" w:customStyle="1" w:styleId="105">
    <w:name w:val="表格固定文字"/>
    <w:basedOn w:val="1"/>
    <w:qFormat/>
    <w:uiPriority w:val="0"/>
    <w:pPr>
      <w:ind w:firstLine="0"/>
    </w:pPr>
    <w:rPr>
      <w:rFonts w:eastAsia="宋体"/>
      <w:sz w:val="21"/>
      <w:szCs w:val="24"/>
    </w:rPr>
  </w:style>
  <w:style w:type="paragraph" w:customStyle="1" w:styleId="106">
    <w:name w:val="5段落"/>
    <w:basedOn w:val="1"/>
    <w:qFormat/>
    <w:uiPriority w:val="0"/>
    <w:pPr>
      <w:spacing w:line="360" w:lineRule="auto"/>
      <w:ind w:firstLine="420" w:firstLineChars="200"/>
    </w:pPr>
  </w:style>
  <w:style w:type="paragraph" w:customStyle="1" w:styleId="107">
    <w:name w:val="表号"/>
    <w:basedOn w:val="1"/>
    <w:qFormat/>
    <w:uiPriority w:val="0"/>
    <w:pPr>
      <w:spacing w:line="320" w:lineRule="exact"/>
      <w:ind w:firstLine="200"/>
      <w:jc w:val="left"/>
    </w:pPr>
    <w:rPr>
      <w:rFonts w:ascii="Calibri" w:hAnsi="Calibri" w:eastAsia="黑体"/>
      <w:szCs w:val="22"/>
    </w:rPr>
  </w:style>
  <w:style w:type="paragraph" w:customStyle="1" w:styleId="108">
    <w:name w:val="正文1"/>
    <w:basedOn w:val="13"/>
    <w:qFormat/>
    <w:uiPriority w:val="0"/>
    <w:pPr>
      <w:ind w:firstLine="480"/>
    </w:pPr>
    <w:rPr>
      <w:rFonts w:hAnsi="宋体"/>
      <w:color w:val="3366FF"/>
      <w:szCs w:val="20"/>
    </w:rPr>
  </w:style>
  <w:style w:type="paragraph" w:customStyle="1" w:styleId="109">
    <w:name w:val="表格文字"/>
    <w:basedOn w:val="1"/>
    <w:qFormat/>
    <w:uiPriority w:val="0"/>
    <w:pPr>
      <w:ind w:firstLine="0"/>
      <w:jc w:val="center"/>
    </w:pPr>
    <w:rPr>
      <w:rFonts w:eastAsia="宋体"/>
      <w:sz w:val="18"/>
      <w:szCs w:val="18"/>
    </w:rPr>
  </w:style>
  <w:style w:type="paragraph" w:customStyle="1" w:styleId="110">
    <w:name w:val="6表格"/>
    <w:basedOn w:val="1"/>
    <w:qFormat/>
    <w:uiPriority w:val="0"/>
    <w:pPr>
      <w:jc w:val="center"/>
    </w:pPr>
  </w:style>
  <w:style w:type="paragraph" w:customStyle="1" w:styleId="111">
    <w:name w:val="样式 首行缩进:  2 字符1"/>
    <w:basedOn w:val="1"/>
    <w:qFormat/>
    <w:uiPriority w:val="0"/>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pPr>
    <w:rPr>
      <w:rFonts w:hint="eastAsia" w:ascii="宋体" w:hAnsi="宋体" w:eastAsia="宋体" w:cs="Times New Roman"/>
      <w:kern w:val="2"/>
      <w:sz w:val="24"/>
      <w:szCs w:val="20"/>
      <w:lang w:val="en-US" w:eastAsia="zh-CN" w:bidi="ar-SA"/>
    </w:rPr>
  </w:style>
  <w:style w:type="paragraph" w:customStyle="1" w:styleId="112">
    <w:name w:val="正文(首行缩进)"/>
    <w:basedOn w:val="1"/>
    <w:qFormat/>
    <w:uiPriority w:val="0"/>
    <w:pPr>
      <w:widowControl w:val="0"/>
      <w:adjustRightInd w:val="0"/>
      <w:snapToGrid w:val="0"/>
      <w:spacing w:line="360" w:lineRule="auto"/>
      <w:ind w:firstLine="200" w:firstLineChars="200"/>
      <w:jc w:val="both"/>
    </w:pPr>
    <w:rPr>
      <w:rFonts w:ascii="Times New Roman" w:hAnsi="Times New Roman"/>
      <w:snapToGrid w:val="0"/>
      <w:sz w:val="24"/>
      <w:szCs w:val="25"/>
    </w:rPr>
  </w:style>
  <w:style w:type="paragraph" w:customStyle="1" w:styleId="113">
    <w:name w:val="常用"/>
    <w:basedOn w:val="1"/>
    <w:qFormat/>
    <w:uiPriority w:val="0"/>
    <w:pPr>
      <w:widowControl/>
      <w:spacing w:line="360" w:lineRule="auto"/>
      <w:ind w:firstLine="200" w:firstLineChars="200"/>
      <w:jc w:val="left"/>
    </w:pPr>
    <w:rPr>
      <w:rFonts w:ascii="宋体" w:hAnsi="宋体" w:eastAsia="宋体"/>
      <w:kern w:val="0"/>
      <w:szCs w:val="28"/>
    </w:rPr>
  </w:style>
  <w:style w:type="paragraph" w:customStyle="1" w:styleId="114">
    <w:name w:val=" Char Char Char Char Char Char Char Char Char1 Char"/>
    <w:basedOn w:val="1"/>
    <w:semiHidden/>
    <w:qFormat/>
    <w:uiPriority w:val="0"/>
    <w:pPr>
      <w:ind w:firstLine="0"/>
    </w:pPr>
    <w:rPr>
      <w:rFonts w:ascii="宋体" w:hAnsi="宋体" w:eastAsia="宋体" w:cs="Courier New"/>
      <w:sz w:val="32"/>
      <w:szCs w:val="32"/>
    </w:rPr>
  </w:style>
  <w:style w:type="paragraph" w:customStyle="1" w:styleId="115">
    <w:name w:val="表内容"/>
    <w:basedOn w:val="1"/>
    <w:qFormat/>
    <w:uiPriority w:val="0"/>
    <w:pPr>
      <w:widowControl/>
      <w:jc w:val="center"/>
    </w:pPr>
    <w:rPr>
      <w:kern w:val="0"/>
      <w:lang w:val="en-GB"/>
    </w:rPr>
  </w:style>
  <w:style w:type="paragraph" w:customStyle="1" w:styleId="116">
    <w:name w:val="表格标题1"/>
    <w:basedOn w:val="1"/>
    <w:qFormat/>
    <w:uiPriority w:val="0"/>
    <w:pPr>
      <w:adjustRightInd w:val="0"/>
      <w:snapToGrid w:val="0"/>
      <w:spacing w:line="360" w:lineRule="auto"/>
      <w:jc w:val="left"/>
      <w:outlineLvl w:val="0"/>
    </w:pPr>
    <w:rPr>
      <w:rFonts w:ascii="方正小标宋_GBK"/>
      <w:bCs/>
      <w:sz w:val="28"/>
      <w:szCs w:val="72"/>
    </w:rPr>
  </w:style>
  <w:style w:type="paragraph" w:customStyle="1" w:styleId="117">
    <w:name w:val="111正文的格式"/>
    <w:basedOn w:val="1"/>
    <w:qFormat/>
    <w:uiPriority w:val="0"/>
    <w:pPr>
      <w:adjustRightInd w:val="0"/>
      <w:snapToGrid w:val="0"/>
      <w:spacing w:line="360" w:lineRule="auto"/>
      <w:ind w:firstLine="480" w:firstLineChars="200"/>
    </w:pPr>
    <w:rPr>
      <w:color w:val="0000FF"/>
      <w:sz w:val="24"/>
    </w:rPr>
  </w:style>
  <w:style w:type="paragraph" w:customStyle="1" w:styleId="118">
    <w:name w:val="List Paragraph"/>
    <w:basedOn w:val="1"/>
    <w:qFormat/>
    <w:uiPriority w:val="34"/>
    <w:pPr>
      <w:spacing w:line="360" w:lineRule="auto"/>
      <w:ind w:firstLine="420" w:firstLineChars="200"/>
    </w:pPr>
    <w:rPr>
      <w:rFonts w:ascii="Calibri" w:hAnsi="Calibri" w:eastAsia="宋体" w:cs="Times New Roman"/>
      <w:sz w:val="24"/>
      <w:szCs w:val="22"/>
    </w:rPr>
  </w:style>
  <w:style w:type="paragraph" w:customStyle="1" w:styleId="119">
    <w:name w:val="标题3"/>
    <w:basedOn w:val="1"/>
    <w:qFormat/>
    <w:uiPriority w:val="0"/>
    <w:pPr>
      <w:spacing w:line="360" w:lineRule="auto"/>
      <w:outlineLvl w:val="2"/>
    </w:pPr>
    <w:rPr>
      <w:b/>
      <w:sz w:val="24"/>
    </w:rPr>
  </w:style>
  <w:style w:type="paragraph" w:customStyle="1" w:styleId="120">
    <w:name w:val="标题1"/>
    <w:basedOn w:val="22"/>
    <w:qFormat/>
    <w:uiPriority w:val="0"/>
    <w:pPr>
      <w:jc w:val="center"/>
      <w:outlineLvl w:val="0"/>
    </w:pPr>
    <w:rPr>
      <w:rFonts w:ascii="黑体" w:hAnsi="黑体" w:eastAsia="黑体"/>
      <w:snapToGrid w:val="0"/>
      <w:sz w:val="30"/>
      <w:szCs w:val="30"/>
    </w:rPr>
  </w:style>
  <w:style w:type="paragraph" w:customStyle="1" w:styleId="121">
    <w:name w:val="正文的格式"/>
    <w:basedOn w:val="1"/>
    <w:qFormat/>
    <w:uiPriority w:val="0"/>
    <w:pPr>
      <w:spacing w:line="360" w:lineRule="auto"/>
      <w:ind w:firstLine="200" w:firstLineChars="200"/>
    </w:pPr>
    <w:rPr>
      <w:rFonts w:ascii="Times New Roman" w:hAnsi="Times New Roman"/>
      <w:sz w:val="24"/>
      <w:szCs w:val="24"/>
    </w:rPr>
  </w:style>
  <w:style w:type="paragraph" w:customStyle="1" w:styleId="122">
    <w:name w:val="表格字体"/>
    <w:qFormat/>
    <w:uiPriority w:val="0"/>
    <w:pPr>
      <w:snapToGrid w:val="0"/>
      <w:jc w:val="center"/>
    </w:pPr>
    <w:rPr>
      <w:rFonts w:ascii="Times New Roman" w:hAnsi="Times New Roman" w:eastAsia="宋体" w:cs="Times New Roman"/>
      <w:kern w:val="2"/>
      <w:sz w:val="21"/>
      <w:lang w:val="en-US" w:eastAsia="zh-CN" w:bidi="ar-SA"/>
    </w:rPr>
  </w:style>
  <w:style w:type="paragraph" w:customStyle="1" w:styleId="123">
    <w:name w:val="5文章(治)"/>
    <w:basedOn w:val="1"/>
    <w:qFormat/>
    <w:uiPriority w:val="0"/>
    <w:pPr>
      <w:keepNext w:val="0"/>
      <w:keepLines w:val="0"/>
      <w:widowControl w:val="0"/>
      <w:suppressLineNumbers w:val="0"/>
      <w:spacing w:before="0" w:beforeAutospacing="0" w:after="0" w:afterAutospacing="0" w:line="360" w:lineRule="auto"/>
      <w:ind w:left="0" w:right="0" w:firstLine="560" w:firstLineChars="200"/>
      <w:jc w:val="both"/>
    </w:pPr>
    <w:rPr>
      <w:rFonts w:hint="default" w:ascii="Times New Roman" w:hAnsi="Times New Roman" w:eastAsia="宋体" w:cs="Times New Roman"/>
      <w:kern w:val="2"/>
      <w:sz w:val="24"/>
      <w:szCs w:val="20"/>
      <w:lang w:val="en-US" w:eastAsia="zh-CN" w:bidi="ar-SA"/>
    </w:rPr>
  </w:style>
  <w:style w:type="paragraph" w:customStyle="1" w:styleId="124">
    <w:name w:val="②表格内文字"/>
    <w:basedOn w:val="1"/>
    <w:qFormat/>
    <w:uiPriority w:val="0"/>
    <w:pPr>
      <w:jc w:val="center"/>
    </w:pPr>
    <w:rPr>
      <w:color w:val="000000"/>
      <w:szCs w:val="21"/>
    </w:rPr>
  </w:style>
  <w:style w:type="paragraph" w:customStyle="1" w:styleId="125">
    <w:name w:val="111正文格式111"/>
    <w:basedOn w:val="121"/>
    <w:qFormat/>
    <w:uiPriority w:val="0"/>
    <w:pPr>
      <w:adjustRightInd w:val="0"/>
      <w:snapToGrid w:val="0"/>
    </w:pPr>
    <w:rPr>
      <w:bCs/>
    </w:rPr>
  </w:style>
  <w:style w:type="paragraph" w:customStyle="1" w:styleId="126">
    <w:name w:val="正文_18"/>
    <w:qFormat/>
    <w:uiPriority w:val="0"/>
    <w:pPr>
      <w:widowControl w:val="0"/>
      <w:jc w:val="both"/>
    </w:pPr>
    <w:rPr>
      <w:rFonts w:ascii="等线" w:hAnsi="等线" w:eastAsia="等线" w:cs="Times New Roman"/>
      <w:kern w:val="2"/>
      <w:sz w:val="21"/>
      <w:szCs w:val="22"/>
      <w:lang w:val="en-US" w:eastAsia="zh-CN" w:bidi="ar-SA"/>
    </w:rPr>
  </w:style>
  <w:style w:type="paragraph" w:customStyle="1" w:styleId="127">
    <w:name w:val="表的标题"/>
    <w:basedOn w:val="1"/>
    <w:next w:val="128"/>
    <w:qFormat/>
    <w:uiPriority w:val="0"/>
    <w:pPr>
      <w:adjustRightInd w:val="0"/>
      <w:snapToGrid w:val="0"/>
      <w:spacing w:before="50" w:beforeLines="50"/>
      <w:jc w:val="center"/>
    </w:pPr>
    <w:rPr>
      <w:rFonts w:eastAsia="黑体" w:cs="宋体"/>
      <w:sz w:val="24"/>
      <w:szCs w:val="20"/>
    </w:rPr>
  </w:style>
  <w:style w:type="paragraph" w:customStyle="1" w:styleId="128">
    <w:name w:val="表中正文"/>
    <w:basedOn w:val="1"/>
    <w:semiHidden/>
    <w:qFormat/>
    <w:uiPriority w:val="0"/>
    <w:pPr>
      <w:autoSpaceDE w:val="0"/>
      <w:autoSpaceDN w:val="0"/>
      <w:adjustRightInd w:val="0"/>
      <w:snapToGrid w:val="0"/>
      <w:spacing w:line="300" w:lineRule="exact"/>
      <w:ind w:firstLine="0" w:firstLineChars="0"/>
      <w:jc w:val="center"/>
    </w:pPr>
    <w:rPr>
      <w:rFonts w:ascii="宋体"/>
      <w:kern w:val="0"/>
      <w:sz w:val="21"/>
      <w:szCs w:val="21"/>
    </w:rPr>
  </w:style>
  <w:style w:type="table" w:customStyle="1" w:styleId="129">
    <w:name w:val="Table Normal"/>
    <w:unhideWhenUsed/>
    <w:qFormat/>
    <w:uiPriority w:val="0"/>
    <w:rPr>
      <w:lang w:val="en-US" w:eastAsia="zh-CN" w:bidi="ar-SA"/>
    </w:rPr>
    <w:tblPr>
      <w:tblCellMar>
        <w:top w:w="0" w:type="dxa"/>
        <w:left w:w="0" w:type="dxa"/>
        <w:bottom w:w="0" w:type="dxa"/>
        <w:right w:w="0" w:type="dxa"/>
      </w:tblCellMar>
    </w:tblPr>
  </w:style>
  <w:style w:type="paragraph" w:customStyle="1" w:styleId="130">
    <w:name w:val="环评 表格"/>
    <w:basedOn w:val="131"/>
    <w:qFormat/>
    <w:uiPriority w:val="0"/>
    <w:pPr>
      <w:pBdr>
        <w:top w:val="none" w:color="auto" w:sz="0" w:space="1"/>
        <w:left w:val="dashed" w:color="FFFFFF" w:sz="4" w:space="4"/>
        <w:bottom w:val="none" w:color="auto" w:sz="0" w:space="1"/>
        <w:right w:val="dashed" w:color="FFFFFF" w:sz="4" w:space="4"/>
      </w:pBdr>
      <w:ind w:firstLine="0" w:firstLineChars="0"/>
      <w:jc w:val="center"/>
    </w:pPr>
    <w:rPr>
      <w:sz w:val="21"/>
      <w:szCs w:val="21"/>
      <w:lang w:eastAsia="en-US"/>
    </w:rPr>
  </w:style>
  <w:style w:type="paragraph" w:customStyle="1" w:styleId="131">
    <w:name w:val="无间隔1"/>
    <w:qFormat/>
    <w:uiPriority w:val="1"/>
    <w:pPr>
      <w:widowControl w:val="0"/>
      <w:ind w:firstLine="200" w:firstLineChars="200"/>
      <w:jc w:val="both"/>
    </w:pPr>
    <w:rPr>
      <w:rFonts w:ascii="Calibri" w:hAnsi="Calibri" w:eastAsia="宋体" w:cs="Calibri"/>
      <w:kern w:val="2"/>
      <w:sz w:val="24"/>
      <w:szCs w:val="24"/>
      <w:lang w:val="en-US" w:eastAsia="zh-CN" w:bidi="ar-SA"/>
    </w:rPr>
  </w:style>
  <w:style w:type="paragraph" w:customStyle="1" w:styleId="132">
    <w:name w:val="1表格（5宋.）"/>
    <w:basedOn w:val="1"/>
    <w:qFormat/>
    <w:uiPriority w:val="0"/>
    <w:pPr>
      <w:spacing w:line="240" w:lineRule="auto"/>
      <w:ind w:firstLine="0" w:firstLineChars="0"/>
      <w:jc w:val="center"/>
    </w:pPr>
    <w:rPr>
      <w:rFonts w:ascii="宋体" w:hAnsi="宋体" w:cs="宋体"/>
      <w:color w:val="000000"/>
      <w:sz w:val="21"/>
      <w:szCs w:val="22"/>
      <w:lang w:val="zh-TW" w:eastAsia="zh-TW" w:bidi="zh-TW"/>
    </w:rPr>
  </w:style>
  <w:style w:type="paragraph" w:customStyle="1" w:styleId="133">
    <w:name w:val="6.1lin正文缩进"/>
    <w:basedOn w:val="1"/>
    <w:qFormat/>
    <w:uiPriority w:val="0"/>
    <w:pPr>
      <w:spacing w:line="360" w:lineRule="auto"/>
      <w:ind w:firstLine="200" w:firstLineChars="200"/>
    </w:pPr>
    <w:rPr>
      <w:rFonts w:ascii="Times New Roman" w:hAnsi="Times New Roman" w:eastAsia="宋体" w:cs="Times New Roman"/>
      <w:sz w:val="24"/>
    </w:rPr>
  </w:style>
  <w:style w:type="paragraph" w:customStyle="1" w:styleId="134">
    <w:name w:val="11111表土"/>
    <w:basedOn w:val="1"/>
    <w:qFormat/>
    <w:uiPriority w:val="0"/>
    <w:pPr>
      <w:widowControl/>
      <w:adjustRightInd w:val="0"/>
      <w:snapToGrid w:val="0"/>
      <w:jc w:val="center"/>
    </w:pPr>
    <w:rPr>
      <w:rFonts w:ascii="Times New Roman" w:hAnsi="Times New Roman" w:eastAsia="黑体"/>
      <w:kern w:val="0"/>
      <w:sz w:val="24"/>
      <w:szCs w:val="24"/>
    </w:rPr>
  </w:style>
  <w:style w:type="paragraph" w:customStyle="1" w:styleId="135">
    <w:name w:val="样式1"/>
    <w:basedOn w:val="1"/>
    <w:qFormat/>
    <w:uiPriority w:val="0"/>
    <w:pPr>
      <w:widowControl/>
      <w:adjustRightInd w:val="0"/>
      <w:spacing w:line="480" w:lineRule="atLeast"/>
      <w:ind w:firstLine="539"/>
      <w:jc w:val="left"/>
    </w:pPr>
    <w:rPr>
      <w:rFonts w:eastAsia="仿宋_GB2312"/>
    </w:rPr>
  </w:style>
  <w:style w:type="paragraph" w:customStyle="1" w:styleId="136">
    <w:name w:val="表头-"/>
    <w:basedOn w:val="1"/>
    <w:qFormat/>
    <w:uiPriority w:val="0"/>
    <w:pPr>
      <w:spacing w:line="360" w:lineRule="auto"/>
      <w:jc w:val="center"/>
    </w:pPr>
    <w:rPr>
      <w:rFonts w:eastAsia="黑体"/>
      <w:b/>
    </w:rPr>
  </w:style>
  <w:style w:type="paragraph" w:customStyle="1" w:styleId="137">
    <w:name w:val="Normal Indent"/>
    <w:basedOn w:val="1"/>
    <w:qFormat/>
    <w:uiPriority w:val="0"/>
    <w:pPr>
      <w:adjustRightInd w:val="0"/>
      <w:spacing w:line="312" w:lineRule="atLeast"/>
      <w:ind w:firstLine="420"/>
      <w:textAlignment w:val="baseline"/>
    </w:p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0" Type="http://schemas.openxmlformats.org/officeDocument/2006/relationships/fontTable" Target="fontTable.xml"/><Relationship Id="rId4" Type="http://schemas.openxmlformats.org/officeDocument/2006/relationships/endnotes" Target="endnotes.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2.png"/><Relationship Id="rId36" Type="http://schemas.openxmlformats.org/officeDocument/2006/relationships/image" Target="media/image21.png"/><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jpeg"/><Relationship Id="rId32" Type="http://schemas.openxmlformats.org/officeDocument/2006/relationships/image" Target="media/image17.png"/><Relationship Id="rId31" Type="http://schemas.openxmlformats.org/officeDocument/2006/relationships/image" Target="media/image16.wmf"/><Relationship Id="rId30" Type="http://schemas.openxmlformats.org/officeDocument/2006/relationships/image" Target="media/image15.wmf"/><Relationship Id="rId3" Type="http://schemas.openxmlformats.org/officeDocument/2006/relationships/footnotes" Target="footnotes.xml"/><Relationship Id="rId29" Type="http://schemas.openxmlformats.org/officeDocument/2006/relationships/image" Target="media/image14.wmf"/><Relationship Id="rId28" Type="http://schemas.openxmlformats.org/officeDocument/2006/relationships/image" Target="media/image13.wmf"/><Relationship Id="rId27" Type="http://schemas.openxmlformats.org/officeDocument/2006/relationships/image" Target="media/image12.jpeg"/><Relationship Id="rId26" Type="http://schemas.openxmlformats.org/officeDocument/2006/relationships/image" Target="media/image11.wmf"/><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emf"/><Relationship Id="rId21" Type="http://schemas.openxmlformats.org/officeDocument/2006/relationships/oleObject" Target="embeddings/oleObject2.bin"/><Relationship Id="rId20" Type="http://schemas.openxmlformats.org/officeDocument/2006/relationships/image" Target="media/image6.e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90</Pages>
  <Words>8945</Words>
  <Characters>9368</Characters>
  <Lines>494</Lines>
  <Paragraphs>139</Paragraphs>
  <TotalTime>3</TotalTime>
  <ScaleCrop>false</ScaleCrop>
  <LinksUpToDate>false</LinksUpToDate>
  <CharactersWithSpaces>9517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2021-03-05T08:17:00Z</dcterms:created>
  <dc:creator>lhj</dc:creator>
  <cp:lastModifiedBy>cissyliao</cp:lastModifiedBy>
  <cp:lastPrinted>2020-12-29T02:43:00Z</cp:lastPrinted>
  <dcterms:modified xsi:type="dcterms:W3CDTF">2025-09-02T09:03:58Z</dcterms:modified>
  <dc:title>附件2</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SaveFontToCloudKey">
    <vt:lpwstr>304389065_btnclosed</vt:lpwstr>
  </property>
  <property fmtid="{D5CDD505-2E9C-101B-9397-08002B2CF9AE}" pid="4" name="ICV">
    <vt:lpwstr>5419848089584693B59C476A07734EAD_13</vt:lpwstr>
  </property>
  <property fmtid="{D5CDD505-2E9C-101B-9397-08002B2CF9AE}" pid="5" name="commondata">
    <vt:lpwstr>eyJoZGlkIjoiMjE2ZTYwOGMyNWZiYjFlMzJkODUzYjQ5OTU4MmQxODYifQ==</vt:lpwstr>
  </property>
  <property fmtid="{D5CDD505-2E9C-101B-9397-08002B2CF9AE}" pid="6" name="KSOTemplateDocerSaveRecord">
    <vt:lpwstr>eyJoZGlkIjoiMTE3OGI4YWFmMWU2YWZiODU5OTVmNjcyZThhMWU5NjQiLCJ1c2VySWQiOiI0MzY2MzI5MzUifQ==</vt:lpwstr>
  </property>
</Properties>
</file>